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Used market research and business planning to help establish tax and finance departments that contributed more than 25% of firm revenue.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gecko-job:2581cb7c-34d1-43a8-8e3a-1e8c16eedc39</dc:identifier>
</cp:coreProperties>
</file>