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Scaled monthly marketing volume from approximately $200K to $800K while improving ROAS from 1.5 to 3.5.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gecko-job:3cb83c93-9798-4cc8-8d8e-e8664b7ead93</dc:identifier>
</cp:coreProperties>
</file>