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Scaled monthly marketing volume from approximately $200K to $800K while improving ROAS from 1.5 to 3.5. Automated order and shipping updates through GraphQL integrations.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gecko-job:b0c9e380-a93e-4906-9d45-1da911d08077</dc:identifier>
</cp:coreProperties>
</file>