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Growth-oriented paid-media leader experienced in scaling investment while improving returns. Scaled monthly marketing volume from approximately $200K to $800K while improving ROAS from 1.5 to 3.5.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Operational Efficiency</w:t>
            </w:r>
          </w:p>
        </w:tc>
        <w:tc>
          <w:tcPr>
            <w:tcW w:type="dxa" w:w="5400"/>
          </w:tcP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Funnel testing for reach, comparison, conversion (micro-included), and then internal LTV testing, Click-to-Call systems assessment, iSpot Analysis for TV/OTT (reach) campaigns</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12 accounts, 32 campaigns, 110k Ad Groups, 1.6 million keywords, with a $3.6 million/month spend in one brand</w:t>
      </w:r>
    </w:p>
    <w:p>
      <w:pPr>
        <w:pStyle w:val="ListBullet"/>
        <w:keepNext/>
        <w:spacing w:before="0" w:after="20" w:line="276" w:lineRule="auto"/>
        <w:ind w:left="259"/>
        <w:jc w:val="left"/>
      </w:pPr>
      <w:r>
        <w:rPr>
          <w:rFonts w:ascii="EB Garamond" w:hAnsi="EB Garamond"/>
          <w:b w:val="0"/>
          <w:sz w:val="22"/>
        </w:rPr>
        <w:t>Automated SERP analysis with Python and used Machine Learning Models for budgets, bids, ad copy, keywords, etc with Google API</w:t>
      </w:r>
    </w:p>
    <w:p>
      <w:pPr>
        <w:pStyle w:val="ListBullet"/>
        <w:spacing w:before="0" w:after="20" w:line="276" w:lineRule="auto"/>
        <w:ind w:left="259"/>
        <w:jc w:val="left"/>
      </w:pPr>
      <w:r>
        <w:rPr>
          <w:rFonts w:ascii="EB Garamond" w:hAnsi="EB Garamond"/>
          <w:b w:val="0"/>
          <w:sz w:val="22"/>
        </w:rPr>
        <w:t>Converted and interpreted JSON results to data-mine SERP</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Designed the company's information architecture and ERP-system flow and implemented systems to increase productivity, efficiency, transparency, and collaboration.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p>
      <w:pPr>
        <w:pStyle w:val="ListBullet"/>
        <w:keepNex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spacing w:before="0" w:after="20" w:line="276" w:lineRule="auto"/>
        <w:ind w:left="259"/>
        <w:jc w:val="left"/>
      </w:pPr>
      <w:r>
        <w:rPr>
          <w:rFonts w:ascii="EB Garamond" w:hAnsi="EB Garamond"/>
          <w:b w:val="0"/>
          <w:sz w:val="22"/>
        </w:rPr>
        <w:t>Converted paper forms into electronic, interactive formats using Adobe Acrobat and LiveCycle, increasing the speed and quantity of market-data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Salesforce • Funnel.io • Google Ads • Microsoft Ads • Google Analytics 4 • Google Tag Manager • Google Search Console • Looker Studio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gecko-job:36931bf5ec551564</dc:identifier>
</cp:coreProperties>
</file>