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PAID SEARCH ANALYST | PPC &amp; PERFORMANCE MARKETING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color w:val="525252"/>
          <w:sz w:val="19"/>
        </w:rPr>
        <w:t>Lehi, UT 84043   •   (530) 507-8269   •   mdavidcall@gmail.com   •   linkedin.com/in/mdavidcall   •   Spanish: Fluent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color w:val="262626"/>
          <w:sz w:val="22"/>
        </w:rPr>
        <w:t>Hands-on paid-search and performance-marketing specialist with 14+ years of experience building, monitoring, testing, and improving high-volume campaigns. Deep background in Google Ads, Bing Ads, desktop editors, keyword and search-query analysis, ad copy, bid testing, budget pacing, account health, and KPI reporting. Combines careful execution with advanced Excel and analytics skills, clear communication, and a consistent focus on process quality and measurable business results.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Search Execution: </w:t>
      </w:r>
      <w:r>
        <w:rPr>
          <w:rFonts w:ascii="Calibri" w:hAnsi="Calibri"/>
          <w:b w:val="0"/>
          <w:color w:val="262626"/>
          <w:sz w:val="22"/>
        </w:rPr>
        <w:t>Google Ads, Bing Ads, Google Ads Editor, Bing Editor, campaign and ad-group builds, keyword research, search-query analysis, negative keywords, ad copy, bidding, and account optimization.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Testing &amp; Account Health: </w:t>
      </w:r>
      <w:r>
        <w:rPr>
          <w:rFonts w:ascii="Calibri" w:hAnsi="Calibri"/>
          <w:b w:val="0"/>
          <w:color w:val="262626"/>
          <w:sz w:val="22"/>
        </w:rPr>
        <w:t>Bid experiments, ad and landing-page testing, A/B and multivariate testing, pacing, anomaly monitoring, attribution, conversion paths, CRO, CPA, ROAS, and LTV.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Reporting &amp; Data Analysis: </w:t>
      </w:r>
      <w:r>
        <w:rPr>
          <w:rFonts w:ascii="Calibri" w:hAnsi="Calibri"/>
          <w:b w:val="0"/>
          <w:color w:val="262626"/>
          <w:sz w:val="22"/>
        </w:rPr>
        <w:t>Advanced Excel, pivot tables, GA4, Google Tag Manager, Tableau, Looker Studio, Funnel.io, Adobe Analytics, Python, SQL, Databricks, and automated reporting.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Additional Media &amp; Platforms: </w:t>
      </w:r>
      <w:r>
        <w:rPr>
          <w:rFonts w:ascii="Calibri" w:hAnsi="Calibri"/>
          <w:b w:val="0"/>
          <w:color w:val="262626"/>
          <w:sz w:val="22"/>
        </w:rPr>
        <w:t>Google Display Network, shopping, Demand Gen-related campaign experience, YouTube, video, mobile, remarketing, Meta, Amazon, LinkedIn, Salesforce, HubSpot, and WordPress.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Paid Search Analysis: </w:t>
      </w:r>
      <w:r>
        <w:rPr>
          <w:rFonts w:ascii="Calibri" w:hAnsi="Calibri"/>
          <w:b w:val="0"/>
          <w:color w:val="262626"/>
          <w:sz w:val="22"/>
        </w:rPr>
        <w:t>Evaluated max CPC versus smart bidding, brand and non-brand CPA, Performance Max and Shopping mix, audiences, attribution, and incremental CPA across scale changes.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Testing &amp; Forecasting: </w:t>
      </w:r>
      <w:r>
        <w:rPr>
          <w:rFonts w:ascii="Calibri" w:hAnsi="Calibri"/>
          <w:b w:val="0"/>
          <w:color w:val="262626"/>
          <w:sz w:val="22"/>
        </w:rPr>
        <w:t>Analyzed holdouts, geo promotions, bidding, reach-to-conversion funnels, lifetime value, and regression scenarios to guide investment decisions.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Automated Reporting: </w:t>
      </w:r>
      <w:r>
        <w:rPr>
          <w:rFonts w:ascii="Calibri" w:hAnsi="Calibri"/>
          <w:b w:val="0"/>
          <w:color w:val="262626"/>
          <w:sz w:val="22"/>
        </w:rPr>
        <w:t>Used Python, SQL, Databricks, Excel, Funnel.io, and Tableau to automate accurate weekly reporting across more than 10 marketing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Hands-On Platform Management: </w:t>
      </w:r>
      <w:r>
        <w:rPr>
          <w:rFonts w:ascii="Calibri" w:hAnsi="Calibri"/>
          <w:b w:val="0"/>
          <w:color w:val="262626"/>
          <w:sz w:val="22"/>
        </w:rPr>
        <w:t>Managed Google Ads, Bing Ads, Amazon, Facebook, Instagram, and TikTok across a $400K monthly budget.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Performance Improvement: </w:t>
      </w:r>
      <w:r>
        <w:rPr>
          <w:rFonts w:ascii="Calibri" w:hAnsi="Calibri"/>
          <w:b w:val="0"/>
          <w:color w:val="262626"/>
          <w:sz w:val="22"/>
        </w:rPr>
        <w:t>Increased monthly volume from $200K to $800K while improving ROAS from 1.5 to 3.5.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Measurement &amp; Reporting: </w:t>
      </w:r>
      <w:r>
        <w:rPr>
          <w:rFonts w:ascii="Calibri" w:hAnsi="Calibri"/>
          <w:b w:val="0"/>
          <w:color w:val="262626"/>
          <w:sz w:val="22"/>
        </w:rPr>
        <w:t>Implemented custom GA4 and GTM reporting and built Looker Studio KPIs for campaign, website, email, inventory, and budget decisions.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Account Builds &amp; Scale: </w:t>
      </w:r>
      <w:r>
        <w:rPr>
          <w:rFonts w:ascii="Calibri" w:hAnsi="Calibri"/>
          <w:b w:val="0"/>
          <w:color w:val="262626"/>
          <w:sz w:val="22"/>
        </w:rPr>
        <w:t>Built and managed 75+ Google Ads accounts totaling more than $276K per month across search, display, mobile, remarketing, YouTube, and social.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Monitoring &amp; Quality: </w:t>
      </w:r>
      <w:r>
        <w:rPr>
          <w:rFonts w:ascii="Calibri" w:hAnsi="Calibri"/>
          <w:b w:val="0"/>
          <w:color w:val="262626"/>
          <w:sz w:val="22"/>
        </w:rPr>
        <w:t>Created scripts for continuous campaign monitoring and a standardized account-quality system adopted across the agency.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Optimization &amp; Testing: </w:t>
      </w:r>
      <w:r>
        <w:rPr>
          <w:rFonts w:ascii="Calibri" w:hAnsi="Calibri"/>
          <w:b w:val="0"/>
          <w:color w:val="262626"/>
          <w:sz w:val="22"/>
        </w:rPr>
        <w:t>Used analytical tools to make data-driven recommendations and created conversion models, attribution models, and multivariate tests.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Client Reporting: </w:t>
      </w:r>
      <w:r>
        <w:rPr>
          <w:rFonts w:ascii="Calibri" w:hAnsi="Calibri"/>
          <w:b w:val="0"/>
          <w:color w:val="262626"/>
          <w:sz w:val="22"/>
        </w:rPr>
        <w:t>Consolidated performance data with Funnel.io and presented actionable results through Looker Studio reporting.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Campaign Operations: </w:t>
      </w:r>
      <w:r>
        <w:rPr>
          <w:rFonts w:ascii="Calibri" w:hAnsi="Calibri"/>
          <w:b w:val="0"/>
          <w:color w:val="262626"/>
          <w:sz w:val="22"/>
        </w:rPr>
        <w:t>Managed 150+ campaigns and a $400K budget across Google Ads, Bing Ads, Gemini, and Amazon, producing more than $9M in revenue—35% of company revenue.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Search Optimization: </w:t>
      </w:r>
      <w:r>
        <w:rPr>
          <w:rFonts w:ascii="Calibri" w:hAnsi="Calibri"/>
          <w:b w:val="0"/>
          <w:color w:val="262626"/>
          <w:sz w:val="22"/>
        </w:rPr>
        <w:t>Performed keyword and competitive research, search-query and channel analysis, landing-page optimization, bid strategy development, ad-copy creation, and bid experiments.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Editors &amp; Analysis: </w:t>
      </w:r>
      <w:r>
        <w:rPr>
          <w:rFonts w:ascii="Calibri" w:hAnsi="Calibri"/>
          <w:b w:val="0"/>
          <w:color w:val="262626"/>
          <w:sz w:val="22"/>
        </w:rPr>
        <w:t>Used Excel, Google Ads Editor, Bing Editor, Google Analytics, Magento, ACCTivate, and QuickBooks for campaign, performance, and business reporting.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Process Automation: </w:t>
      </w:r>
      <w:r>
        <w:rPr>
          <w:rFonts w:ascii="Calibri" w:hAnsi="Calibri"/>
          <w:b w:val="0"/>
          <w:color w:val="262626"/>
          <w:sz w:val="22"/>
        </w:rPr>
        <w:t>Implemented human-assisted JavaScript automation based on promotions and business goals while maintaining hands-on oversight.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&amp;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Data &amp; Process Improvement: </w:t>
      </w:r>
      <w:r>
        <w:rPr>
          <w:rFonts w:ascii="Calibri" w:hAnsi="Calibri"/>
          <w:b w:val="0"/>
          <w:color w:val="262626"/>
          <w:sz w:val="22"/>
        </w:rPr>
        <w:t>Developed and maintained cross-department databases and reporting while implementing systems that increased productivity, transparency, and collaboration.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Worked with IT, operations, finance, product development, HR, and sales while managing changing priorities and project-level cost/benefit decisions.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EDUCATION, LANGUAGES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262626"/>
          <w:sz w:val="22"/>
        </w:rPr>
        <w:t>Brigham Young University — Bachelor of Science in Business Management (2008)</w:t>
      </w:r>
      <w:r>
        <w:rPr>
          <w:rFonts w:ascii="Calibri" w:hAnsi="Calibri"/>
          <w:b w:val="0"/>
          <w:color w:val="525252"/>
          <w:sz w:val="22"/>
        </w:rPr>
        <w:t xml:space="preserve">  |  Entrepreneur of the Year team; Regional Business Plan Competition winner, two consecutive years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102C57"/>
          <w:sz w:val="22"/>
        </w:rPr>
        <w:t xml:space="preserve">Languages: </w:t>
      </w:r>
      <w:r>
        <w:rPr>
          <w:rFonts w:ascii="Calibri" w:hAnsi="Calibri"/>
          <w:b w:val="0"/>
          <w:color w:val="262626"/>
          <w:sz w:val="22"/>
        </w:rPr>
        <w:t>English (Native)  •  Spanish (Fluent)</w:t>
      </w:r>
    </w:p>
    <w:p>
      <w:pPr>
        <w:keepNext w:val="0"/>
        <w:spacing w:line="276" w:lineRule="auto" w:before="0" w:after="0"/>
      </w:pPr>
      <w:r>
        <w:rPr>
          <w:rFonts w:ascii="Calibri" w:hAnsi="Calibri"/>
          <w:b/>
          <w:color w:val="102C57"/>
          <w:sz w:val="22"/>
        </w:rPr>
        <w:t xml:space="preserve">Certifications: </w:t>
      </w:r>
      <w:r>
        <w:rPr>
          <w:rFonts w:ascii="Calibri" w:hAnsi="Calibri"/>
          <w:b w:val="0"/>
          <w:color w:val="262626"/>
          <w:sz w:val="22"/>
        </w:rPr>
        <w:t>Google Ads  •  Google Analytics  •  Facebook Blueprint  •  Bing Ads  •  Amazon Marketing Services</w:t>
      </w:r>
    </w:p>
    <w:sectPr w:rsidR="00FC693F" w:rsidRPr="0006063C" w:rsidSect="00034616">
      <w:pgSz w:w="12240" w:h="15840"/>
      <w:pgMar w:top="518" w:right="691" w:bottom="51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