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Attribution Modeling</w:t>
            </w:r>
          </w:p>
        </w:tc>
      </w:tr>
      <w:tr>
        <w:tc>
          <w:tcPr>
            <w:tcW w:type="dxa" w:w="5400"/>
          </w:tcPr>
          <w:p>
            <w:pPr>
              <w:pStyle w:val="ListBullet"/>
              <w:spacing w:after="0" w:line="276" w:lineRule="auto"/>
            </w:pPr>
            <w:r/>
            <w:r>
              <w:rPr>
                <w:rFonts w:ascii="EB Garamond" w:hAnsi="EB Garamond"/>
                <w:sz w:val="21"/>
              </w:rPr>
              <w:t>Campaign Optimization</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Cross-Functional Leadership</w:t>
            </w:r>
          </w:p>
        </w:tc>
      </w:tr>
      <w:tr>
        <w:tc>
          <w:tcPr>
            <w:tcW w:type="dxa" w:w="5400"/>
          </w:tcPr>
          <w:p>
            <w:pPr>
              <w:pStyle w:val="ListBullet"/>
              <w:spacing w:after="0" w:line="276" w:lineRule="auto"/>
            </w:pPr>
            <w:r/>
            <w:r>
              <w:rPr>
                <w:rFonts w:ascii="EB Garamond" w:hAnsi="EB Garamond"/>
                <w:sz w:val="21"/>
              </w:rPr>
              <w:t>Customer Acquisition</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Marketing Automation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Converted paper forms into electronic, interactive formats using Adobe Acrobat and LiveCycle, increasing the speed and quantity of market-data acquisition.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Analytics 4 • Google Ads • Google Tag Manager • Google Search Console • Google Ads Editor • Meta Ads • Google Ads API • Microsoft Ads</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