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B2B &amp; B2C Marketing</w:t>
            </w:r>
          </w:p>
        </w:tc>
      </w:tr>
      <w:tr>
        <w:tc>
          <w:tcPr>
            <w:tcW w:type="dxa" w:w="5400"/>
          </w:tcPr>
          <w:p>
            <w:pPr>
              <w:pStyle w:val="ListBullet"/>
              <w:spacing w:after="0" w:line="276" w:lineRule="auto"/>
            </w:pPr>
            <w:r/>
            <w:r>
              <w:rPr>
                <w:rFonts w:ascii="EB Garamond" w:hAnsi="EB Garamond"/>
                <w:sz w:val="21"/>
              </w:rPr>
              <w:t>Marketing Technology</w:t>
            </w:r>
          </w:p>
        </w:tc>
        <w:tc>
          <w:tcPr>
            <w:tcW w:type="dxa" w:w="5400"/>
          </w:tcPr>
          <w:p>
            <w:pPr>
              <w:pStyle w:val="ListBullet"/>
              <w:spacing w:after="0" w:line="276" w:lineRule="auto"/>
            </w:pPr>
            <w:r/>
            <w:r>
              <w:rPr>
                <w:rFonts w:ascii="EB Garamond" w:hAnsi="EB Garamond"/>
                <w:sz w:val="21"/>
              </w:rPr>
              <w:t>E-Commerce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Scaled monthly marketing volume from approximately $200,000 to $800,000 while improving ROAS from 1.5 to 3.5 through bidding, audience, budget, campaign, and conversion optimization.</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