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Conversion Rate Optimization</w:t>
            </w:r>
          </w:p>
        </w:tc>
      </w:tr>
      <w:tr>
        <w:tc>
          <w:tcPr>
            <w:tcW w:type="dxa" w:w="5400"/>
          </w:tcPr>
          <w:p>
            <w:pPr>
              <w:pStyle w:val="ListBullet"/>
              <w:spacing w:after="0" w:line="276" w:lineRule="auto"/>
            </w:pPr>
            <w:r/>
            <w:r>
              <w:rPr>
                <w:rFonts w:ascii="EB Garamond" w:hAnsi="EB Garamond"/>
                <w:sz w:val="21"/>
              </w:rPr>
              <w:t>Cross-Functional Leadership</w:t>
            </w:r>
          </w:p>
        </w:tc>
        <w:tc>
          <w:tcPr>
            <w:tcW w:type="dxa" w:w="5400"/>
          </w:tcPr>
          <w:p>
            <w:pPr>
              <w:pStyle w:val="ListBullet"/>
              <w:spacing w:after="0" w:line="276" w:lineRule="auto"/>
            </w:pPr>
            <w:r/>
            <w:r>
              <w:rPr>
                <w:rFonts w:ascii="EB Garamond" w:hAnsi="EB Garamond"/>
                <w:sz w:val="21"/>
              </w:rPr>
              <w:t>Marketing Automation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Search Console • Google Ads • Microsoft Ads • Google Analytics 4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