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Google Ads • GA4 • attribution • B2C • budget • reporting • management • customer acquisition • AI</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Calibri" w:hAnsi="Calibri"/>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Calibri" w:hAnsi="Calibri"/>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Managed budget decisions through project-by-project cost/benefit analysis.</w:t>
      </w:r>
    </w:p>
    <w:p>
      <w:pPr>
        <w:pStyle w:val="ListBullet"/>
        <w:spacing w:before="0" w:after="20" w:line="276" w:lineRule="auto"/>
        <w:ind w:left="259"/>
        <w:jc w:val="left"/>
      </w:pPr>
      <w:r>
        <w:rPr>
          <w:rFonts w:ascii="Calibri" w:hAnsi="Calibri"/>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Calibri" w:hAnsi="Calibri"/>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Set up and managed more than 75 Google Ads/AdWords accounts with more than $276,000 in combined monthly spend.</w:t>
      </w:r>
    </w:p>
    <w:p>
      <w:pPr>
        <w:pStyle w:val="ListBullet"/>
        <w:spacing w:before="0" w:after="20" w:line="276" w:lineRule="auto"/>
        <w:ind w:left="259"/>
        <w:jc w:val="left"/>
      </w:pPr>
      <w:r>
        <w:rPr>
          <w:rFonts w:ascii="Calibri" w:hAnsi="Calibri"/>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150+ campaigns with approximately $400,000 in monthly spend, generating more than $9 million in revenue and approximately 35% of company sales.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Designed and introduced new marketing concepts using graphic-design and animation software.</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