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Marketing Technology</w:t>
            </w:r>
          </w:p>
        </w:tc>
      </w:tr>
      <w:tr>
        <w:tc>
          <w:tcPr>
            <w:tcW w:type="dxa" w:w="5400"/>
          </w:tcPr>
          <w:p>
            <w:pPr>
              <w:pStyle w:val="ListBullet"/>
              <w:spacing w:after="0" w:line="276" w:lineRule="auto"/>
            </w:pPr>
            <w:r/>
            <w:r>
              <w:rPr>
                <w:rFonts w:ascii="EB Garamond" w:hAnsi="EB Garamond"/>
                <w:sz w:val="21"/>
              </w:rPr>
              <w:t>Paid Media Strategy</w:t>
            </w:r>
          </w:p>
        </w:tc>
        <w:tc>
          <w:tcPr>
            <w:tcW w:type="dxa" w:w="5400"/>
          </w:tcPr>
          <w:p>
            <w:pPr>
              <w:pStyle w:val="ListBullet"/>
              <w:spacing w:after="0" w:line="276" w:lineRule="auto"/>
            </w:pPr>
            <w:r/>
            <w:r>
              <w:rPr>
                <w:rFonts w:ascii="EB Garamond" w:hAnsi="EB Garamond"/>
                <w:sz w:val="21"/>
              </w:rPr>
              <w:t>E-Commerce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