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SEARCH MARKETING | SEO COLLABORATION &amp; ANALYTICS</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Search and digital marketing professional with 14+ years in paid search, ecommerce, agency consulting, and performance analysis. Conducted keyword and competitive research, advised clients on SEO and website opportunities, and coordinated channel strategy with web and creative teams. Configured GA4 and Google Tag Manager measurement, built Looker Studio and Tableau dashboards, and used conversion testing and attribution to guide growth decisions.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Search &amp; Website Strategy: </w:t>
      </w:r>
      <w:r>
        <w:rPr>
          <w:rFonts w:ascii="Calibri" w:hAnsi="Calibri"/>
          <w:b w:val="0"/>
          <w:color w:val="262626"/>
          <w:sz w:val="22"/>
        </w:rPr>
        <w:t>Keyword and competitive research, SEO collaboration, landing pages, website recommendations, and audience strategy.</w:t>
      </w:r>
    </w:p>
    <w:p>
      <w:pPr>
        <w:keepNext w:val="0"/>
        <w:spacing w:line="276" w:lineRule="auto" w:before="0" w:after="16"/>
        <w:ind w:left="144"/>
      </w:pPr>
      <w:r>
        <w:rPr>
          <w:rFonts w:ascii="Calibri" w:hAnsi="Calibri"/>
          <w:b/>
          <w:color w:val="102C57"/>
          <w:sz w:val="22"/>
        </w:rPr>
        <w:t xml:space="preserve">Analytics &amp; Tracking: </w:t>
      </w:r>
      <w:r>
        <w:rPr>
          <w:rFonts w:ascii="Calibri" w:hAnsi="Calibri"/>
          <w:b w:val="0"/>
          <w:color w:val="262626"/>
          <w:sz w:val="22"/>
        </w:rPr>
        <w:t>GA4, Google Tag Manager, Looker Studio, Tableau, Funnel.io, conversion tracking, attribution, and KPI reporting.</w:t>
      </w:r>
    </w:p>
    <w:p>
      <w:pPr>
        <w:keepNext w:val="0"/>
        <w:spacing w:line="276" w:lineRule="auto" w:before="0" w:after="16"/>
        <w:ind w:left="144"/>
      </w:pPr>
      <w:r>
        <w:rPr>
          <w:rFonts w:ascii="Calibri" w:hAnsi="Calibri"/>
          <w:b/>
          <w:color w:val="102C57"/>
          <w:sz w:val="22"/>
        </w:rPr>
        <w:t xml:space="preserve">Testing &amp; Optimization: </w:t>
      </w:r>
      <w:r>
        <w:rPr>
          <w:rFonts w:ascii="Calibri" w:hAnsi="Calibri"/>
          <w:b w:val="0"/>
          <w:color w:val="262626"/>
          <w:sz w:val="22"/>
        </w:rPr>
        <w:t>A/B and multivariate testing, conversion paths, ad copy, bidding experiments, ROAS, CPA, and customer journey analysis.</w:t>
      </w:r>
    </w:p>
    <w:p>
      <w:pPr>
        <w:keepNext w:val="0"/>
        <w:spacing w:line="276" w:lineRule="auto" w:before="0" w:after="16"/>
        <w:ind w:left="144"/>
      </w:pPr>
      <w:r>
        <w:rPr>
          <w:rFonts w:ascii="Calibri" w:hAnsi="Calibri"/>
          <w:b/>
          <w:color w:val="102C57"/>
          <w:sz w:val="22"/>
        </w:rPr>
        <w:t xml:space="preserve">Campaign Channels: </w:t>
      </w:r>
      <w:r>
        <w:rPr>
          <w:rFonts w:ascii="Calibri" w:hAnsi="Calibri"/>
          <w:b w:val="0"/>
          <w:color w:val="262626"/>
          <w:sz w:val="22"/>
        </w:rPr>
        <w:t>Google Ads, Microsoft Ads, Search, Shopping, Display, YouTube, remarketing, social, email channel experience, and ecommerce.</w:t>
      </w:r>
    </w:p>
    <w:p>
      <w:pPr>
        <w:keepNext w:val="0"/>
        <w:spacing w:line="276" w:lineRule="auto" w:before="0" w:after="24"/>
        <w:ind w:left="144"/>
      </w:pPr>
      <w:r>
        <w:rPr>
          <w:rFonts w:ascii="Calibri" w:hAnsi="Calibri"/>
          <w:b/>
          <w:color w:val="102C57"/>
          <w:sz w:val="22"/>
        </w:rPr>
        <w:t xml:space="preserve">Reporting &amp; Collaboration: </w:t>
      </w:r>
      <w:r>
        <w:rPr>
          <w:rFonts w:ascii="Calibri" w:hAnsi="Calibri"/>
          <w:b w:val="0"/>
          <w:color w:val="262626"/>
          <w:sz w:val="22"/>
        </w:rPr>
        <w:t>Python, SQL, Databricks, Excel, automated reporting, client presentations, and cross-functional coordination.</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