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DB7" w:rsidRPr="00173DB7" w:rsidRDefault="00173DB7" w:rsidP="00173DB7">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173DB7">
        <w:rPr>
          <w:rFonts w:ascii="Arial" w:eastAsia="Times New Roman" w:hAnsi="Arial" w:cs="Arial"/>
          <w:b/>
          <w:bCs/>
          <w:color w:val="222222"/>
          <w:sz w:val="27"/>
          <w:szCs w:val="27"/>
        </w:rPr>
        <w:t>In review</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[44] Titus M and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Critical Speeding Up as an Early Warning Signal of Stochastic Regime Shifts. In review at Theoretical Ecology. [Complex Systems / Ecology]</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[43]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and Woodill JA. Anticipating Illegal Maritime Activities from Anomalous Multiscale Fleet Behavior. In review at Conservation Letters. [Complex Systems / Fisheries]</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[42]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Gelbaum Z, Titus M, Zoch M, Wrathall D. Manifold Learning of the Dominant Modes of Human Mobility. In review at PeerJ Computer Science. [Complex Systems]</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[41] Siegel DA,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Simons RD, Mitarai S &amp; McWilliams JC. Characterizing Particle Transit Time Metrics in a Coastal Ocean Network. In review at the Journal of Geophysical Research. [Oceanography]</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[40] Burgess MG, Carrella E, Drexler M, Axtell RL, Bailey RM,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Ananthanaryanan A, Cabral RB, Clemence M, Costello C, Dorsett C, Gaines SD, Klein ES, Koralus P, Leonard G, Levin SA, Little LR, Lynham J, Madsen JK, Merkl A, Owashi B, Saul SE, van Putten IE, Wilcox S. Opportunities for agent-based modeling in fisheries social science. In review at Fish and Fisheries. [Fisheries]</w:t>
      </w:r>
    </w:p>
    <w:p w:rsidR="00173DB7" w:rsidRPr="00173DB7" w:rsidRDefault="00173DB7" w:rsidP="00173DB7">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173DB7">
        <w:rPr>
          <w:rFonts w:ascii="Arial" w:eastAsia="Times New Roman" w:hAnsi="Arial" w:cs="Arial"/>
          <w:b/>
          <w:bCs/>
          <w:color w:val="222222"/>
          <w:sz w:val="27"/>
          <w:szCs w:val="27"/>
        </w:rPr>
        <w:t>2019</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[39] Petrik CM, Stock CA, Andersen KH, van Denderen PD,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Bottom-up drivers of global patterns of demersal, forage, and pelagic fishes. Progress in Oceanography. 2019 Jun 17:102124. [Oceanography]</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[38] Folke C, Österblom H, Jouffray JB, Lambin EF, Adger WN, Scheffer M, Crona BI, Nyström M, Levin SA, Carpenter SR, Anderies JM, Chapin S, Crépin, A-S, Dauriach A, Galaz V, Gordon L, Kautsky N, Walker BH,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Wilen J, de Zeeuw A. Transnational corporations and the challenge of biosphere stewardship. Nature ecology &amp; evolution. 2019 Sep 16:1-8. [Economics / Fisheries]</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[37] Burgess MG, Carrella E, Drexler M, Axtell RL, Bailey RM,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Cabral RB, Clemence M, Costello C, Dorsett C, Gaines SD, Klein ES, Koralus P, Leonard G, Levin SA, Little LR, Lynham J, Madsen JK, Merkl A, Owashi B, Saul SE, van Putten IE, Wilcox S. Opportunities for agent-based modeling in fisheries social science.SocArXiv, DOI: 10.31235/osf.io/gzhm5</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[36] Titus M, Gelbaum Z,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Critical Speeding up as an early warning signal of regime switching. ArXiv:1901.08084v1 [Complex Systems]</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lastRenderedPageBreak/>
        <w:t>[35] Gelbaum Z, Titus M,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Multi-Scale Analysis on Complex Networks using Hermitian Graph Wavelets. ArXiv:1901.07051v1 [Complex Systems]</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[34] McManus LC,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Vasconcelos VV, &amp; Levin SA. Stability and recovery of coral-algae systems: the importance of recruitment seasonality and grazing influence. Theoretical Ecology, https://doi.org/10.1007/s12080-018-0388-x. [Ecology]</w:t>
      </w:r>
    </w:p>
    <w:p w:rsidR="00173DB7" w:rsidRPr="00173DB7" w:rsidRDefault="00173DB7" w:rsidP="00173DB7">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173DB7">
        <w:rPr>
          <w:rFonts w:ascii="Arial" w:eastAsia="Times New Roman" w:hAnsi="Arial" w:cs="Arial"/>
          <w:b/>
          <w:bCs/>
          <w:color w:val="222222"/>
          <w:sz w:val="27"/>
          <w:szCs w:val="27"/>
        </w:rPr>
        <w:t>2018</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[33] Elsler L, Drohan S, Schlueter M,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Levin SA. Local, Global, Multi-level: Market Structure and Multi-species Fishery Dynamics. Ecological Economics, 156, 85-195. [Economics / Fisheries]</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[32]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Amerin F, Klinger D, Belton B. Resilience through Risk Management: Cooperative Weather Insurance in Small-holder Aquaculture Systems. Heliyon 4 (2018) e00799. [Economics]</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[31] Tilman AR, Levin SA &amp;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Revenue-sharing clubs provide economic insurance as well as incentives for using common-pool resources sustainably. Journal of Theoretical Biology, 454, 205-214. [Economics]</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[30] Villarino E.,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et al. Large-scale ocean connectivity and planktonic body size. Nature Communications 2018, 9 (142) doi:10.1038/s41467-017-02535-8. [Oceanography]</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[29] +Monk, C.T., +Barbier, M., +Romanczuk, P.,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Alos, J., Nakayama, S., Rubenstein, D.I., Levin, S.A. and Arlinghaus, R. How ecology shapes exploitation: a framework to predict the behavioural response of human and animal foragers along exploration-exploitation trade-offs. Ecology Letters, 21, 6, 779-793. [Ecology]</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[28]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Fuller EF, Castruccio F, Samhouri J. Fishermen Follow Fine-scale Physical Ocean Features for Finance. Frontiers in Marine Science, 5, 46, doi: 10.3389/fmars.2018.00046. [Ecology]</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[27] Thompson D, Kleypas J, Castruccio F, Curchitser E, Pinsky ML, Jonsson B,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Variability in physical barriers to coral larval dispersal: do currents shape biodiversity? Progress in Oceanography, 165, 110-122. [Oceanography]</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[26] Tittensor DP, et al. (including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A protocol for the intercomparison of marine fishery and ecosystem models: FishMIP v1.0. Geoscientific Model Development, 11, 1421-1442. [Oceanography]</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[25] Spijkers J, Morrison TH, Blasiak R, Cumming GS, Osborne M,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Osterblom H. Marine fisheries and future ocean conflict. Fish and Fisheries, doi.org/10.1111/faf.12291. [Fisheries]</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lastRenderedPageBreak/>
        <w:t>[24] Klinger D, Eikeset AM, Davidsdottir B, Winter A-M &amp;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The mechanics of blue growth: Management of oceanic natural resource use with multiple, interacting sectors. Marine Policy 87 (2018): 356-362. [Economics]</w:t>
      </w:r>
    </w:p>
    <w:p w:rsidR="00173DB7" w:rsidRPr="00173DB7" w:rsidRDefault="00173DB7" w:rsidP="00173DB7">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173DB7">
        <w:rPr>
          <w:rFonts w:ascii="Arial" w:eastAsia="Times New Roman" w:hAnsi="Arial" w:cs="Arial"/>
          <w:b/>
          <w:bCs/>
          <w:color w:val="222222"/>
          <w:sz w:val="27"/>
          <w:szCs w:val="27"/>
        </w:rPr>
        <w:t>2017</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[23] Klinger D, Levin SA &amp;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The Growth of Finfish Globally in Open Ocean Aquaculture under Climate Change. Proc. Roy. Soc. B. 284: 20170834. [Economics / Ecology]</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[22] Pena TS,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Gonzalez-Guzman LI, Keitt TG. Step-wise drops in modularity and the fragmentation of exploited marine metapopulations. Landscape Ecology, DOI 10.1007/s10980-017-0532-9. [Ecology]</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[21] Hidalgo M, Kaplan DM, Kerr LA,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Paris CB, Browman HI. Advancing the link between ocean connectivity, ecological function and management challenges. ICES Journal of Marine Science. 2017 Jul 1;74(6):1702-7. [Oceanography / Ecology]</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[20] Fuller EF, Samhouri J, Stoll J, Levin SA &amp;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Characterizing Fisheries Connectivity in Marine Social-Ecological Systems. ICES Journal of Marine Science. DOI:10.1093/icesjms/fsx128. [Fisheries]</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[19] Klein ES, Barbier M &amp;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The Dual Impact of Ecology and Management on the Social Incentives in Marine Systems. Proceedings of the Royal Society: Open Science. 4: 170740. http://dx.doi.org/10.1098/rsos.170740. [Economics]</w:t>
      </w:r>
    </w:p>
    <w:p w:rsidR="00173DB7" w:rsidRPr="00173DB7" w:rsidRDefault="00173DB7" w:rsidP="00173DB7">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173DB7">
        <w:rPr>
          <w:rFonts w:ascii="Arial" w:eastAsia="Times New Roman" w:hAnsi="Arial" w:cs="Arial"/>
          <w:b/>
          <w:bCs/>
          <w:color w:val="222222"/>
          <w:sz w:val="27"/>
          <w:szCs w:val="27"/>
        </w:rPr>
        <w:t>2016</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[18] +Jonnson B. &amp;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The Timescales of Global Surface-Ocean Connectivity. Nature Communications, 2016, 7, 1-6. [Oceanography]</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[17] Tilman, AR &amp; Watson, JR &amp; Levin, SA. Maintaining cooperation in social-ecological systems: Effective bottom-up management often requires sub-optimal resource use. Theoretical Ecology, 2016, doi:10.1007/s12080-016-0318-8. [Economics / Ecology]</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[16] +Barbier M and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xml:space="preserve">. The Spatial Dynamics of Predators and the Benefits and Costs of Information Sharing, PLoS Computational Biology, 2016. </w:t>
      </w:r>
      <w:r w:rsidRPr="00173DB7">
        <w:rPr>
          <w:rFonts w:ascii="Cambria Math" w:eastAsia="Times New Roman" w:hAnsi="Cambria Math" w:cs="Cambria Math"/>
          <w:color w:val="222222"/>
          <w:sz w:val="24"/>
          <w:szCs w:val="24"/>
        </w:rPr>
        <w:t>∗</w:t>
      </w:r>
      <w:r w:rsidRPr="00173DB7">
        <w:rPr>
          <w:rFonts w:ascii="Arial" w:eastAsia="Times New Roman" w:hAnsi="Arial" w:cs="Arial"/>
          <w:color w:val="222222"/>
          <w:sz w:val="24"/>
          <w:szCs w:val="24"/>
        </w:rPr>
        <w:t>co-lead author. [Ecology]</w:t>
      </w:r>
    </w:p>
    <w:p w:rsidR="00173DB7" w:rsidRPr="00173DB7" w:rsidRDefault="00173DB7" w:rsidP="00173DB7">
      <w:pPr>
        <w:shd w:val="clear" w:color="auto" w:fill="FFFFFF"/>
        <w:spacing w:before="100" w:beforeAutospacing="1" w:after="100" w:afterAutospacing="1" w:line="240" w:lineRule="auto"/>
        <w:rPr>
          <w:rFonts w:ascii="Arial" w:eastAsia="Times New Roman" w:hAnsi="Arial" w:cs="Arial"/>
          <w:color w:val="222222"/>
          <w:sz w:val="24"/>
          <w:szCs w:val="24"/>
        </w:rPr>
      </w:pPr>
      <w:r w:rsidRPr="00173DB7">
        <w:rPr>
          <w:rFonts w:ascii="Arial" w:eastAsia="Times New Roman" w:hAnsi="Arial" w:cs="Arial"/>
          <w:color w:val="222222"/>
          <w:sz w:val="24"/>
          <w:szCs w:val="24"/>
        </w:rPr>
        <w:t>[15] Kleypas JA, Thompson DM, Castruccio FS, Curchitser EN, Pinsky M, &amp; </w:t>
      </w:r>
      <w:r w:rsidRPr="00173DB7">
        <w:rPr>
          <w:rFonts w:ascii="Arial" w:eastAsia="Times New Roman" w:hAnsi="Arial" w:cs="Arial"/>
          <w:b/>
          <w:bCs/>
          <w:color w:val="222222"/>
          <w:sz w:val="24"/>
          <w:szCs w:val="24"/>
        </w:rPr>
        <w:t>Watson JR</w:t>
      </w:r>
      <w:r w:rsidRPr="00173DB7">
        <w:rPr>
          <w:rFonts w:ascii="Arial" w:eastAsia="Times New Roman" w:hAnsi="Arial" w:cs="Arial"/>
          <w:color w:val="222222"/>
          <w:sz w:val="24"/>
          <w:szCs w:val="24"/>
        </w:rPr>
        <w:t>, Larval connectivity across temperature gradients, and its potential effect on heat tolerance in coral populations. Global Change Biology, DOI: 10.1111/gcb.13347. [Oceanography]</w:t>
      </w:r>
    </w:p>
    <w:p w:rsidR="00932333" w:rsidRDefault="00932333">
      <w:bookmarkStart w:id="0" w:name="_GoBack"/>
      <w:bookmarkEnd w:id="0"/>
    </w:p>
    <w:sectPr w:rsidR="00932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DB7"/>
    <w:rsid w:val="00173DB7"/>
    <w:rsid w:val="00932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F53D4-AB6C-4A4C-8BEE-71F18ABBE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73D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3D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3D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3D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14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1</cp:revision>
  <dcterms:created xsi:type="dcterms:W3CDTF">2020-04-04T21:58:00Z</dcterms:created>
  <dcterms:modified xsi:type="dcterms:W3CDTF">2020-04-04T21:58:00Z</dcterms:modified>
</cp:coreProperties>
</file>