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</w:t>
      </w:r>
      <w:proofErr w:type="spellStart"/>
      <w:r w:rsidRPr="00145FAB">
        <w:rPr>
          <w:rFonts w:asciiTheme="minorHAnsi" w:hAnsiTheme="minorHAnsi"/>
          <w:sz w:val="22"/>
          <w:lang w:val="pt-PT"/>
        </w:rPr>
        <w:t>água.</w:t>
      </w:r>
      <w:proofErr w:type="spellEnd"/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proofErr w:type="spellStart"/>
      <w:r w:rsidRPr="00145FAB">
        <w:rPr>
          <w:rFonts w:asciiTheme="minorHAnsi" w:hAnsiTheme="minorHAnsi"/>
          <w:sz w:val="22"/>
          <w:lang w:val="pt-PT"/>
        </w:rPr>
        <w:t>O</w:t>
      </w:r>
      <w:proofErr w:type="spellEnd"/>
      <w:r w:rsidRPr="00145FAB">
        <w:rPr>
          <w:rFonts w:asciiTheme="minorHAnsi" w:hAnsiTheme="minorHAnsi"/>
          <w:sz w:val="22"/>
          <w:lang w:val="pt-PT"/>
        </w:rPr>
        <w:t xml:space="preserve">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 xml:space="preserve">ESP32, sensores ambientais e uma bomba de água simulada. A comunicação entre os dispositivos é realizada através do protocolo MQTT, utilizando um broker público, enquanto a lógica de decisão, visualização e controlo é gerida através do ambiente de programação </w:t>
      </w:r>
      <w:proofErr w:type="gramStart"/>
      <w:r w:rsidRPr="00145FAB">
        <w:rPr>
          <w:rFonts w:asciiTheme="minorHAnsi" w:hAnsiTheme="minorHAnsi"/>
          <w:sz w:val="22"/>
          <w:lang w:val="pt-PT"/>
        </w:rPr>
        <w:t>visual Node</w:t>
      </w:r>
      <w:proofErr w:type="gramEnd"/>
      <w:r w:rsidRPr="00145FAB">
        <w:rPr>
          <w:rFonts w:asciiTheme="minorHAnsi" w:hAnsiTheme="minorHAnsi"/>
          <w:sz w:val="22"/>
          <w:lang w:val="pt-PT"/>
        </w:rPr>
        <w:t>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19D2F303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Look w:val="04A0" w:firstRow="1" w:lastRow="0" w:firstColumn="1" w:lastColumn="0" w:noHBand="0" w:noVBand="1"/>
      </w:tblPr>
      <w:tblGrid>
        <w:gridCol w:w="9449"/>
      </w:tblGrid>
      <w:tr w:rsidR="007B6FCD" w14:paraId="0D1CC405" w14:textId="77777777" w:rsidTr="007B6FCD">
        <w:tc>
          <w:tcPr>
            <w:tcW w:w="9629" w:type="dxa"/>
          </w:tcPr>
          <w:p w14:paraId="6466DDBA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</w:p>
          <w:p w14:paraId="32BC8019" w14:textId="3DBCD225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IMAGEM</w:t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  <w:bookmarkEnd w:id="1"/>
    </w:tbl>
    <w:p w14:paraId="187A5725" w14:textId="77777777" w:rsidR="007B6FCD" w:rsidRPr="00FF2116" w:rsidRDefault="007B6FCD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180" w:type="dxa"/>
        <w:tblLook w:val="04A0" w:firstRow="1" w:lastRow="0" w:firstColumn="1" w:lastColumn="0" w:noHBand="0" w:noVBand="1"/>
      </w:tblPr>
      <w:tblGrid>
        <w:gridCol w:w="9449"/>
      </w:tblGrid>
      <w:tr w:rsidR="007B6FCD" w14:paraId="541AA665" w14:textId="77777777" w:rsidTr="005254B6">
        <w:tc>
          <w:tcPr>
            <w:tcW w:w="9629" w:type="dxa"/>
          </w:tcPr>
          <w:p w14:paraId="4EFC782C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469B1FDA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IMAGEM</w:t>
            </w:r>
          </w:p>
          <w:p w14:paraId="4821CF4D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3C684A4F" w14:textId="44D5398B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 xml:space="preserve">A solução foi testada no ambiente de simulação Wokwi, o que permitiu validar todas as funcionalidades previstas, desde a recolha de dados até à execução da lógica de rega automática. A comunicação entre o ESP32 e </w:t>
      </w:r>
      <w:proofErr w:type="gramStart"/>
      <w:r w:rsidRPr="006203BB">
        <w:rPr>
          <w:rFonts w:asciiTheme="minorHAnsi" w:hAnsiTheme="minorHAnsi"/>
          <w:sz w:val="22"/>
          <w:lang w:val="pt-PT"/>
        </w:rPr>
        <w:t>o Node</w:t>
      </w:r>
      <w:proofErr w:type="gramEnd"/>
      <w:r w:rsidRPr="006203BB">
        <w:rPr>
          <w:rFonts w:asciiTheme="minorHAnsi" w:hAnsiTheme="minorHAnsi"/>
          <w:sz w:val="22"/>
          <w:lang w:val="pt-PT"/>
        </w:rPr>
        <w:t>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C3C820A" w14:textId="39E7F0DE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3395B610" w14:textId="77777777" w:rsidR="00CD1C4A" w:rsidRDefault="00CD1C4A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tbl>
      <w:tblPr>
        <w:tblStyle w:val="TabelacomGrelha"/>
        <w:tblW w:w="9629" w:type="dxa"/>
        <w:tblInd w:w="175" w:type="dxa"/>
        <w:tblLook w:val="04A0" w:firstRow="1" w:lastRow="0" w:firstColumn="1" w:lastColumn="0" w:noHBand="0" w:noVBand="1"/>
      </w:tblPr>
      <w:tblGrid>
        <w:gridCol w:w="9629"/>
      </w:tblGrid>
      <w:tr w:rsidR="00721BF8" w14:paraId="5D31957F" w14:textId="77777777" w:rsidTr="00721BF8">
        <w:tc>
          <w:tcPr>
            <w:tcW w:w="9629" w:type="dxa"/>
          </w:tcPr>
          <w:p w14:paraId="63CAA8AC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0879969D" w14:textId="49549C93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IMAGEM</w:t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6E5B8761" w14:textId="77AFFF6F" w:rsidR="0056618C" w:rsidRPr="007E57C4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759CCE26" w14:textId="77777777" w:rsidR="00744759" w:rsidRDefault="00744759">
      <w:pPr>
        <w:spacing w:after="0" w:line="240" w:lineRule="auto"/>
        <w:jc w:val="left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>
        <w:rPr>
          <w:rFonts w:asciiTheme="minorHAnsi" w:hAnsiTheme="minorHAnsi" w:cs="Arial"/>
          <w:b/>
          <w:bCs/>
        </w:rPr>
        <w:br w:type="page"/>
      </w: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0A0074">
        <w:rPr>
          <w:rFonts w:asciiTheme="minorHAnsi" w:hAnsiTheme="minorHAnsi"/>
          <w:sz w:val="22"/>
          <w:lang w:val="pt-PT"/>
        </w:rPr>
        <w:t>Arduino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0A0074">
        <w:rPr>
          <w:rFonts w:asciiTheme="minorHAnsi" w:hAnsiTheme="minorHAnsi"/>
          <w:sz w:val="22"/>
          <w:lang w:val="pt-PT"/>
        </w:rPr>
        <w:t>Hub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8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c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9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/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pt-PT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0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d</w:t>
        </w:r>
        <w:r w:rsidRPr="005F3EC0">
          <w:rPr>
            <w:rStyle w:val="Hiperligao"/>
            <w:rFonts w:asciiTheme="minorHAnsi" w:hAnsiTheme="minorHAnsi"/>
            <w:sz w:val="22"/>
            <w:lang w:val="pt-PT"/>
          </w:rPr>
          <w:t>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pt-PT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1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5119F0EE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14FA2756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7EC08EF6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03FF2F2F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7BA4A7F7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278A6DC8" w14:textId="77777777" w:rsidR="00B266C1" w:rsidRPr="009109D5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04A24FED" w14:textId="77777777" w:rsidR="00AE77D4" w:rsidRPr="009109D5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sectPr w:rsidR="00AE77D4" w:rsidRPr="009109D5" w:rsidSect="007C0E7D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43D28" w14:textId="77777777" w:rsidR="00673C43" w:rsidRDefault="00673C43" w:rsidP="00422B06">
      <w:pPr>
        <w:spacing w:after="0" w:line="240" w:lineRule="auto"/>
      </w:pPr>
      <w:r>
        <w:separator/>
      </w:r>
    </w:p>
  </w:endnote>
  <w:endnote w:type="continuationSeparator" w:id="0">
    <w:p w14:paraId="3C641E74" w14:textId="77777777" w:rsidR="00673C43" w:rsidRDefault="00673C43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4A356" w14:textId="77777777" w:rsidR="00673C43" w:rsidRDefault="00673C43" w:rsidP="00422B06">
      <w:pPr>
        <w:spacing w:after="0" w:line="240" w:lineRule="auto"/>
      </w:pPr>
      <w:r>
        <w:separator/>
      </w:r>
    </w:p>
  </w:footnote>
  <w:footnote w:type="continuationSeparator" w:id="0">
    <w:p w14:paraId="6D0E20EF" w14:textId="77777777" w:rsidR="00673C43" w:rsidRDefault="00673C43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7B33"/>
    <w:rsid w:val="001257A6"/>
    <w:rsid w:val="00145FAB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6871"/>
    <w:rsid w:val="003D3EDC"/>
    <w:rsid w:val="003E1C13"/>
    <w:rsid w:val="003F1D0A"/>
    <w:rsid w:val="004067DD"/>
    <w:rsid w:val="00407770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428"/>
    <w:rsid w:val="007E0BAF"/>
    <w:rsid w:val="007E2496"/>
    <w:rsid w:val="007E57C4"/>
    <w:rsid w:val="007F346E"/>
    <w:rsid w:val="00800A8C"/>
    <w:rsid w:val="00842393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46077"/>
    <w:rsid w:val="00A6106A"/>
    <w:rsid w:val="00A71180"/>
    <w:rsid w:val="00A73E36"/>
    <w:rsid w:val="00A76121"/>
    <w:rsid w:val="00A86FC9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34898"/>
    <w:rsid w:val="00D37DE9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kwi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nodered.org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qx.i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1704</Words>
  <Characters>9716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33</cp:revision>
  <cp:lastPrinted>2015-06-04T15:21:00Z</cp:lastPrinted>
  <dcterms:created xsi:type="dcterms:W3CDTF">2025-05-13T16:28:00Z</dcterms:created>
  <dcterms:modified xsi:type="dcterms:W3CDTF">2025-05-25T08:29:00Z</dcterms:modified>
</cp:coreProperties>
</file>