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ptos" w:hAnsi="Aptos"/>
          <w:b/>
          <w:i w:val="0"/>
          <w:color w:val="2E7D5B"/>
          <w:sz w:val="18"/>
        </w:rPr>
        <w:t>HR &amp; PAYROLL CONTROL ROOM</w:t>
      </w:r>
    </w:p>
    <w:p>
      <w:pPr>
        <w:spacing w:after="140"/>
      </w:pPr>
      <w:r>
        <w:rPr>
          <w:rFonts w:ascii="Aptos Display" w:hAnsi="Aptos Display"/>
          <w:b/>
          <w:i w:val="0"/>
          <w:color w:val="1C2430"/>
          <w:sz w:val="56"/>
        </w:rPr>
        <w:t>Operator Training Guide</w:t>
      </w:r>
    </w:p>
    <w:p>
      <w:pPr>
        <w:spacing w:after="360"/>
      </w:pPr>
      <w:r>
        <w:rPr>
          <w:rFonts w:ascii="Aptos" w:hAnsi="Aptos"/>
          <w:b w:val="0"/>
          <w:i w:val="0"/>
          <w:color w:val="5C6774"/>
          <w:sz w:val="26"/>
        </w:rPr>
        <w:t>How David and Val manage employees, time, payroll preparation, checks, taxes, contractors, and records.</w:t>
      </w:r>
    </w:p>
    <w:p>
      <w:pPr>
        <w:spacing w:after="480"/>
      </w:pPr>
      <w:r>
        <w:rPr>
          <w:rFonts w:ascii="Aptos" w:hAnsi="Aptos"/>
          <w:b/>
          <w:i w:val="0"/>
          <w:color w:val="2B3644"/>
          <w:sz w:val="20"/>
        </w:rPr>
        <w:t>For: David Narayan and Val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Aptos" w:hAnsi="Aptos"/>
                <w:b/>
                <w:i w:val="0"/>
                <w:color w:val="2B3644"/>
                <w:sz w:val="17"/>
              </w:rPr>
              <w:t>WHAT THIS SYSTEM IS</w:t>
            </w:r>
          </w:p>
          <w:p>
            <w:pPr>
              <w:spacing w:after="0"/>
            </w:pPr>
            <w:r>
              <w:rPr>
                <w:rFonts w:ascii="Aptos" w:hAnsi="Aptos"/>
                <w:b w:val="0"/>
                <w:i w:val="0"/>
                <w:color w:val="2B3644"/>
                <w:sz w:val="21"/>
              </w:rPr>
              <w:t>Anata is the control room: it gathers information, calculates a reviewable payroll estimate, flags missing work, freezes an approved version, and preserves evidence. It does not currently initiate bank transfers or file taxes.</w:t>
            </w:r>
          </w:p>
        </w:tc>
        <w:trPr>
          <w:tblHeader/>
        </w:trPr>
      </w:tr>
    </w:tbl>
    <w:p>
      <w:pPr>
        <w:spacing w:after="20"/>
      </w:pPr>
    </w:p>
    <w:p>
      <w:pPr>
        <w:pStyle w:val="Heading1"/>
      </w:pPr>
      <w:r>
        <w:t>The three rules to remember</w:t>
      </w:r>
    </w:p>
    <w:p>
      <w:pPr>
        <w:pStyle w:val="ListBullet"/>
      </w:pPr>
      <w:r>
        <w:t>No sensitive employee action is complete until the system shows it as complete.</w:t>
      </w:r>
    </w:p>
    <w:p>
      <w:pPr>
        <w:pStyle w:val="ListBullet"/>
      </w:pPr>
      <w:r>
        <w:t>Preparing payroll is not approving payroll; the second person must explicitly approve the frozen version.</w:t>
      </w:r>
    </w:p>
    <w:p>
      <w:pPr>
        <w:pStyle w:val="ListBullet"/>
      </w:pPr>
      <w:r>
        <w:t>A check, tax deposit, filing, or Wise transfer is not complete until its outside confirmation is recorded and reconciled.</w:t>
      </w:r>
    </w:p>
    <w:p>
      <w:pPr>
        <w:pStyle w:val="Heading1"/>
      </w:pPr>
      <w:r>
        <w:t>Who does what</w:t>
      </w:r>
    </w:p>
    <w:tbl>
      <w:tblPr>
        <w:tblStyle w:val="TableGrid"/>
        <w:tblW w:type="dxa" w:w="9360"/>
        <w:tblLayout w:type="fixed"/>
        <w:tblLook w:firstColumn="1" w:firstRow="1" w:lastColumn="0" w:lastRow="0" w:noHBand="0" w:noVBand="1" w:val="04A0"/>
        <w:jc w:val="left"/>
        <w:tblInd w:w="120" w:type="dxa"/>
      </w:tblPr>
      <w:tblGrid>
        <w:gridCol w:w="1350"/>
        <w:gridCol w:w="5230"/>
        <w:gridCol w:w="2780"/>
      </w:tblGrid>
      <w:tr>
        <w:tc>
          <w:tcPr>
            <w:tcW w:type="dxa" w:w="1350"/>
            <w:tcMar>
              <w:top w:w="80" w:type="dxa"/>
              <w:start w:w="120" w:type="dxa"/>
              <w:bottom w:w="80" w:type="dxa"/>
              <w:end w:w="120" w:type="dxa"/>
            </w:tcMar>
            <w:vAlign w:val="center"/>
            <w:shd w:fill="E8EEF5"/>
          </w:tcPr>
          <w:p>
            <w:pPr>
              <w:jc w:val="left"/>
            </w:pPr>
            <w:r>
              <w:rPr>
                <w:rFonts w:ascii="Aptos" w:hAnsi="Aptos"/>
                <w:b/>
                <w:i w:val="0"/>
                <w:color w:val="1C2430"/>
                <w:sz w:val="18"/>
              </w:rPr>
              <w:t>Person</w:t>
            </w:r>
          </w:p>
        </w:tc>
        <w:tc>
          <w:tcPr>
            <w:tcW w:type="dxa" w:w="5230"/>
            <w:tcMar>
              <w:top w:w="80" w:type="dxa"/>
              <w:start w:w="120" w:type="dxa"/>
              <w:bottom w:w="80" w:type="dxa"/>
              <w:end w:w="120" w:type="dxa"/>
            </w:tcMar>
            <w:vAlign w:val="center"/>
            <w:shd w:fill="E8EEF5"/>
          </w:tcPr>
          <w:p>
            <w:pPr>
              <w:jc w:val="left"/>
            </w:pPr>
            <w:r>
              <w:rPr>
                <w:rFonts w:ascii="Aptos" w:hAnsi="Aptos"/>
                <w:b/>
                <w:i w:val="0"/>
                <w:color w:val="1C2430"/>
                <w:sz w:val="18"/>
              </w:rPr>
              <w:t>Normal responsibilities</w:t>
            </w:r>
          </w:p>
        </w:tc>
        <w:tc>
          <w:tcPr>
            <w:tcW w:type="dxa" w:w="2780"/>
            <w:tcMar>
              <w:top w:w="80" w:type="dxa"/>
              <w:start w:w="120" w:type="dxa"/>
              <w:bottom w:w="80" w:type="dxa"/>
              <w:end w:w="120" w:type="dxa"/>
            </w:tcMar>
            <w:vAlign w:val="center"/>
            <w:shd w:fill="E8EEF5"/>
          </w:tcPr>
          <w:p>
            <w:pPr>
              <w:jc w:val="left"/>
            </w:pPr>
            <w:r>
              <w:rPr>
                <w:rFonts w:ascii="Aptos" w:hAnsi="Aptos"/>
                <w:b/>
                <w:i w:val="0"/>
                <w:color w:val="1C2430"/>
                <w:sz w:val="18"/>
              </w:rPr>
              <w:t>Must not do</w:t>
            </w:r>
          </w:p>
        </w:tc>
        <w:trPr>
          <w:tblHeader/>
        </w:trPr>
      </w:tr>
      <w:tr>
        <w:tc>
          <w:tcPr>
            <w:tcW w:type="dxa" w:w="1350"/>
            <w:tcMar>
              <w:top w:w="80" w:type="dxa"/>
              <w:start w:w="120" w:type="dxa"/>
              <w:bottom w:w="80" w:type="dxa"/>
              <w:end w:w="120" w:type="dxa"/>
            </w:tcMar>
            <w:vAlign w:val="center"/>
          </w:tcPr>
          <w:p>
            <w:pPr>
              <w:spacing w:after="0"/>
            </w:pPr>
            <w:r>
              <w:rPr>
                <w:rFonts w:ascii="Aptos" w:hAnsi="Aptos"/>
                <w:b w:val="0"/>
                <w:i w:val="0"/>
                <w:color w:val="2B3644"/>
                <w:sz w:val="18"/>
              </w:rPr>
              <w:t>Employee</w:t>
            </w:r>
          </w:p>
        </w:tc>
        <w:tc>
          <w:tcPr>
            <w:tcW w:type="dxa" w:w="5230"/>
            <w:tcMar>
              <w:top w:w="80" w:type="dxa"/>
              <w:start w:w="120" w:type="dxa"/>
              <w:bottom w:w="80" w:type="dxa"/>
              <w:end w:w="120" w:type="dxa"/>
            </w:tcMar>
            <w:vAlign w:val="center"/>
          </w:tcPr>
          <w:p>
            <w:pPr>
              <w:spacing w:after="0"/>
            </w:pPr>
            <w:r>
              <w:rPr>
                <w:rFonts w:ascii="Aptos" w:hAnsi="Aptos"/>
                <w:b w:val="0"/>
                <w:i w:val="0"/>
                <w:color w:val="2B3644"/>
                <w:sz w:val="18"/>
              </w:rPr>
              <w:t>Completes their own profile, W-4, attestations, clocking, correction requests, PTO requests, and views their own statements.</w:t>
            </w:r>
          </w:p>
        </w:tc>
        <w:tc>
          <w:tcPr>
            <w:tcW w:type="dxa" w:w="2780"/>
            <w:tcMar>
              <w:top w:w="80" w:type="dxa"/>
              <w:start w:w="120" w:type="dxa"/>
              <w:bottom w:w="80" w:type="dxa"/>
              <w:end w:w="120" w:type="dxa"/>
            </w:tcMar>
            <w:vAlign w:val="center"/>
          </w:tcPr>
          <w:p>
            <w:pPr>
              <w:spacing w:after="0"/>
            </w:pPr>
            <w:r>
              <w:rPr>
                <w:rFonts w:ascii="Aptos" w:hAnsi="Aptos"/>
                <w:b w:val="0"/>
                <w:i w:val="0"/>
                <w:color w:val="2B3644"/>
                <w:sz w:val="18"/>
              </w:rPr>
              <w:t>View another employee’s private information or approve their own request.</w:t>
            </w:r>
          </w:p>
        </w:tc>
      </w:tr>
      <w:tr>
        <w:tc>
          <w:tcPr>
            <w:tcW w:type="dxa" w:w="1350"/>
            <w:tcMar>
              <w:top w:w="80" w:type="dxa"/>
              <w:start w:w="120" w:type="dxa"/>
              <w:bottom w:w="80" w:type="dxa"/>
              <w:end w:w="120" w:type="dxa"/>
            </w:tcMar>
            <w:vAlign w:val="center"/>
          </w:tcPr>
          <w:p>
            <w:pPr>
              <w:spacing w:after="0"/>
            </w:pPr>
            <w:r>
              <w:rPr>
                <w:rFonts w:ascii="Aptos" w:hAnsi="Aptos"/>
                <w:b w:val="0"/>
                <w:i w:val="0"/>
                <w:color w:val="2B3644"/>
                <w:sz w:val="18"/>
              </w:rPr>
              <w:t>Val</w:t>
            </w:r>
          </w:p>
        </w:tc>
        <w:tc>
          <w:tcPr>
            <w:tcW w:type="dxa" w:w="5230"/>
            <w:tcMar>
              <w:top w:w="80" w:type="dxa"/>
              <w:start w:w="120" w:type="dxa"/>
              <w:bottom w:w="80" w:type="dxa"/>
              <w:end w:w="120" w:type="dxa"/>
            </w:tcMar>
            <w:vAlign w:val="center"/>
          </w:tcPr>
          <w:p>
            <w:pPr>
              <w:spacing w:after="0"/>
            </w:pPr>
            <w:r>
              <w:rPr>
                <w:rFonts w:ascii="Aptos" w:hAnsi="Aptos"/>
                <w:b w:val="0"/>
                <w:i w:val="0"/>
                <w:color w:val="2B3644"/>
                <w:sz w:val="18"/>
              </w:rPr>
              <w:t>Adds employees, sends invitations, reviews onboarding, time and PTO, prepares payroll, records checks and external confirmations.</w:t>
            </w:r>
          </w:p>
        </w:tc>
        <w:tc>
          <w:tcPr>
            <w:tcW w:type="dxa" w:w="2780"/>
            <w:tcMar>
              <w:top w:w="80" w:type="dxa"/>
              <w:start w:w="120" w:type="dxa"/>
              <w:bottom w:w="80" w:type="dxa"/>
              <w:end w:w="120" w:type="dxa"/>
            </w:tcMar>
            <w:vAlign w:val="center"/>
          </w:tcPr>
          <w:p>
            <w:pPr>
              <w:spacing w:after="0"/>
            </w:pPr>
            <w:r>
              <w:rPr>
                <w:rFonts w:ascii="Aptos" w:hAnsi="Aptos"/>
                <w:b w:val="0"/>
                <w:i w:val="0"/>
                <w:color w:val="2B3644"/>
                <w:sz w:val="18"/>
              </w:rPr>
              <w:t>Approve a payroll version she prepared without a separate authorized approver.</w:t>
            </w:r>
          </w:p>
        </w:tc>
      </w:tr>
      <w:tr>
        <w:tc>
          <w:tcPr>
            <w:tcW w:type="dxa" w:w="1350"/>
            <w:tcMar>
              <w:top w:w="80" w:type="dxa"/>
              <w:start w:w="120" w:type="dxa"/>
              <w:bottom w:w="80" w:type="dxa"/>
              <w:end w:w="120" w:type="dxa"/>
            </w:tcMar>
            <w:vAlign w:val="center"/>
          </w:tcPr>
          <w:p>
            <w:pPr>
              <w:spacing w:after="0"/>
            </w:pPr>
            <w:r>
              <w:rPr>
                <w:rFonts w:ascii="Aptos" w:hAnsi="Aptos"/>
                <w:b w:val="0"/>
                <w:i w:val="0"/>
                <w:color w:val="2B3644"/>
                <w:sz w:val="18"/>
              </w:rPr>
              <w:t>David</w:t>
            </w:r>
          </w:p>
        </w:tc>
        <w:tc>
          <w:tcPr>
            <w:tcW w:type="dxa" w:w="5230"/>
            <w:tcMar>
              <w:top w:w="80" w:type="dxa"/>
              <w:start w:w="120" w:type="dxa"/>
              <w:bottom w:w="80" w:type="dxa"/>
              <w:end w:w="120" w:type="dxa"/>
            </w:tcMar>
            <w:vAlign w:val="center"/>
          </w:tcPr>
          <w:p>
            <w:pPr>
              <w:spacing w:after="0"/>
            </w:pPr>
            <w:r>
              <w:rPr>
                <w:rFonts w:ascii="Aptos" w:hAnsi="Aptos"/>
                <w:b w:val="0"/>
                <w:i w:val="0"/>
                <w:color w:val="2B3644"/>
                <w:sz w:val="18"/>
              </w:rPr>
              <w:t>Can perform Val’s work and gives final payroll approval; resolves high-risk exceptions.</w:t>
            </w:r>
          </w:p>
        </w:tc>
        <w:tc>
          <w:tcPr>
            <w:tcW w:type="dxa" w:w="2780"/>
            <w:tcMar>
              <w:top w:w="80" w:type="dxa"/>
              <w:start w:w="120" w:type="dxa"/>
              <w:bottom w:w="80" w:type="dxa"/>
              <w:end w:w="120" w:type="dxa"/>
            </w:tcMar>
            <w:vAlign w:val="center"/>
          </w:tcPr>
          <w:p>
            <w:pPr>
              <w:spacing w:after="0"/>
            </w:pPr>
            <w:r>
              <w:rPr>
                <w:rFonts w:ascii="Aptos" w:hAnsi="Aptos"/>
                <w:b w:val="0"/>
                <w:i w:val="0"/>
                <w:color w:val="2B3644"/>
                <w:sz w:val="18"/>
              </w:rPr>
              <w:t>Treat verbal approval as the system record—approval must be recorded in Anata.</w:t>
            </w:r>
          </w:p>
        </w:tc>
      </w:tr>
      <w:tr>
        <w:tc>
          <w:tcPr>
            <w:tcW w:type="dxa" w:w="1350"/>
            <w:tcMar>
              <w:top w:w="80" w:type="dxa"/>
              <w:start w:w="120" w:type="dxa"/>
              <w:bottom w:w="80" w:type="dxa"/>
              <w:end w:w="120" w:type="dxa"/>
            </w:tcMar>
            <w:vAlign w:val="center"/>
          </w:tcPr>
          <w:p>
            <w:pPr>
              <w:spacing w:after="0"/>
            </w:pPr>
            <w:r>
              <w:rPr>
                <w:rFonts w:ascii="Aptos" w:hAnsi="Aptos"/>
                <w:b w:val="0"/>
                <w:i w:val="0"/>
                <w:color w:val="2B3644"/>
                <w:sz w:val="18"/>
              </w:rPr>
              <w:t>Qualified payroll/tax reviewer</w:t>
            </w:r>
          </w:p>
        </w:tc>
        <w:tc>
          <w:tcPr>
            <w:tcW w:type="dxa" w:w="5230"/>
            <w:tcMar>
              <w:top w:w="80" w:type="dxa"/>
              <w:start w:w="120" w:type="dxa"/>
              <w:bottom w:w="80" w:type="dxa"/>
              <w:end w:w="120" w:type="dxa"/>
            </w:tcMar>
            <w:vAlign w:val="center"/>
          </w:tcPr>
          <w:p>
            <w:pPr>
              <w:spacing w:after="0"/>
            </w:pPr>
            <w:r>
              <w:rPr>
                <w:rFonts w:ascii="Aptos" w:hAnsi="Aptos"/>
                <w:b w:val="0"/>
                <w:i w:val="0"/>
                <w:color w:val="2B3644"/>
                <w:sz w:val="18"/>
              </w:rPr>
              <w:t>Confirms opening balances, tax setup, deposit schedule, and calculation rules before first live use.</w:t>
            </w:r>
          </w:p>
        </w:tc>
        <w:tc>
          <w:tcPr>
            <w:tcW w:type="dxa" w:w="2780"/>
            <w:tcMar>
              <w:top w:w="80" w:type="dxa"/>
              <w:start w:w="120" w:type="dxa"/>
              <w:bottom w:w="80" w:type="dxa"/>
              <w:end w:w="120" w:type="dxa"/>
            </w:tcMar>
            <w:vAlign w:val="center"/>
          </w:tcPr>
          <w:p>
            <w:pPr>
              <w:spacing w:after="0"/>
            </w:pPr>
            <w:r>
              <w:rPr>
                <w:rFonts w:ascii="Aptos" w:hAnsi="Aptos"/>
                <w:b w:val="0"/>
                <w:i w:val="0"/>
                <w:color w:val="2B3644"/>
                <w:sz w:val="18"/>
              </w:rPr>
              <w:t>Be replaced by an app checkbox when professional review is required.</w:t>
            </w:r>
          </w:p>
        </w:tc>
      </w:tr>
    </w:tbl>
    <w:p>
      <w:pPr>
        <w:spacing w:after="20"/>
      </w:pPr>
    </w:p>
    <w:p>
      <w:r>
        <w:br w:type="page"/>
      </w:r>
    </w:p>
    <w:p>
      <w:pPr>
        <w:pStyle w:val="Heading1"/>
      </w:pPr>
      <w:r>
        <w:t>1. First-time company setup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60"/>
            </w:pPr>
            <w:r>
              <w:rPr>
                <w:rFonts w:ascii="Aptos" w:hAnsi="Aptos"/>
                <w:b/>
                <w:i w:val="0"/>
                <w:color w:val="7A5A00"/>
                <w:sz w:val="17"/>
              </w:rPr>
              <w:t>DO THIS BEFORE THE FIRST LIVE PAYROLL</w:t>
            </w:r>
          </w:p>
          <w:p>
            <w:pPr>
              <w:spacing w:after="0"/>
            </w:pPr>
            <w:r>
              <w:rPr>
                <w:rFonts w:ascii="Aptos" w:hAnsi="Aptos"/>
                <w:b w:val="0"/>
                <w:i w:val="0"/>
                <w:color w:val="2B3644"/>
                <w:sz w:val="21"/>
              </w:rPr>
              <w:t>Open HR → Settings. Payroll preparation remains blocked until the required setup is complete.</w:t>
            </w:r>
          </w:p>
        </w:tc>
        <w:trPr>
          <w:tblHeader/>
        </w:trPr>
      </w:tr>
    </w:tbl>
    <w:p>
      <w:pPr>
        <w:spacing w:after="20"/>
      </w:pPr>
    </w:p>
    <w:p>
      <w:pPr>
        <w:spacing w:before="160" w:after="60"/>
      </w:pPr>
      <w:r>
        <w:rPr>
          <w:rFonts w:ascii="Aptos" w:hAnsi="Aptos"/>
          <w:b/>
          <w:i w:val="0"/>
          <w:color w:val="1C2430"/>
          <w:sz w:val="23"/>
        </w:rPr>
        <w:t>1. Confirm the company profile</w:t>
      </w:r>
    </w:p>
    <w:p>
      <w:pPr>
        <w:ind w:left="259"/>
      </w:pPr>
      <w:r>
        <w:t>Enter Anata’s legal name, address, payroll contact, EIN last four, Utah account last four, federal deposit schedule, Utah withholding frequency, and a source note.</w:t>
      </w:r>
    </w:p>
    <w:p>
      <w:pPr>
        <w:spacing w:before="160" w:after="60"/>
      </w:pPr>
      <w:r>
        <w:rPr>
          <w:rFonts w:ascii="Aptos" w:hAnsi="Aptos"/>
          <w:b/>
          <w:i w:val="0"/>
          <w:color w:val="1C2430"/>
          <w:sz w:val="23"/>
        </w:rPr>
        <w:t>2. Enter 2026 opening balances</w:t>
      </w:r>
    </w:p>
    <w:p>
      <w:pPr>
        <w:ind w:left="259"/>
      </w:pPr>
      <w:r>
        <w:t>For each W-2 employee, enter year-to-date wages and withholding already paid before Anata became the system of record. Use prior payroll records, not memory.</w:t>
      </w:r>
    </w:p>
    <w:p>
      <w:pPr>
        <w:spacing w:before="160" w:after="60"/>
      </w:pPr>
      <w:r>
        <w:rPr>
          <w:rFonts w:ascii="Aptos" w:hAnsi="Aptos"/>
          <w:b/>
          <w:i w:val="0"/>
          <w:color w:val="1C2430"/>
          <w:sz w:val="23"/>
        </w:rPr>
        <w:t>3. Confirm portal readiness</w:t>
      </w:r>
    </w:p>
    <w:p>
      <w:pPr>
        <w:ind w:left="259"/>
      </w:pPr>
      <w:r>
        <w:t>Confirm access to EFTPS, Utah TAP, and the Utah unemployment portal. Anata records readiness; it does not log into or submit to those portals.</w:t>
      </w:r>
    </w:p>
    <w:p>
      <w:pPr>
        <w:spacing w:before="160" w:after="60"/>
      </w:pPr>
      <w:r>
        <w:rPr>
          <w:rFonts w:ascii="Aptos" w:hAnsi="Aptos"/>
          <w:b/>
          <w:i w:val="0"/>
          <w:color w:val="1C2430"/>
          <w:sz w:val="23"/>
        </w:rPr>
        <w:t>4. Enter the Utah unemployment rate</w:t>
      </w:r>
    </w:p>
    <w:p>
      <w:pPr>
        <w:ind w:left="259"/>
      </w:pPr>
      <w:r>
        <w:t>Use the rate on Anata’s Utah employer notice.</w:t>
      </w:r>
    </w:p>
    <w:p>
      <w:pPr>
        <w:spacing w:before="160" w:after="60"/>
      </w:pPr>
      <w:r>
        <w:rPr>
          <w:rFonts w:ascii="Aptos" w:hAnsi="Aptos"/>
          <w:b/>
          <w:i w:val="0"/>
          <w:color w:val="1C2430"/>
          <w:sz w:val="23"/>
        </w:rPr>
        <w:t>5. Obtain qualified review</w:t>
      </w:r>
    </w:p>
    <w:p>
      <w:pPr>
        <w:ind w:left="259"/>
      </w:pPr>
      <w:r>
        <w:t>A qualified payroll or tax professional reviews the 2026 setup and opening balances. Record the reviewer’s name, email, review date, evidence reference, note, and attestation. A checkbox alone does not complete this control.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E8"/>
          </w:tcPr>
          <w:p>
            <w:pPr>
              <w:spacing w:after="60"/>
            </w:pPr>
            <w:r>
              <w:rPr>
                <w:rFonts w:ascii="Aptos" w:hAnsi="Aptos"/>
                <w:b/>
                <w:i w:val="0"/>
                <w:color w:val="9B1C1C"/>
                <w:sz w:val="17"/>
              </w:rPr>
              <w:t>CURRENT PROVIDER STATUS</w:t>
            </w:r>
          </w:p>
          <w:p>
            <w:pPr>
              <w:spacing w:after="0"/>
            </w:pPr>
            <w:r>
              <w:rPr>
                <w:rFonts w:ascii="Aptos" w:hAnsi="Aptos"/>
                <w:b w:val="0"/>
                <w:i w:val="0"/>
                <w:color w:val="2B3644"/>
                <w:sz w:val="21"/>
              </w:rPr>
              <w:t>No payroll provider is connected. Plaid is not payroll. Checks, tax deposits, filings, and Wise transfers happen outside Anata and are then documented inside Anata.</w:t>
            </w:r>
          </w:p>
        </w:tc>
        <w:trPr>
          <w:tblHeader/>
        </w:trPr>
      </w:tr>
    </w:tbl>
    <w:p>
      <w:pPr>
        <w:spacing w:after="20"/>
      </w:pPr>
    </w:p>
    <w:p>
      <w:pPr>
        <w:pStyle w:val="Heading1"/>
      </w:pPr>
      <w:r>
        <w:t>2. Add an employee and send the invitation</w:t>
      </w:r>
    </w:p>
    <w:p>
      <w:pPr>
        <w:spacing w:before="160" w:after="60"/>
      </w:pPr>
      <w:r>
        <w:rPr>
          <w:rFonts w:ascii="Aptos" w:hAnsi="Aptos"/>
          <w:b/>
          <w:i w:val="0"/>
          <w:color w:val="1C2430"/>
          <w:sz w:val="23"/>
        </w:rPr>
        <w:t>1. Create the employee</w:t>
      </w:r>
    </w:p>
    <w:p>
      <w:pPr>
        <w:ind w:left="259"/>
      </w:pPr>
      <w:r>
        <w:t>Go to HR → Employees → Add employee. Enter the employee’s work email, legal name, role, team, employee type, pay basis, compensation, phone, and active status.</w:t>
      </w:r>
    </w:p>
    <w:p>
      <w:pPr>
        <w:spacing w:before="160" w:after="60"/>
      </w:pPr>
      <w:r>
        <w:rPr>
          <w:rFonts w:ascii="Aptos" w:hAnsi="Aptos"/>
          <w:b/>
          <w:i w:val="0"/>
          <w:color w:val="1C2430"/>
          <w:sz w:val="23"/>
        </w:rPr>
        <w:t>2. Complete employment setup</w:t>
      </w:r>
    </w:p>
    <w:p>
      <w:pPr>
        <w:ind w:left="259"/>
      </w:pPr>
      <w:r>
        <w:t>Open the employee record and enter hire date, title, manager, exempt/nonexempt classification, hourly or fixed-semimonthly pay basis, expected hours, and fixed pay per period when applicable.</w:t>
      </w:r>
    </w:p>
    <w:p>
      <w:pPr>
        <w:spacing w:before="160" w:after="60"/>
      </w:pPr>
      <w:r>
        <w:rPr>
          <w:rFonts w:ascii="Aptos" w:hAnsi="Aptos"/>
          <w:b/>
          <w:i w:val="0"/>
          <w:color w:val="1C2430"/>
          <w:sz w:val="23"/>
        </w:rPr>
        <w:t>3. Check the pay type</w:t>
      </w:r>
    </w:p>
    <w:p>
      <w:pPr>
        <w:ind w:left="259"/>
      </w:pPr>
      <w:r>
        <w:t>Use hourly for exact clocked time. Use fixed semimonthly for the salaried employee. Contractors belong in the separate contractor workflow.</w:t>
      </w:r>
    </w:p>
    <w:p>
      <w:pPr>
        <w:spacing w:before="160" w:after="60"/>
      </w:pPr>
      <w:r>
        <w:rPr>
          <w:rFonts w:ascii="Aptos" w:hAnsi="Aptos"/>
          <w:b/>
          <w:i w:val="0"/>
          <w:color w:val="1C2430"/>
          <w:sz w:val="23"/>
        </w:rPr>
        <w:t>4. Send a secure invitation</w:t>
      </w:r>
    </w:p>
    <w:p>
      <w:pPr>
        <w:ind w:left="259"/>
      </w:pPr>
      <w:r>
        <w:t>Choose Send invitation. If email delivery succeeds, the employee receives the link. If not, copy the one-time link and send it through a trusted channel.</w:t>
      </w:r>
    </w:p>
    <w:p>
      <w:pPr>
        <w:spacing w:before="160" w:after="60"/>
      </w:pPr>
      <w:r>
        <w:rPr>
          <w:rFonts w:ascii="Aptos" w:hAnsi="Aptos"/>
          <w:b/>
          <w:i w:val="0"/>
          <w:color w:val="1C2430"/>
          <w:sz w:val="23"/>
        </w:rPr>
        <w:t>5. Follow progress</w:t>
      </w:r>
    </w:p>
    <w:p>
      <w:pPr>
        <w:ind w:left="259"/>
      </w:pPr>
      <w:r>
        <w:t>The HR dashboard and employee record show what is still needed. The daily HR reminder email identifies action items without including SSNs, pay amounts, or tax elections.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60"/>
            </w:pPr>
            <w:r>
              <w:rPr>
                <w:rFonts w:ascii="Aptos" w:hAnsi="Aptos"/>
                <w:b/>
                <w:i w:val="0"/>
                <w:color w:val="7A5A00"/>
                <w:sz w:val="17"/>
              </w:rPr>
              <w:t>INVITATION SAFETY</w:t>
            </w:r>
          </w:p>
          <w:p>
            <w:pPr>
              <w:spacing w:after="0"/>
            </w:pPr>
            <w:r>
              <w:rPr>
                <w:rFonts w:ascii="Aptos" w:hAnsi="Aptos"/>
                <w:b w:val="0"/>
                <w:i w:val="0"/>
                <w:color w:val="2B3644"/>
                <w:sz w:val="21"/>
              </w:rPr>
              <w:t>Never ask an employee to email an SSN, identity document, or bank information. The invitation is for the employee’s own authenticated session.</w:t>
            </w:r>
          </w:p>
        </w:tc>
        <w:trPr>
          <w:tblHeader/>
        </w:trPr>
      </w:tr>
    </w:tbl>
    <w:p>
      <w:pPr>
        <w:spacing w:after="20"/>
      </w:pPr>
    </w:p>
    <w:p>
      <w:r>
        <w:br w:type="page"/>
      </w:r>
    </w:p>
    <w:p>
      <w:pPr>
        <w:pStyle w:val="Heading1"/>
      </w:pPr>
      <w:r>
        <w:t>3. Employee onboarding and W-4</w:t>
      </w:r>
    </w:p>
    <w:p>
      <w:pPr>
        <w:pStyle w:val="Heading2"/>
      </w:pPr>
      <w:r>
        <w:t>What the employee completes</w:t>
      </w:r>
    </w:p>
    <w:p>
      <w:pPr>
        <w:pStyle w:val="ListBullet"/>
      </w:pPr>
      <w:r>
        <w:t>Personal address and emergency contact.</w:t>
      </w:r>
    </w:p>
    <w:p>
      <w:pPr>
        <w:pStyle w:val="ListBullet"/>
      </w:pPr>
      <w:r>
        <w:t>Federal W-4 filing status and optional adjustments.</w:t>
      </w:r>
    </w:p>
    <w:p>
      <w:pPr>
        <w:pStyle w:val="ListBullet"/>
      </w:pPr>
      <w:r>
        <w:t>Employee I-9 attestation using the official USCIS form and instructions.</w:t>
      </w:r>
    </w:p>
    <w:p>
      <w:pPr>
        <w:pStyle w:val="ListBullet"/>
      </w:pPr>
      <w:r>
        <w:t>Policy acknowledgement.</w:t>
      </w:r>
    </w:p>
    <w:p>
      <w:pPr>
        <w:pStyle w:val="Heading2"/>
      </w:pPr>
      <w:r>
        <w:t>How W-4 prefilling works</w:t>
      </w:r>
    </w:p>
    <w:p>
      <w:pPr>
        <w:pStyle w:val="ListBullet"/>
      </w:pPr>
      <w:r>
        <w:t>Name and address come from the employee profile.</w:t>
      </w:r>
    </w:p>
    <w:p>
      <w:pPr>
        <w:pStyle w:val="ListBullet"/>
      </w:pPr>
      <w:r>
        <w:t>A first-time employee must deliberately choose a filing status; Anata does not choose for them.</w:t>
      </w:r>
    </w:p>
    <w:p>
      <w:pPr>
        <w:pStyle w:val="ListBullet"/>
      </w:pPr>
      <w:r>
        <w:t>For a correction, current elections are prefilled.</w:t>
      </w:r>
    </w:p>
    <w:p>
      <w:pPr>
        <w:pStyle w:val="ListBullet"/>
      </w:pPr>
      <w:r>
        <w:t>The full Social Security number is never shown or prefilled. Only the last four are displayed, and the employee must re-enter the full number to sign a replacement.</w:t>
      </w:r>
    </w:p>
    <w:p>
      <w:pPr>
        <w:pStyle w:val="ListBullet"/>
      </w:pPr>
      <w:r>
        <w:t>Each signed replacement creates a new effective-dated record; the prior signed record stays in the audit history.</w:t>
      </w:r>
    </w:p>
    <w:p>
      <w:pPr>
        <w:pStyle w:val="Heading2"/>
      </w:pPr>
      <w:r>
        <w:t>What David or Val completes</w:t>
      </w:r>
    </w:p>
    <w:p>
      <w:pPr>
        <w:spacing w:before="160" w:after="60"/>
      </w:pPr>
      <w:r>
        <w:rPr>
          <w:rFonts w:ascii="Aptos" w:hAnsi="Aptos"/>
          <w:b/>
          <w:i w:val="0"/>
          <w:color w:val="1C2430"/>
          <w:sz w:val="23"/>
        </w:rPr>
        <w:t>1. Review onboarding</w:t>
      </w:r>
    </w:p>
    <w:p>
      <w:pPr>
        <w:ind w:left="259"/>
      </w:pPr>
      <w:r>
        <w:t>Confirm the employee’s profile and employment setup are internally consistent.</w:t>
      </w:r>
    </w:p>
    <w:p>
      <w:pPr>
        <w:spacing w:before="160" w:after="60"/>
      </w:pPr>
      <w:r>
        <w:rPr>
          <w:rFonts w:ascii="Aptos" w:hAnsi="Aptos"/>
          <w:b/>
          <w:i w:val="0"/>
          <w:color w:val="1C2430"/>
          <w:sz w:val="23"/>
        </w:rPr>
        <w:t>2. Complete employer I-9 review</w:t>
      </w:r>
    </w:p>
    <w:p>
      <w:pPr>
        <w:ind w:left="259"/>
      </w:pPr>
      <w:r>
        <w:t>Inspect acceptable original documents in person or through a legally permitted process. Record the document category, expiration when applicable, and review. Do not upload identity-document images into Anata.</w:t>
      </w:r>
    </w:p>
    <w:p>
      <w:pPr>
        <w:spacing w:before="160" w:after="60"/>
      </w:pPr>
      <w:r>
        <w:rPr>
          <w:rFonts w:ascii="Aptos" w:hAnsi="Aptos"/>
          <w:b/>
          <w:i w:val="0"/>
          <w:color w:val="1C2430"/>
          <w:sz w:val="23"/>
        </w:rPr>
        <w:t>3. Request a correction when needed</w:t>
      </w:r>
    </w:p>
    <w:p>
      <w:pPr>
        <w:ind w:left="259"/>
      </w:pPr>
      <w:r>
        <w:t>Use Request correction and explain exactly what the employee must fix. The previous submission remains preserved.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E8"/>
          </w:tcPr>
          <w:p>
            <w:pPr>
              <w:spacing w:after="60"/>
            </w:pPr>
            <w:r>
              <w:rPr>
                <w:rFonts w:ascii="Aptos" w:hAnsi="Aptos"/>
                <w:b/>
                <w:i w:val="0"/>
                <w:color w:val="9B1C1C"/>
                <w:sz w:val="17"/>
              </w:rPr>
              <w:t>NEVER CHOOSE FOR THE EMPLOYEE</w:t>
            </w:r>
          </w:p>
          <w:p>
            <w:pPr>
              <w:spacing w:after="0"/>
            </w:pPr>
            <w:r>
              <w:rPr>
                <w:rFonts w:ascii="Aptos" w:hAnsi="Aptos"/>
                <w:b w:val="0"/>
                <w:i w:val="0"/>
                <w:color w:val="2B3644"/>
                <w:sz w:val="21"/>
              </w:rPr>
              <w:t>David and Val may explain where a field appears, but they must not choose filing status, exemption, dependents, deductions, or other tax elections for the employee.</w:t>
            </w:r>
          </w:p>
        </w:tc>
        <w:trPr>
          <w:tblHeader/>
        </w:trPr>
      </w:tr>
    </w:tbl>
    <w:p>
      <w:pPr>
        <w:spacing w:after="20"/>
      </w:pPr>
    </w:p>
    <w:p>
      <w:pPr>
        <w:pStyle w:val="Heading1"/>
      </w:pPr>
      <w:r>
        <w:t>4. Daily timekeeping</w:t>
      </w:r>
    </w:p>
    <w:p>
      <w:pPr>
        <w:pStyle w:val="ListBullet"/>
      </w:pPr>
      <w:r>
        <w:t>Hourly employees clock in once when work begins and clock out once when work ends.</w:t>
      </w:r>
    </w:p>
    <w:p>
      <w:pPr>
        <w:pStyle w:val="ListBullet"/>
      </w:pPr>
      <w:r>
        <w:t>The system uses exact clocked time; the workweek is Sunday through Saturday.</w:t>
      </w:r>
    </w:p>
    <w:p>
      <w:pPr>
        <w:pStyle w:val="ListBullet"/>
      </w:pPr>
      <w:r>
        <w:t>Employees do not clock meal breaks separately in the current simple workflow unless policy changes.</w:t>
      </w:r>
    </w:p>
    <w:p>
      <w:pPr>
        <w:pStyle w:val="ListBullet"/>
      </w:pPr>
      <w:r>
        <w:t>Open punches block payroll preparation.</w:t>
      </w:r>
    </w:p>
    <w:p>
      <w:pPr>
        <w:pStyle w:val="Heading2"/>
      </w:pPr>
      <w:r>
        <w:t>Correcting time</w:t>
      </w:r>
    </w:p>
    <w:p>
      <w:pPr>
        <w:spacing w:before="160" w:after="60"/>
      </w:pPr>
      <w:r>
        <w:rPr>
          <w:rFonts w:ascii="Aptos" w:hAnsi="Aptos"/>
          <w:b/>
          <w:i w:val="0"/>
          <w:color w:val="1C2430"/>
          <w:sz w:val="23"/>
        </w:rPr>
        <w:t>1. Employee requests the correction</w:t>
      </w:r>
    </w:p>
    <w:p>
      <w:pPr>
        <w:ind w:left="259"/>
      </w:pPr>
      <w:r>
        <w:t>They choose the time entry, enter the proposed start/stop time, and explain why.</w:t>
      </w:r>
    </w:p>
    <w:p>
      <w:pPr>
        <w:spacing w:before="160" w:after="60"/>
      </w:pPr>
      <w:r>
        <w:rPr>
          <w:rFonts w:ascii="Aptos" w:hAnsi="Aptos"/>
          <w:b/>
          <w:i w:val="0"/>
          <w:color w:val="1C2430"/>
          <w:sz w:val="23"/>
        </w:rPr>
        <w:t>2. Another authorized person reviews it</w:t>
      </w:r>
    </w:p>
    <w:p>
      <w:pPr>
        <w:ind w:left="259"/>
      </w:pPr>
      <w:r>
        <w:t>The requester cannot approve their own correction. Review the original, proposed value, reason, and payroll impact.</w:t>
      </w:r>
    </w:p>
    <w:p>
      <w:pPr>
        <w:spacing w:before="160" w:after="60"/>
      </w:pPr>
      <w:r>
        <w:rPr>
          <w:rFonts w:ascii="Aptos" w:hAnsi="Aptos"/>
          <w:b/>
          <w:i w:val="0"/>
          <w:color w:val="1C2430"/>
          <w:sz w:val="23"/>
        </w:rPr>
        <w:t>3. Approve or reject</w:t>
      </w:r>
    </w:p>
    <w:p>
      <w:pPr>
        <w:ind w:left="259"/>
      </w:pPr>
      <w:r>
        <w:t>The decision and reviewer reason become part of the audit history.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Aptos" w:hAnsi="Aptos"/>
                <w:b/>
                <w:i w:val="0"/>
                <w:color w:val="2B3644"/>
                <w:sz w:val="17"/>
              </w:rPr>
              <w:t>OVERTIME</w:t>
            </w:r>
          </w:p>
          <w:p>
            <w:pPr>
              <w:spacing w:after="0"/>
            </w:pPr>
            <w:r>
              <w:rPr>
                <w:rFonts w:ascii="Aptos" w:hAnsi="Aptos"/>
                <w:b w:val="0"/>
                <w:i w:val="0"/>
                <w:color w:val="2B3644"/>
                <w:sz w:val="21"/>
              </w:rPr>
              <w:t>Anata calculates overtime by Sunday–Saturday workweek. PTO and holiday hours are paid hours but are not treated as hours worked for overtime.</w:t>
            </w:r>
          </w:p>
        </w:tc>
        <w:trPr>
          <w:tblHeader/>
        </w:trPr>
      </w:tr>
    </w:tbl>
    <w:p>
      <w:pPr>
        <w:spacing w:after="20"/>
      </w:pPr>
    </w:p>
    <w:p>
      <w:r>
        <w:br w:type="page"/>
      </w:r>
    </w:p>
    <w:p>
      <w:pPr>
        <w:pStyle w:val="Heading1"/>
      </w:pPr>
      <w:r>
        <w:t>5. PTO and holidays</w:t>
      </w:r>
    </w:p>
    <w:p>
      <w:pPr>
        <w:pStyle w:val="Heading2"/>
      </w:pPr>
      <w:r>
        <w:t>Current PTO policy in the system</w:t>
      </w:r>
    </w:p>
    <w:p>
      <w:pPr>
        <w:pStyle w:val="ListBullet"/>
      </w:pPr>
      <w:r>
        <w:t>One combined PTO bank covers vacation, illness, and personal time.</w:t>
      </w:r>
    </w:p>
    <w:p>
      <w:pPr>
        <w:pStyle w:val="ListBullet"/>
      </w:pPr>
      <w:r>
        <w:t>W-2 employees accrue one hour per 52 paid hours, up to 40 hours per policy year.</w:t>
      </w:r>
    </w:p>
    <w:p>
      <w:pPr>
        <w:pStyle w:val="ListBullet"/>
      </w:pPr>
      <w:r>
        <w:t>Eligibility begins after 90 days.</w:t>
      </w:r>
    </w:p>
    <w:p>
      <w:pPr>
        <w:pStyle w:val="ListBullet"/>
      </w:pPr>
      <w:r>
        <w:t>Employees cannot borrow against a future or negative balance.</w:t>
      </w:r>
    </w:p>
    <w:p>
      <w:pPr>
        <w:pStyle w:val="ListBullet"/>
      </w:pPr>
      <w:r>
        <w:t>PTO is paid at the employee’s base rate.</w:t>
      </w:r>
    </w:p>
    <w:p>
      <w:pPr>
        <w:pStyle w:val="Heading2"/>
      </w:pPr>
      <w:r>
        <w:t>Approve a PTO request</w:t>
      </w:r>
    </w:p>
    <w:p>
      <w:pPr>
        <w:spacing w:before="160" w:after="60"/>
      </w:pPr>
      <w:r>
        <w:rPr>
          <w:rFonts w:ascii="Aptos" w:hAnsi="Aptos"/>
          <w:b/>
          <w:i w:val="0"/>
          <w:color w:val="1C2430"/>
          <w:sz w:val="23"/>
        </w:rPr>
        <w:t>1. Open HR → Time &amp; PTO</w:t>
      </w:r>
    </w:p>
    <w:p>
      <w:pPr>
        <w:ind w:left="259"/>
      </w:pPr>
      <w:r>
        <w:t>Review employee, dates, hours, reason, eligibility, and available balance.</w:t>
      </w:r>
    </w:p>
    <w:p>
      <w:pPr>
        <w:spacing w:before="160" w:after="60"/>
      </w:pPr>
      <w:r>
        <w:rPr>
          <w:rFonts w:ascii="Aptos" w:hAnsi="Aptos"/>
          <w:b/>
          <w:i w:val="0"/>
          <w:color w:val="1C2430"/>
          <w:sz w:val="23"/>
        </w:rPr>
        <w:t>2. Approve or deny</w:t>
      </w:r>
    </w:p>
    <w:p>
      <w:pPr>
        <w:ind w:left="259"/>
      </w:pPr>
      <w:r>
        <w:t>The requester cannot approve their own request. The decision posts to the PTO record and later payroll treatment.</w:t>
      </w:r>
    </w:p>
    <w:p>
      <w:pPr>
        <w:pStyle w:val="Heading2"/>
      </w:pPr>
      <w:r>
        <w:t>Holiday handling</w:t>
      </w:r>
    </w:p>
    <w:p>
      <w:pPr>
        <w:pStyle w:val="ListBullet"/>
      </w:pPr>
      <w:r>
        <w:t>The paid-holiday calendar uses Anata’s configured holidays.</w:t>
      </w:r>
    </w:p>
    <w:p>
      <w:pPr>
        <w:pStyle w:val="ListBullet"/>
      </w:pPr>
      <w:r>
        <w:t>If a holiday falls Saturday, it is observed Friday; if it falls Sunday, it is observed Monday.</w:t>
      </w:r>
    </w:p>
    <w:p>
      <w:pPr>
        <w:pStyle w:val="ListBullet"/>
      </w:pPr>
      <w:r>
        <w:t>Holiday pay appears separately for payroll review.</w:t>
      </w:r>
    </w:p>
    <w:p>
      <w:pPr>
        <w:pStyle w:val="Heading1"/>
      </w:pPr>
      <w:r>
        <w:t>6. Prepare a semimonthly payroll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Aptos" w:hAnsi="Aptos"/>
                <w:b/>
                <w:i w:val="0"/>
                <w:color w:val="2B3644"/>
                <w:sz w:val="17"/>
              </w:rPr>
              <w:t>SCHEDULE</w:t>
            </w:r>
          </w:p>
          <w:p>
            <w:pPr>
              <w:spacing w:after="0"/>
            </w:pPr>
            <w:r>
              <w:rPr>
                <w:rFonts w:ascii="Aptos" w:hAnsi="Aptos"/>
                <w:b w:val="0"/>
                <w:i w:val="0"/>
                <w:color w:val="2B3644"/>
                <w:sz w:val="21"/>
              </w:rPr>
              <w:t>The 1st–15th is paid on the 20th. The 16th–month end is paid on the 5th of the following month. Saturday pay dates move to Friday; Sunday pay dates move to Monday.</w:t>
            </w:r>
          </w:p>
        </w:tc>
        <w:trPr>
          <w:tblHeader/>
        </w:trPr>
      </w:tr>
    </w:tbl>
    <w:p>
      <w:pPr>
        <w:spacing w:after="20"/>
      </w:pPr>
    </w:p>
    <w:p>
      <w:pPr>
        <w:spacing w:before="160" w:after="60"/>
      </w:pPr>
      <w:r>
        <w:rPr>
          <w:rFonts w:ascii="Aptos" w:hAnsi="Aptos"/>
          <w:b/>
          <w:i w:val="0"/>
          <w:color w:val="1C2430"/>
          <w:sz w:val="23"/>
        </w:rPr>
        <w:t>1. Open the correct period</w:t>
      </w:r>
    </w:p>
    <w:p>
      <w:pPr>
        <w:ind w:left="259"/>
      </w:pPr>
      <w:r>
        <w:t>Go to HR → Payroll and select a date inside the pay period.</w:t>
      </w:r>
    </w:p>
    <w:p>
      <w:pPr>
        <w:spacing w:before="160" w:after="60"/>
      </w:pPr>
      <w:r>
        <w:rPr>
          <w:rFonts w:ascii="Aptos" w:hAnsi="Aptos"/>
          <w:b/>
          <w:i w:val="0"/>
          <w:color w:val="1C2430"/>
          <w:sz w:val="23"/>
        </w:rPr>
        <w:t>2. Resolve readiness blockers</w:t>
      </w:r>
    </w:p>
    <w:p>
      <w:pPr>
        <w:ind w:left="259"/>
      </w:pPr>
      <w:r>
        <w:t>Finish employee setup, W-4s, open punches, time corrections, employee-submitted timesheets, independent timesheet approval, pending PTO, independently approved opening balances, qualified tax review, and pending payroll inputs.</w:t>
      </w:r>
    </w:p>
    <w:p>
      <w:pPr>
        <w:spacing w:before="160" w:after="60"/>
      </w:pPr>
      <w:r>
        <w:rPr>
          <w:rFonts w:ascii="Aptos" w:hAnsi="Aptos"/>
          <w:b/>
          <w:i w:val="0"/>
          <w:color w:val="1C2430"/>
          <w:sz w:val="23"/>
        </w:rPr>
        <w:t>3. Enter variable items</w:t>
      </w:r>
    </w:p>
    <w:p>
      <w:pPr>
        <w:ind w:left="259"/>
      </w:pPr>
      <w:r>
        <w:t>Add bonuses, commissions, accountable reimbursements, deductions, garnishments, holiday adjustments, or manual corrections. Add a business reason and receipt/evidence reference when required.</w:t>
      </w:r>
    </w:p>
    <w:p>
      <w:pPr>
        <w:spacing w:before="160" w:after="60"/>
      </w:pPr>
      <w:r>
        <w:rPr>
          <w:rFonts w:ascii="Aptos" w:hAnsi="Aptos"/>
          <w:b/>
          <w:i w:val="0"/>
          <w:color w:val="1C2430"/>
          <w:sz w:val="23"/>
        </w:rPr>
        <w:t>4. Review each input</w:t>
      </w:r>
    </w:p>
    <w:p>
      <w:pPr>
        <w:ind w:left="259"/>
      </w:pPr>
      <w:r>
        <w:t>Approve or reject pending items. Unusual changes are visibly flagged. Recurring deductions carry forward for fresh review; they are not silently accepted.</w:t>
      </w:r>
    </w:p>
    <w:p>
      <w:pPr>
        <w:spacing w:before="160" w:after="60"/>
      </w:pPr>
      <w:r>
        <w:rPr>
          <w:rFonts w:ascii="Aptos" w:hAnsi="Aptos"/>
          <w:b/>
          <w:i w:val="0"/>
          <w:color w:val="1C2430"/>
          <w:sz w:val="23"/>
        </w:rPr>
        <w:t>5. Prepare payroll</w:t>
      </w:r>
    </w:p>
    <w:p>
      <w:pPr>
        <w:ind w:left="259"/>
      </w:pPr>
      <w:r>
        <w:t>Preparation calculates a frozen version and shows gross wages, employee taxes, employer taxes, deductions, net pay, and total cash impact. Preparation does not move money.</w:t>
      </w:r>
    </w:p>
    <w:p>
      <w:pPr>
        <w:spacing w:before="160" w:after="60"/>
      </w:pPr>
      <w:r>
        <w:rPr>
          <w:rFonts w:ascii="Aptos" w:hAnsi="Aptos"/>
          <w:b/>
          <w:i w:val="0"/>
          <w:color w:val="1C2430"/>
          <w:sz w:val="23"/>
        </w:rPr>
        <w:t>6. Review employee lines</w:t>
      </w:r>
    </w:p>
    <w:p>
      <w:pPr>
        <w:ind w:left="259"/>
      </w:pPr>
      <w:r>
        <w:t>Open the prepared run. Compare hours, fixed pay, overtime, PTO/holiday, adjustments, taxes, deductions, and net pay employee by employee.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60"/>
            </w:pPr>
            <w:r>
              <w:rPr>
                <w:rFonts w:ascii="Aptos" w:hAnsi="Aptos"/>
                <w:b/>
                <w:i w:val="0"/>
                <w:color w:val="7A5A00"/>
                <w:sz w:val="17"/>
              </w:rPr>
              <w:t>STOP IF SOMETHING LOOKS WRONG</w:t>
            </w:r>
          </w:p>
          <w:p>
            <w:pPr>
              <w:spacing w:after="0"/>
            </w:pPr>
            <w:r>
              <w:rPr>
                <w:rFonts w:ascii="Aptos" w:hAnsi="Aptos"/>
                <w:b w:val="0"/>
                <w:i w:val="0"/>
                <w:color w:val="2B3644"/>
                <w:sz w:val="21"/>
              </w:rPr>
              <w:t>Correct the source record and prepare a new version. Do not approve a version just because the total seems close. The older version remains in history and the new version receives a new hash.</w:t>
            </w:r>
          </w:p>
        </w:tc>
        <w:trPr>
          <w:tblHeader/>
        </w:trPr>
      </w:tr>
    </w:tbl>
    <w:p>
      <w:pPr>
        <w:spacing w:after="20"/>
      </w:pPr>
    </w:p>
    <w:p>
      <w:r>
        <w:br w:type="page"/>
      </w:r>
    </w:p>
    <w:p>
      <w:pPr>
        <w:pStyle w:val="Heading1"/>
      </w:pPr>
      <w:r>
        <w:t>7. Approve and pay payroll</w:t>
      </w:r>
    </w:p>
    <w:p>
      <w:pPr>
        <w:spacing w:before="160" w:after="60"/>
      </w:pPr>
      <w:r>
        <w:rPr>
          <w:rFonts w:ascii="Aptos" w:hAnsi="Aptos"/>
          <w:b/>
          <w:i w:val="0"/>
          <w:color w:val="1C2430"/>
          <w:sz w:val="23"/>
        </w:rPr>
        <w:t>1. Use a second authorized person</w:t>
      </w:r>
    </w:p>
    <w:p>
      <w:pPr>
        <w:ind w:left="259"/>
      </w:pPr>
      <w:r>
        <w:t>A different authorized person reviews the frozen run. The system blocks self-approval.</w:t>
      </w:r>
    </w:p>
    <w:p>
      <w:pPr>
        <w:spacing w:before="160" w:after="60"/>
      </w:pPr>
      <w:r>
        <w:rPr>
          <w:rFonts w:ascii="Aptos" w:hAnsi="Aptos"/>
          <w:b/>
          <w:i w:val="0"/>
          <w:color w:val="1C2430"/>
          <w:sz w:val="23"/>
        </w:rPr>
        <w:t>2. Record explicit approval</w:t>
      </w:r>
    </w:p>
    <w:p>
      <w:pPr>
        <w:ind w:left="259"/>
      </w:pPr>
      <w:r>
        <w:t>The approver types the exact approval statement shown on screen. This replaces informal verbal approval as the official record.</w:t>
      </w:r>
    </w:p>
    <w:p>
      <w:pPr>
        <w:spacing w:before="160" w:after="60"/>
      </w:pPr>
      <w:r>
        <w:rPr>
          <w:rFonts w:ascii="Aptos" w:hAnsi="Aptos"/>
          <w:b/>
          <w:i w:val="0"/>
          <w:color w:val="1C2430"/>
          <w:sz w:val="23"/>
        </w:rPr>
        <w:t>3. Issue checks outside Anata</w:t>
      </w:r>
    </w:p>
    <w:p>
      <w:pPr>
        <w:ind w:left="259"/>
      </w:pPr>
      <w:r>
        <w:t>Until an authoritative payroll service is connected, fill and deliver paper checks using the approved amounts. Confirm each check number and issuance in the run. Do not describe an Anata estimate as authoritative payroll.</w:t>
      </w:r>
    </w:p>
    <w:p>
      <w:pPr>
        <w:spacing w:before="160" w:after="60"/>
      </w:pPr>
      <w:r>
        <w:rPr>
          <w:rFonts w:ascii="Aptos" w:hAnsi="Aptos"/>
          <w:b/>
          <w:i w:val="0"/>
          <w:color w:val="1C2430"/>
          <w:sz w:val="23"/>
        </w:rPr>
        <w:t>4. Use reissue when necessary</w:t>
      </w:r>
    </w:p>
    <w:p>
      <w:pPr>
        <w:ind w:left="259"/>
      </w:pPr>
      <w:r>
        <w:t>Void/reissue through the specific check action so the replacement and original stay linked. Never edit a check history row to hide the original.</w:t>
      </w:r>
    </w:p>
    <w:p>
      <w:pPr>
        <w:spacing w:before="160" w:after="60"/>
      </w:pPr>
      <w:r>
        <w:rPr>
          <w:rFonts w:ascii="Aptos" w:hAnsi="Aptos"/>
          <w:b/>
          <w:i w:val="0"/>
          <w:color w:val="1C2430"/>
          <w:sz w:val="23"/>
        </w:rPr>
        <w:t>5. Close the run</w:t>
      </w:r>
    </w:p>
    <w:p>
      <w:pPr>
        <w:ind w:left="259"/>
      </w:pPr>
      <w:r>
        <w:t>Close only after every check and required external action has been accounted for.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Aptos" w:hAnsi="Aptos"/>
                <w:b/>
                <w:i w:val="0"/>
                <w:color w:val="2B3644"/>
                <w:sz w:val="17"/>
              </w:rPr>
              <w:t>BANK TRANSFER GOAL</w:t>
            </w:r>
          </w:p>
          <w:p>
            <w:pPr>
              <w:spacing w:after="0"/>
            </w:pPr>
            <w:r>
              <w:rPr>
                <w:rFonts w:ascii="Aptos" w:hAnsi="Aptos"/>
                <w:b w:val="0"/>
                <w:i w:val="0"/>
                <w:color w:val="2B3644"/>
                <w:sz w:val="21"/>
              </w:rPr>
              <w:t>The future provider/mobile phase may add transfers, but no one should describe the current system as sending direct deposit.</w:t>
            </w:r>
          </w:p>
        </w:tc>
        <w:trPr>
          <w:tblHeader/>
        </w:trPr>
      </w:tr>
    </w:tbl>
    <w:p>
      <w:pPr>
        <w:spacing w:after="20"/>
      </w:pPr>
    </w:p>
    <w:p>
      <w:pPr>
        <w:pStyle w:val="Heading1"/>
      </w:pPr>
      <w:r>
        <w:t>8. Tax payments, filings, and reconciliation</w:t>
      </w:r>
    </w:p>
    <w:p>
      <w:pPr>
        <w:pStyle w:val="ListBullet"/>
      </w:pPr>
      <w:r>
        <w:t>After approval, Anata creates tax liabilities and due dates.</w:t>
      </w:r>
    </w:p>
    <w:p>
      <w:pPr>
        <w:pStyle w:val="ListBullet"/>
      </w:pPr>
      <w:r>
        <w:t>Make the actual deposit or filing through EFTPS, Utah TAP, Utah unemployment, or the responsible payroll professional/provider.</w:t>
      </w:r>
    </w:p>
    <w:p>
      <w:pPr>
        <w:pStyle w:val="ListBullet"/>
      </w:pPr>
      <w:r>
        <w:t>Return to the liability and record the payment confirmation, filing confirmation, confirmed amount, and evidence note.</w:t>
      </w:r>
    </w:p>
    <w:p>
      <w:pPr>
        <w:pStyle w:val="ListBullet"/>
      </w:pPr>
      <w:r>
        <w:t>Mark an item reconciled only when the outside confirmation matches the approved payroll liability.</w:t>
      </w:r>
    </w:p>
    <w:p>
      <w:pPr>
        <w:pStyle w:val="ListBullet"/>
      </w:pPr>
      <w:r>
        <w:t>A prepared or approved payroll does not mean taxes are paid or filed.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E8"/>
          </w:tcPr>
          <w:p>
            <w:pPr>
              <w:spacing w:after="60"/>
            </w:pPr>
            <w:r>
              <w:rPr>
                <w:rFonts w:ascii="Aptos" w:hAnsi="Aptos"/>
                <w:b/>
                <w:i w:val="0"/>
                <w:color w:val="9B1C1C"/>
                <w:sz w:val="17"/>
              </w:rPr>
              <w:t>FIRST-LIVE-RUN SAFEGUARD</w:t>
            </w:r>
          </w:p>
          <w:p>
            <w:pPr>
              <w:spacing w:after="0"/>
            </w:pPr>
            <w:r>
              <w:rPr>
                <w:rFonts w:ascii="Aptos" w:hAnsi="Aptos"/>
                <w:b w:val="0"/>
                <w:i w:val="0"/>
                <w:color w:val="2B3644"/>
                <w:sz w:val="21"/>
              </w:rPr>
              <w:t>Run at least one parallel payroll review with a qualified professional before relying on the calculation for live wages and deposits.</w:t>
            </w:r>
          </w:p>
        </w:tc>
        <w:trPr>
          <w:tblHeader/>
        </w:trPr>
      </w:tr>
    </w:tbl>
    <w:p>
      <w:pPr>
        <w:spacing w:after="20"/>
      </w:pPr>
    </w:p>
    <w:p>
      <w:pPr>
        <w:pStyle w:val="Heading2"/>
      </w:pPr>
      <w:r>
        <w:t>Recover the Base44 history</w:t>
      </w:r>
    </w:p>
    <w:p>
      <w:pPr/>
      <w:r>
        <w:t>Open HR → Settings → Recover the history you already exported. Select the original “HR data table export” ZIP and review the preview before importing anything.</w:t>
      </w:r>
    </w:p>
    <w:p>
      <w:pPr/>
      <w:r>
        <w:t>The preview shows the people, time entries, payroll history, issued checks, excluded sample rows, and a unique archive fingerprint. It does not write records.</w:t>
      </w:r>
    </w:p>
    <w:p>
      <w:pPr/>
      <w:r>
        <w:t>If the preview is correct, select the same ZIP again, confirm the review statement, and import. The matching fingerprint prevents a different file from being substituted after review.</w:t>
      </w:r>
    </w:p>
    <w:p>
      <w:pPr/>
      <w:r>
        <w:t>Recovered people remain inactive until David or Val reviews their current employment type and compensation. Historical Base44 tax settings are never activated. Opening balances are draft candidates based on issued-check evidence and still require independent approval.</w:t>
      </w:r>
    </w:p>
    <w:p>
      <w:pPr/>
      <w:r>
        <w:t>The import is idempotent: uploading the same export again skips records already recovered. Sample rows and zero-duration orphan identities without payroll or pay-period evidence are excluded. It never sends invitations, stores full SSNs or bank details, files taxes, or moves money.</w:t>
      </w:r>
    </w:p>
    <w:p>
      <w:pPr>
        <w:pStyle w:val="Heading1"/>
      </w:pPr>
      <w:r>
        <w:t>9. Authoritative payroll-service handoff</w:t>
      </w:r>
    </w:p>
    <w:p>
      <w:pPr>
        <w:pStyle w:val="Heading2"/>
      </w:pPr>
      <w:r>
        <w:t>1. Export the approved run</w:t>
      </w:r>
    </w:p>
    <w:p>
      <w:pPr/>
      <w:r>
        <w:t>Open the approved payroll version and download the provider handoff CSV. It contains hours, approved variable inputs, Anata estimates, and snapshot hashes; it does not transmit money.</w:t>
      </w:r>
    </w:p>
    <w:p>
      <w:pPr>
        <w:pStyle w:val="Heading2"/>
      </w:pPr>
      <w:r>
        <w:t>2. Send payroll to the connected service</w:t>
      </w:r>
    </w:p>
    <w:p>
      <w:pPr/>
      <w:r>
        <w:t>The connected service is authoritative only for the capabilities it explicitly declares and proves, such as final wage calculation, tax withholding/deposit/filing, or distribution.</w:t>
      </w:r>
    </w:p>
    <w:p>
      <w:pPr>
        <w:pStyle w:val="Heading2"/>
      </w:pPr>
      <w:r>
        <w:t>3. Record the service run</w:t>
      </w:r>
    </w:p>
    <w:p>
      <w:pPr/>
      <w:r>
        <w:t>Enter the service name, run/reference, and an evidence note. Recording a handoff does not mean payroll has been paid or taxes have been filed.</w:t>
      </w:r>
    </w:p>
    <w:p>
      <w:pPr>
        <w:pStyle w:val="Heading2"/>
      </w:pPr>
      <w:r>
        <w:t>4. Compare final totals</w:t>
      </w:r>
    </w:p>
    <w:p>
      <w:pPr/>
      <w:r>
        <w:t>Enter the service’s confirmed gross, net, total taxes, and employer cost. Anata marks an exact match or lists each variance. Investigate every variance before relying on the result.</w:t>
      </w:r>
    </w:p>
    <w:p>
      <w:pPr>
        <w:pStyle w:val="Heading2"/>
      </w:pPr>
      <w:r>
        <w:t>5. Preserve the evidence</w:t>
      </w:r>
    </w:p>
    <w:p>
      <w:pPr/>
      <w:r>
        <w:t>Keep the final service report and confirmation under Anata’s secure records policy. Anata keeps the reference and comparison audit; the connected service is authoritative only for the capabilities it owns.</w:t>
      </w:r>
    </w:p>
    <w:p>
      <w:pPr>
        <w:pStyle w:val="Heading1"/>
      </w:pPr>
      <w:r>
        <w:t>10. Contractor payments through Wise</w:t>
      </w:r>
    </w:p>
    <w:p>
      <w:pPr>
        <w:spacing w:before="160" w:after="60"/>
      </w:pPr>
      <w:r>
        <w:rPr>
          <w:rFonts w:ascii="Aptos" w:hAnsi="Aptos"/>
          <w:b/>
          <w:i w:val="0"/>
          <w:color w:val="1C2430"/>
          <w:sz w:val="23"/>
        </w:rPr>
        <w:t>1. Create the contractor profile</w:t>
      </w:r>
    </w:p>
    <w:p>
      <w:pPr>
        <w:ind w:left="259"/>
      </w:pPr>
      <w:r>
        <w:t>Keep contractor records separate from W-2 employees. Record engagement and tax-form readiness.</w:t>
      </w:r>
    </w:p>
    <w:p>
      <w:pPr>
        <w:spacing w:before="160" w:after="60"/>
      </w:pPr>
      <w:r>
        <w:rPr>
          <w:rFonts w:ascii="Aptos" w:hAnsi="Aptos"/>
          <w:b/>
          <w:i w:val="0"/>
          <w:color w:val="1C2430"/>
          <w:sz w:val="23"/>
        </w:rPr>
        <w:t>2. Prepare the flat-fee payment</w:t>
      </w:r>
    </w:p>
    <w:p>
      <w:pPr>
        <w:ind w:left="259"/>
      </w:pPr>
      <w:r>
        <w:t>Enter amount, period, description, and evidence.</w:t>
      </w:r>
    </w:p>
    <w:p>
      <w:pPr>
        <w:spacing w:before="160" w:after="60"/>
      </w:pPr>
      <w:r>
        <w:rPr>
          <w:rFonts w:ascii="Aptos" w:hAnsi="Aptos"/>
          <w:b/>
          <w:i w:val="0"/>
          <w:color w:val="1C2430"/>
          <w:sz w:val="23"/>
        </w:rPr>
        <w:t>3. Approve separately</w:t>
      </w:r>
    </w:p>
    <w:p>
      <w:pPr>
        <w:ind w:left="259"/>
      </w:pPr>
      <w:r>
        <w:t>Contractor approval is separate from employee payroll.</w:t>
      </w:r>
    </w:p>
    <w:p>
      <w:pPr>
        <w:spacing w:before="160" w:after="60"/>
      </w:pPr>
      <w:r>
        <w:rPr>
          <w:rFonts w:ascii="Aptos" w:hAnsi="Aptos"/>
          <w:b/>
          <w:i w:val="0"/>
          <w:color w:val="1C2430"/>
          <w:sz w:val="23"/>
        </w:rPr>
        <w:t>4. Pay in Wise</w:t>
      </w:r>
    </w:p>
    <w:p>
      <w:pPr>
        <w:ind w:left="259"/>
      </w:pPr>
      <w:r>
        <w:t>Initiate the actual transfer in Wise. Anata does not currently call the Wise API.</w:t>
      </w:r>
    </w:p>
    <w:p>
      <w:pPr>
        <w:spacing w:before="160" w:after="60"/>
      </w:pPr>
      <w:r>
        <w:rPr>
          <w:rFonts w:ascii="Aptos" w:hAnsi="Aptos"/>
          <w:b/>
          <w:i w:val="0"/>
          <w:color w:val="1C2430"/>
          <w:sz w:val="23"/>
        </w:rPr>
        <w:t>5. Reconcile</w:t>
      </w:r>
    </w:p>
    <w:p>
      <w:pPr>
        <w:ind w:left="259"/>
      </w:pPr>
      <w:r>
        <w:t>Record the Wise transfer/reference evidence and mark it reconciled only after confirmation.</w:t>
      </w:r>
    </w:p>
    <w:p>
      <w:r>
        <w:br w:type="page"/>
      </w:r>
    </w:p>
    <w:p>
      <w:pPr>
        <w:pStyle w:val="Heading1"/>
      </w:pPr>
      <w:r>
        <w:t>11. Pay statements, reports, and policies</w:t>
      </w:r>
    </w:p>
    <w:p>
      <w:pPr>
        <w:pStyle w:val="ListBullet"/>
      </w:pPr>
      <w:r>
        <w:t>Employees can view only their own issued/closed pay statements.</w:t>
      </w:r>
    </w:p>
    <w:p>
      <w:pPr>
        <w:pStyle w:val="ListBullet"/>
      </w:pPr>
      <w:r>
        <w:t>Reports are permission-filtered CSV exports. Quarterly and year-to-date registers support accountant reconciliation. The verified HR backup ZIP includes a checksum manifest but excludes full SSNs and sealed tax-form payloads. Store every download securely.</w:t>
      </w:r>
    </w:p>
    <w:p>
      <w:pPr>
        <w:pStyle w:val="ListBullet"/>
      </w:pPr>
      <w:r>
        <w:t>Employees can review and acknowledge the current handbook/policies.</w:t>
      </w:r>
    </w:p>
    <w:p>
      <w:pPr>
        <w:pStyle w:val="ListBullet"/>
      </w:pPr>
      <w:r>
        <w:t>Daily reminder emails contain action counts and links, not sensitive payroll or tax details.</w:t>
      </w:r>
    </w:p>
    <w:p>
      <w:pPr>
        <w:pStyle w:val="Heading2"/>
      </w:pPr>
      <w:r>
        <w:t>Publish and track the employee handbook</w:t>
      </w:r>
    </w:p>
    <w:p>
      <w:pPr/>
      <w:r>
        <w:t>Open HR → Settings → Employee handbook. Enter the handbook title, a new unique version label, and the secure HTTPS link to the exact document employees must read.</w:t>
      </w:r>
    </w:p>
    <w:p>
      <w:pPr/>
      <w:r>
        <w:t>Review the document yourself, check the publication confirmation, and publish. The prior version becomes superseded but its acknowledgements remain in history.</w:t>
      </w:r>
    </w:p>
    <w:p>
      <w:pPr/>
      <w:r>
        <w:t>Employees open HR → Policies, read the linked handbook, and acknowledge that exact version. The settings table shows the acknowledgement count; the daily HR reminder reports outstanding active employees without exposing their names in email.</w:t>
      </w:r>
    </w:p>
    <w:p>
      <w:pPr/>
      <w:r>
        <w:t>Never replace the file behind an existing version link. Correct the document, assign a new version, and publish it so employees receive a fresh acknowledgement requirement.</w:t>
      </w:r>
    </w:p>
    <w:p>
      <w:pPr>
        <w:pStyle w:val="Heading1"/>
      </w:pPr>
      <w:r>
        <w:t>12. Offboarding</w:t>
      </w:r>
    </w:p>
    <w:p>
      <w:pPr>
        <w:spacing w:before="160" w:after="60"/>
      </w:pPr>
      <w:r>
        <w:rPr>
          <w:rFonts w:ascii="Aptos" w:hAnsi="Aptos"/>
          <w:b/>
          <w:i w:val="0"/>
          <w:color w:val="1C2430"/>
          <w:sz w:val="23"/>
        </w:rPr>
        <w:t>1. Start the checklist</w:t>
      </w:r>
    </w:p>
    <w:p>
      <w:pPr>
        <w:ind w:left="259"/>
      </w:pPr>
      <w:r>
        <w:t>Open HR → Offboarding, select the employee, separation date, reason, and owner.</w:t>
      </w:r>
    </w:p>
    <w:p>
      <w:pPr>
        <w:spacing w:before="160" w:after="60"/>
      </w:pPr>
      <w:r>
        <w:rPr>
          <w:rFonts w:ascii="Aptos" w:hAnsi="Aptos"/>
          <w:b/>
          <w:i w:val="0"/>
          <w:color w:val="1C2430"/>
          <w:sz w:val="23"/>
        </w:rPr>
        <w:t>2. Resolve outstanding work</w:t>
      </w:r>
    </w:p>
    <w:p>
      <w:pPr>
        <w:ind w:left="259"/>
      </w:pPr>
      <w:r>
        <w:t>Close time entries, corrections, PTO, reimbursements, checks, final pay, documents, and access.</w:t>
      </w:r>
    </w:p>
    <w:p>
      <w:pPr>
        <w:spacing w:before="160" w:after="60"/>
      </w:pPr>
      <w:r>
        <w:rPr>
          <w:rFonts w:ascii="Aptos" w:hAnsi="Aptos"/>
          <w:b/>
          <w:i w:val="0"/>
          <w:color w:val="1C2430"/>
          <w:sz w:val="23"/>
        </w:rPr>
        <w:t>3. Complete final payroll</w:t>
      </w:r>
    </w:p>
    <w:p>
      <w:pPr>
        <w:ind w:left="259"/>
      </w:pPr>
      <w:r>
        <w:t>Apply Anata’s written PTO non-payout rule unless a written agreement requires otherwise. Review any Utah timing obligation with a qualified professional.</w:t>
      </w:r>
    </w:p>
    <w:p>
      <w:pPr>
        <w:spacing w:before="160" w:after="60"/>
      </w:pPr>
      <w:r>
        <w:rPr>
          <w:rFonts w:ascii="Aptos" w:hAnsi="Aptos"/>
          <w:b/>
          <w:i w:val="0"/>
          <w:color w:val="1C2430"/>
          <w:sz w:val="23"/>
        </w:rPr>
        <w:t>4. Deactivate—do not delete</w:t>
      </w:r>
    </w:p>
    <w:p>
      <w:pPr>
        <w:ind w:left="259"/>
      </w:pPr>
      <w:r>
        <w:t>Deactivate the employee and access after final obligations are resolved. Payroll, tax, acknowledgement, and audit history remain preserved.</w:t>
      </w:r>
    </w:p>
    <w:p>
      <w:pPr>
        <w:pStyle w:val="Heading2"/>
      </w:pPr>
      <w:r>
        <w:t>Compliance calendar and reminders</w:t>
      </w:r>
    </w:p>
    <w:p>
      <w:pPr/>
      <w:r>
        <w:t>Open HR → Compliance to review all 24 paydays, Utah new-hire deadlines, quarterly Form 941, Utah withholding and unemployment reports, FUTA, W-2/W-3, and annual Utah reconciliation. Record an item complete only with the outside confirmation and evidence note.</w:t>
      </w:r>
    </w:p>
    <w:p>
      <w:pPr>
        <w:pStyle w:val="Heading2"/>
      </w:pPr>
      <w:r>
        <w:t>Mobile employee use</w:t>
      </w:r>
    </w:p>
    <w:p>
      <w:pPr/>
      <w:r>
        <w:t>On a phone, employees use the bottom shortcuts for Home, Time, Pay, and Profile. Dense records scroll inside their table instead of moving the entire page sideways.</w:t>
      </w:r>
    </w:p>
    <w:p>
      <w:pPr>
        <w:pStyle w:val="Heading1"/>
      </w:pPr>
      <w:r>
        <w:t>13. Troubleshooting quick reference</w:t>
      </w:r>
    </w:p>
    <w:tbl>
      <w:tblPr>
        <w:tblStyle w:val="TableGrid"/>
        <w:tblW w:type="dxa" w:w="9360"/>
        <w:tblLayout w:type="fixed"/>
        <w:tblLook w:firstColumn="1" w:firstRow="1" w:lastColumn="0" w:lastRow="0" w:noHBand="0" w:noVBand="1" w:val="04A0"/>
        <w:jc w:val="left"/>
        <w:tblInd w:w="120" w:type="dxa"/>
      </w:tblPr>
      <w:tblGrid>
        <w:gridCol w:w="1850"/>
        <w:gridCol w:w="3250"/>
        <w:gridCol w:w="4260"/>
      </w:tblGrid>
      <w:tr>
        <w:tc>
          <w:tcPr>
            <w:tcW w:type="dxa" w:w="1850"/>
            <w:tcMar>
              <w:top w:w="80" w:type="dxa"/>
              <w:start w:w="120" w:type="dxa"/>
              <w:bottom w:w="80" w:type="dxa"/>
              <w:end w:w="120" w:type="dxa"/>
            </w:tcMar>
            <w:vAlign w:val="center"/>
            <w:shd w:fill="E8EEF5"/>
          </w:tcPr>
          <w:p>
            <w:pPr>
              <w:jc w:val="left"/>
            </w:pPr>
            <w:r>
              <w:rPr>
                <w:rFonts w:ascii="Aptos" w:hAnsi="Aptos"/>
                <w:b/>
                <w:i w:val="0"/>
                <w:color w:val="1C2430"/>
                <w:sz w:val="18"/>
              </w:rPr>
              <w:t>What you see</w:t>
            </w:r>
          </w:p>
        </w:tc>
        <w:tc>
          <w:tcPr>
            <w:tcW w:type="dxa" w:w="3250"/>
            <w:tcMar>
              <w:top w:w="80" w:type="dxa"/>
              <w:start w:w="120" w:type="dxa"/>
              <w:bottom w:w="80" w:type="dxa"/>
              <w:end w:w="120" w:type="dxa"/>
            </w:tcMar>
            <w:vAlign w:val="center"/>
            <w:shd w:fill="E8EEF5"/>
          </w:tcPr>
          <w:p>
            <w:pPr>
              <w:jc w:val="left"/>
            </w:pPr>
            <w:r>
              <w:rPr>
                <w:rFonts w:ascii="Aptos" w:hAnsi="Aptos"/>
                <w:b/>
                <w:i w:val="0"/>
                <w:color w:val="1C2430"/>
                <w:sz w:val="18"/>
              </w:rPr>
              <w:t>What it means</w:t>
            </w:r>
          </w:p>
        </w:tc>
        <w:tc>
          <w:tcPr>
            <w:tcW w:type="dxa" w:w="4260"/>
            <w:tcMar>
              <w:top w:w="80" w:type="dxa"/>
              <w:start w:w="120" w:type="dxa"/>
              <w:bottom w:w="80" w:type="dxa"/>
              <w:end w:w="120" w:type="dxa"/>
            </w:tcMar>
            <w:vAlign w:val="center"/>
            <w:shd w:fill="E8EEF5"/>
          </w:tcPr>
          <w:p>
            <w:pPr>
              <w:jc w:val="left"/>
            </w:pPr>
            <w:r>
              <w:rPr>
                <w:rFonts w:ascii="Aptos" w:hAnsi="Aptos"/>
                <w:b/>
                <w:i w:val="0"/>
                <w:color w:val="1C2430"/>
                <w:sz w:val="18"/>
              </w:rPr>
              <w:t>What to do</w:t>
            </w:r>
          </w:p>
        </w:tc>
        <w:trPr>
          <w:tblHeader/>
        </w:trPr>
      </w:tr>
      <w:tr>
        <w:tc>
          <w:tcPr>
            <w:tcW w:type="dxa" w:w="1850"/>
            <w:tcMar>
              <w:top w:w="80" w:type="dxa"/>
              <w:start w:w="120" w:type="dxa"/>
              <w:bottom w:w="80" w:type="dxa"/>
              <w:end w:w="120" w:type="dxa"/>
            </w:tcMar>
            <w:vAlign w:val="center"/>
          </w:tcPr>
          <w:p>
            <w:pPr>
              <w:spacing w:after="0"/>
            </w:pPr>
            <w:r>
              <w:rPr>
                <w:rFonts w:ascii="Aptos" w:hAnsi="Aptos"/>
                <w:b w:val="0"/>
                <w:i w:val="0"/>
                <w:color w:val="2B3644"/>
                <w:sz w:val="18"/>
              </w:rPr>
              <w:t>Payroll is blocked</w:t>
            </w:r>
          </w:p>
        </w:tc>
        <w:tc>
          <w:tcPr>
            <w:tcW w:type="dxa" w:w="3250"/>
            <w:tcMar>
              <w:top w:w="80" w:type="dxa"/>
              <w:start w:w="120" w:type="dxa"/>
              <w:bottom w:w="80" w:type="dxa"/>
              <w:end w:w="120" w:type="dxa"/>
            </w:tcMar>
            <w:vAlign w:val="center"/>
          </w:tcPr>
          <w:p>
            <w:pPr>
              <w:spacing w:after="0"/>
            </w:pPr>
            <w:r>
              <w:rPr>
                <w:rFonts w:ascii="Aptos" w:hAnsi="Aptos"/>
                <w:b w:val="0"/>
                <w:i w:val="0"/>
                <w:color w:val="2B3644"/>
                <w:sz w:val="18"/>
              </w:rPr>
              <w:t>At least one required setup, employee, time, input, or tax-review item is incomplete.</w:t>
            </w:r>
          </w:p>
        </w:tc>
        <w:tc>
          <w:tcPr>
            <w:tcW w:type="dxa" w:w="4260"/>
            <w:tcMar>
              <w:top w:w="80" w:type="dxa"/>
              <w:start w:w="120" w:type="dxa"/>
              <w:bottom w:w="80" w:type="dxa"/>
              <w:end w:w="120" w:type="dxa"/>
            </w:tcMar>
            <w:vAlign w:val="center"/>
          </w:tcPr>
          <w:p>
            <w:pPr>
              <w:spacing w:after="0"/>
            </w:pPr>
            <w:r>
              <w:rPr>
                <w:rFonts w:ascii="Aptos" w:hAnsi="Aptos"/>
                <w:b w:val="0"/>
                <w:i w:val="0"/>
                <w:color w:val="2B3644"/>
                <w:sz w:val="18"/>
              </w:rPr>
              <w:t>Read every blocker, open the linked area, fix the source, then prepare again.</w:t>
            </w:r>
          </w:p>
        </w:tc>
      </w:tr>
      <w:tr>
        <w:tc>
          <w:tcPr>
            <w:tcW w:type="dxa" w:w="1850"/>
            <w:tcMar>
              <w:top w:w="80" w:type="dxa"/>
              <w:start w:w="120" w:type="dxa"/>
              <w:bottom w:w="80" w:type="dxa"/>
              <w:end w:w="120" w:type="dxa"/>
            </w:tcMar>
            <w:vAlign w:val="center"/>
          </w:tcPr>
          <w:p>
            <w:pPr>
              <w:spacing w:after="0"/>
            </w:pPr>
            <w:r>
              <w:rPr>
                <w:rFonts w:ascii="Aptos" w:hAnsi="Aptos"/>
                <w:b w:val="0"/>
                <w:i w:val="0"/>
                <w:color w:val="2B3644"/>
                <w:sz w:val="18"/>
              </w:rPr>
              <w:t>Employee record not found</w:t>
            </w:r>
          </w:p>
        </w:tc>
        <w:tc>
          <w:tcPr>
            <w:tcW w:type="dxa" w:w="3250"/>
            <w:tcMar>
              <w:top w:w="80" w:type="dxa"/>
              <w:start w:w="120" w:type="dxa"/>
              <w:bottom w:w="80" w:type="dxa"/>
              <w:end w:w="120" w:type="dxa"/>
            </w:tcMar>
            <w:vAlign w:val="center"/>
          </w:tcPr>
          <w:p>
            <w:pPr>
              <w:spacing w:after="0"/>
            </w:pPr>
            <w:r>
              <w:rPr>
                <w:rFonts w:ascii="Aptos" w:hAnsi="Aptos"/>
                <w:b w:val="0"/>
                <w:i w:val="0"/>
                <w:color w:val="2B3644"/>
                <w:sz w:val="18"/>
              </w:rPr>
              <w:t>The signed-in email is not linked to an HR employee record.</w:t>
            </w:r>
          </w:p>
        </w:tc>
        <w:tc>
          <w:tcPr>
            <w:tcW w:type="dxa" w:w="4260"/>
            <w:tcMar>
              <w:top w:w="80" w:type="dxa"/>
              <w:start w:w="120" w:type="dxa"/>
              <w:bottom w:w="80" w:type="dxa"/>
              <w:end w:w="120" w:type="dxa"/>
            </w:tcMar>
            <w:vAlign w:val="center"/>
          </w:tcPr>
          <w:p>
            <w:pPr>
              <w:spacing w:after="0"/>
            </w:pPr>
            <w:r>
              <w:rPr>
                <w:rFonts w:ascii="Aptos" w:hAnsi="Aptos"/>
                <w:b w:val="0"/>
                <w:i w:val="0"/>
                <w:color w:val="2B3644"/>
                <w:sz w:val="18"/>
              </w:rPr>
              <w:t>Confirm the employee email and invite/access record match exactly.</w:t>
            </w:r>
          </w:p>
        </w:tc>
      </w:tr>
      <w:tr>
        <w:tc>
          <w:tcPr>
            <w:tcW w:type="dxa" w:w="1850"/>
            <w:tcMar>
              <w:top w:w="80" w:type="dxa"/>
              <w:start w:w="120" w:type="dxa"/>
              <w:bottom w:w="80" w:type="dxa"/>
              <w:end w:w="120" w:type="dxa"/>
            </w:tcMar>
            <w:vAlign w:val="center"/>
          </w:tcPr>
          <w:p>
            <w:pPr>
              <w:spacing w:after="0"/>
            </w:pPr>
            <w:r>
              <w:rPr>
                <w:rFonts w:ascii="Aptos" w:hAnsi="Aptos"/>
                <w:b w:val="0"/>
                <w:i w:val="0"/>
                <w:color w:val="2B3644"/>
                <w:sz w:val="18"/>
              </w:rPr>
              <w:t>W-4 will not save</w:t>
            </w:r>
          </w:p>
        </w:tc>
        <w:tc>
          <w:tcPr>
            <w:tcW w:type="dxa" w:w="3250"/>
            <w:tcMar>
              <w:top w:w="80" w:type="dxa"/>
              <w:start w:w="120" w:type="dxa"/>
              <w:bottom w:w="80" w:type="dxa"/>
              <w:end w:w="120" w:type="dxa"/>
            </w:tcMar>
            <w:vAlign w:val="center"/>
          </w:tcPr>
          <w:p>
            <w:pPr>
              <w:spacing w:after="0"/>
            </w:pPr>
            <w:r>
              <w:rPr>
                <w:rFonts w:ascii="Aptos" w:hAnsi="Aptos"/>
                <w:b w:val="0"/>
                <w:i w:val="0"/>
                <w:color w:val="2B3644"/>
                <w:sz w:val="18"/>
              </w:rPr>
              <w:t>The form is invalid, not attested by the employee, or secure storage is unavailable.</w:t>
            </w:r>
          </w:p>
        </w:tc>
        <w:tc>
          <w:tcPr>
            <w:tcW w:type="dxa" w:w="4260"/>
            <w:tcMar>
              <w:top w:w="80" w:type="dxa"/>
              <w:start w:w="120" w:type="dxa"/>
              <w:bottom w:w="80" w:type="dxa"/>
              <w:end w:w="120" w:type="dxa"/>
            </w:tcMar>
            <w:vAlign w:val="center"/>
          </w:tcPr>
          <w:p>
            <w:pPr>
              <w:spacing w:after="0"/>
            </w:pPr>
            <w:r>
              <w:rPr>
                <w:rFonts w:ascii="Aptos" w:hAnsi="Aptos"/>
                <w:b w:val="0"/>
                <w:i w:val="0"/>
                <w:color w:val="2B3644"/>
                <w:sz w:val="18"/>
              </w:rPr>
              <w:t>Have the employee recheck all fields. Do not collect the SSN by email.</w:t>
            </w:r>
          </w:p>
        </w:tc>
      </w:tr>
      <w:tr>
        <w:tc>
          <w:tcPr>
            <w:tcW w:type="dxa" w:w="1850"/>
            <w:tcMar>
              <w:top w:w="80" w:type="dxa"/>
              <w:start w:w="120" w:type="dxa"/>
              <w:bottom w:w="80" w:type="dxa"/>
              <w:end w:w="120" w:type="dxa"/>
            </w:tcMar>
            <w:vAlign w:val="center"/>
          </w:tcPr>
          <w:p>
            <w:pPr>
              <w:spacing w:after="0"/>
            </w:pPr>
            <w:r>
              <w:rPr>
                <w:rFonts w:ascii="Aptos" w:hAnsi="Aptos"/>
                <w:b w:val="0"/>
                <w:i w:val="0"/>
                <w:color w:val="2B3644"/>
                <w:sz w:val="18"/>
              </w:rPr>
              <w:t>Invitation email did not send</w:t>
            </w:r>
          </w:p>
        </w:tc>
        <w:tc>
          <w:tcPr>
            <w:tcW w:type="dxa" w:w="3250"/>
            <w:tcMar>
              <w:top w:w="80" w:type="dxa"/>
              <w:start w:w="120" w:type="dxa"/>
              <w:bottom w:w="80" w:type="dxa"/>
              <w:end w:w="120" w:type="dxa"/>
            </w:tcMar>
            <w:vAlign w:val="center"/>
          </w:tcPr>
          <w:p>
            <w:pPr>
              <w:spacing w:after="0"/>
            </w:pPr>
            <w:r>
              <w:rPr>
                <w:rFonts w:ascii="Aptos" w:hAnsi="Aptos"/>
                <w:b w:val="0"/>
                <w:i w:val="0"/>
                <w:color w:val="2B3644"/>
                <w:sz w:val="18"/>
              </w:rPr>
              <w:t>Email delivery failed or is not configured.</w:t>
            </w:r>
          </w:p>
        </w:tc>
        <w:tc>
          <w:tcPr>
            <w:tcW w:type="dxa" w:w="4260"/>
            <w:tcMar>
              <w:top w:w="80" w:type="dxa"/>
              <w:start w:w="120" w:type="dxa"/>
              <w:bottom w:w="80" w:type="dxa"/>
              <w:end w:w="120" w:type="dxa"/>
            </w:tcMar>
            <w:vAlign w:val="center"/>
          </w:tcPr>
          <w:p>
            <w:pPr>
              <w:spacing w:after="0"/>
            </w:pPr>
            <w:r>
              <w:rPr>
                <w:rFonts w:ascii="Aptos" w:hAnsi="Aptos"/>
                <w:b w:val="0"/>
                <w:i w:val="0"/>
                <w:color w:val="2B3644"/>
                <w:sz w:val="18"/>
              </w:rPr>
              <w:t>Copy the one-time link and send it through a trusted channel.</w:t>
            </w:r>
          </w:p>
        </w:tc>
      </w:tr>
      <w:tr>
        <w:tc>
          <w:tcPr>
            <w:tcW w:type="dxa" w:w="1850"/>
            <w:tcMar>
              <w:top w:w="80" w:type="dxa"/>
              <w:start w:w="120" w:type="dxa"/>
              <w:bottom w:w="80" w:type="dxa"/>
              <w:end w:w="120" w:type="dxa"/>
            </w:tcMar>
            <w:vAlign w:val="center"/>
          </w:tcPr>
          <w:p>
            <w:pPr>
              <w:spacing w:after="0"/>
            </w:pPr>
            <w:r>
              <w:rPr>
                <w:rFonts w:ascii="Aptos" w:hAnsi="Aptos"/>
                <w:b w:val="0"/>
                <w:i w:val="0"/>
                <w:color w:val="2B3644"/>
                <w:sz w:val="18"/>
              </w:rPr>
              <w:t>Cannot approve</w:t>
            </w:r>
          </w:p>
        </w:tc>
        <w:tc>
          <w:tcPr>
            <w:tcW w:type="dxa" w:w="3250"/>
            <w:tcMar>
              <w:top w:w="80" w:type="dxa"/>
              <w:start w:w="120" w:type="dxa"/>
              <w:bottom w:w="80" w:type="dxa"/>
              <w:end w:w="120" w:type="dxa"/>
            </w:tcMar>
            <w:vAlign w:val="center"/>
          </w:tcPr>
          <w:p>
            <w:pPr>
              <w:spacing w:after="0"/>
            </w:pPr>
            <w:r>
              <w:rPr>
                <w:rFonts w:ascii="Aptos" w:hAnsi="Aptos"/>
                <w:b w:val="0"/>
                <w:i w:val="0"/>
                <w:color w:val="2B3644"/>
                <w:sz w:val="18"/>
              </w:rPr>
              <w:t>The same person prepared/requested the item, or permission is missing.</w:t>
            </w:r>
          </w:p>
        </w:tc>
        <w:tc>
          <w:tcPr>
            <w:tcW w:type="dxa" w:w="4260"/>
            <w:tcMar>
              <w:top w:w="80" w:type="dxa"/>
              <w:start w:w="120" w:type="dxa"/>
              <w:bottom w:w="80" w:type="dxa"/>
              <w:end w:w="120" w:type="dxa"/>
            </w:tcMar>
            <w:vAlign w:val="center"/>
          </w:tcPr>
          <w:p>
            <w:pPr>
              <w:spacing w:after="0"/>
            </w:pPr>
            <w:r>
              <w:rPr>
                <w:rFonts w:ascii="Aptos" w:hAnsi="Aptos"/>
                <w:b w:val="0"/>
                <w:i w:val="0"/>
                <w:color w:val="2B3644"/>
                <w:sz w:val="18"/>
              </w:rPr>
              <w:t>Use the other authorized reviewer; do not share accounts.</w:t>
            </w:r>
          </w:p>
        </w:tc>
      </w:tr>
      <w:tr>
        <w:tc>
          <w:tcPr>
            <w:tcW w:type="dxa" w:w="1850"/>
            <w:tcMar>
              <w:top w:w="80" w:type="dxa"/>
              <w:start w:w="120" w:type="dxa"/>
              <w:bottom w:w="80" w:type="dxa"/>
              <w:end w:w="120" w:type="dxa"/>
            </w:tcMar>
            <w:vAlign w:val="center"/>
          </w:tcPr>
          <w:p>
            <w:pPr>
              <w:spacing w:after="0"/>
            </w:pPr>
            <w:r>
              <w:rPr>
                <w:rFonts w:ascii="Aptos" w:hAnsi="Aptos"/>
                <w:b w:val="0"/>
                <w:i w:val="0"/>
                <w:color w:val="2B3644"/>
                <w:sz w:val="18"/>
              </w:rPr>
              <w:t>Tax item remains due</w:t>
            </w:r>
          </w:p>
        </w:tc>
        <w:tc>
          <w:tcPr>
            <w:tcW w:type="dxa" w:w="3250"/>
            <w:tcMar>
              <w:top w:w="80" w:type="dxa"/>
              <w:start w:w="120" w:type="dxa"/>
              <w:bottom w:w="80" w:type="dxa"/>
              <w:end w:w="120" w:type="dxa"/>
            </w:tcMar>
            <w:vAlign w:val="center"/>
          </w:tcPr>
          <w:p>
            <w:pPr>
              <w:spacing w:after="0"/>
            </w:pPr>
            <w:r>
              <w:rPr>
                <w:rFonts w:ascii="Aptos" w:hAnsi="Aptos"/>
                <w:b w:val="0"/>
                <w:i w:val="0"/>
                <w:color w:val="2B3644"/>
                <w:sz w:val="18"/>
              </w:rPr>
              <w:t>Approval created a liability but no outside proof is reconciled.</w:t>
            </w:r>
          </w:p>
        </w:tc>
        <w:tc>
          <w:tcPr>
            <w:tcW w:type="dxa" w:w="4260"/>
            <w:tcMar>
              <w:top w:w="80" w:type="dxa"/>
              <w:start w:w="120" w:type="dxa"/>
              <w:bottom w:w="80" w:type="dxa"/>
              <w:end w:w="120" w:type="dxa"/>
            </w:tcMar>
            <w:vAlign w:val="center"/>
          </w:tcPr>
          <w:p>
            <w:pPr>
              <w:spacing w:after="0"/>
            </w:pPr>
            <w:r>
              <w:rPr>
                <w:rFonts w:ascii="Aptos" w:hAnsi="Aptos"/>
                <w:b w:val="0"/>
                <w:i w:val="0"/>
                <w:color w:val="2B3644"/>
                <w:sz w:val="18"/>
              </w:rPr>
              <w:t>Complete the deposit/filing externally and enter confirmation evidence.</w:t>
            </w:r>
          </w:p>
        </w:tc>
      </w:tr>
      <w:tr>
        <w:tc>
          <w:tcPr>
            <w:tcW w:type="dxa" w:w="1850"/>
            <w:tcMar>
              <w:top w:w="80" w:type="dxa"/>
              <w:start w:w="120" w:type="dxa"/>
              <w:bottom w:w="80" w:type="dxa"/>
              <w:end w:w="120" w:type="dxa"/>
            </w:tcMar>
            <w:vAlign w:val="center"/>
          </w:tcPr>
          <w:p>
            <w:pPr>
              <w:spacing w:after="0"/>
            </w:pPr>
            <w:r>
              <w:rPr>
                <w:rFonts w:ascii="Aptos" w:hAnsi="Aptos"/>
                <w:b w:val="0"/>
                <w:i w:val="0"/>
                <w:color w:val="2B3644"/>
                <w:sz w:val="18"/>
              </w:rPr>
              <w:t>Check amount changed</w:t>
            </w:r>
          </w:p>
        </w:tc>
        <w:tc>
          <w:tcPr>
            <w:tcW w:type="dxa" w:w="3250"/>
            <w:tcMar>
              <w:top w:w="80" w:type="dxa"/>
              <w:start w:w="120" w:type="dxa"/>
              <w:bottom w:w="80" w:type="dxa"/>
              <w:end w:w="120" w:type="dxa"/>
            </w:tcMar>
            <w:vAlign w:val="center"/>
          </w:tcPr>
          <w:p>
            <w:pPr>
              <w:spacing w:after="0"/>
            </w:pPr>
            <w:r>
              <w:rPr>
                <w:rFonts w:ascii="Aptos" w:hAnsi="Aptos"/>
                <w:b w:val="0"/>
                <w:i w:val="0"/>
                <w:color w:val="2B3644"/>
                <w:sz w:val="18"/>
              </w:rPr>
              <w:t>A source record changed after preparation.</w:t>
            </w:r>
          </w:p>
        </w:tc>
        <w:tc>
          <w:tcPr>
            <w:tcW w:type="dxa" w:w="4260"/>
            <w:tcMar>
              <w:top w:w="80" w:type="dxa"/>
              <w:start w:w="120" w:type="dxa"/>
              <w:bottom w:w="80" w:type="dxa"/>
              <w:end w:w="120" w:type="dxa"/>
            </w:tcMar>
            <w:vAlign w:val="center"/>
          </w:tcPr>
          <w:p>
            <w:pPr>
              <w:spacing w:after="0"/>
            </w:pPr>
            <w:r>
              <w:rPr>
                <w:rFonts w:ascii="Aptos" w:hAnsi="Aptos"/>
                <w:b w:val="0"/>
                <w:i w:val="0"/>
                <w:color w:val="2B3644"/>
                <w:sz w:val="18"/>
              </w:rPr>
              <w:t>Prepare a new payroll version and re-review; do not reuse the old approval.</w:t>
            </w:r>
          </w:p>
        </w:tc>
      </w:tr>
    </w:tbl>
    <w:p>
      <w:pPr>
        <w:spacing w:after="20"/>
      </w:pPr>
    </w:p>
    <w:p>
      <w:pPr>
        <w:pStyle w:val="Heading1"/>
      </w:pPr>
      <w:r>
        <w:t>14. Payroll-day checklist</w:t>
      </w:r>
    </w:p>
    <w:p>
      <w:pPr>
        <w:pStyle w:val="ListBullet"/>
      </w:pPr>
      <w:r>
        <w:t>Employee timesheets submitted and independently approved.</w:t>
      </w:r>
    </w:p>
    <w:p>
      <w:pPr>
        <w:pStyle w:val="ListBullet"/>
      </w:pPr>
      <w:r>
        <w:t>Opening balances independently approved and unchanged.</w:t>
      </w:r>
    </w:p>
    <w:p>
      <w:pPr>
        <w:pStyle w:val="ListBullet"/>
      </w:pPr>
      <w:r>
        <w:t>Compliance deadlines reviewed for the pay date.</w:t>
      </w:r>
    </w:p>
    <w:p>
      <w:pPr>
        <w:pStyle w:val="ListBullet"/>
      </w:pPr>
      <w:r>
        <w:t>Payroll-service reference and final-total comparison recorded when a service is used.</w:t>
      </w:r>
    </w:p>
    <w:p>
      <w:pPr>
        <w:pStyle w:val="ListBullet"/>
      </w:pPr>
      <w:r>
        <w:t>Correct period and pay date.</w:t>
      </w:r>
    </w:p>
    <w:p>
      <w:pPr>
        <w:pStyle w:val="ListBullet"/>
      </w:pPr>
      <w:r>
        <w:t>All employees active and correctly classified.</w:t>
      </w:r>
    </w:p>
    <w:p>
      <w:pPr>
        <w:pStyle w:val="ListBullet"/>
      </w:pPr>
      <w:r>
        <w:t>No open punches or pending corrections.</w:t>
      </w:r>
    </w:p>
    <w:p>
      <w:pPr>
        <w:pStyle w:val="ListBullet"/>
      </w:pPr>
      <w:r>
        <w:t>PTO and holiday treatment reviewed.</w:t>
      </w:r>
    </w:p>
    <w:p>
      <w:pPr>
        <w:pStyle w:val="ListBullet"/>
      </w:pPr>
      <w:r>
        <w:t>Bonuses, commissions, reimbursements, deductions, and garnishments reviewed.</w:t>
      </w:r>
    </w:p>
    <w:p>
      <w:pPr>
        <w:pStyle w:val="ListBullet"/>
      </w:pPr>
      <w:r>
        <w:t>Gross, taxes, deductions, net, and total cash impact reviewed.</w:t>
      </w:r>
    </w:p>
    <w:p>
      <w:pPr>
        <w:pStyle w:val="ListBullet"/>
      </w:pPr>
      <w:r>
        <w:t>Prepared version approved by a different authorized person.</w:t>
      </w:r>
    </w:p>
    <w:p>
      <w:pPr>
        <w:pStyle w:val="ListBullet"/>
      </w:pPr>
      <w:r>
        <w:t>Checks issued or outside transfers confirmed.</w:t>
      </w:r>
    </w:p>
    <w:p>
      <w:pPr>
        <w:pStyle w:val="ListBullet"/>
      </w:pPr>
      <w:r>
        <w:t>Tax deposits/filings completed externally and evidence recorded.</w:t>
      </w:r>
    </w:p>
    <w:p>
      <w:pPr>
        <w:pStyle w:val="ListBullet"/>
      </w:pPr>
      <w:r>
        <w:t>Run closed only after every required reconciliation is complete.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60"/>
            </w:pPr>
            <w:r>
              <w:rPr>
                <w:rFonts w:ascii="Aptos" w:hAnsi="Aptos"/>
                <w:b/>
                <w:i w:val="0"/>
                <w:color w:val="7A5A00"/>
                <w:sz w:val="17"/>
              </w:rPr>
              <w:t>WHEN UNSURE</w:t>
            </w:r>
          </w:p>
          <w:p>
            <w:pPr>
              <w:spacing w:after="0"/>
            </w:pPr>
            <w:r>
              <w:rPr>
                <w:rFonts w:ascii="Aptos" w:hAnsi="Aptos"/>
                <w:b w:val="0"/>
                <w:i w:val="0"/>
                <w:color w:val="2B3644"/>
                <w:sz w:val="21"/>
              </w:rPr>
              <w:t>Pause. Preserve the current record, add a clear note, and ask the qualified payroll/tax reviewer. Do not guess at tax treatment, filing status, deadlines, or employee classification.</w:t>
            </w:r>
          </w:p>
        </w:tc>
        <w:trPr>
          <w:tblHeader/>
        </w:trPr>
      </w:tr>
    </w:tbl>
    <w:p>
      <w:pPr>
        <w:spacing w:after="20"/>
      </w:pP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C6774"/>
        <w:sz w:val="16"/>
      </w:rPr>
      <w:t>Internal training guide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C6774"/>
        <w:sz w:val="17"/>
      </w:rPr>
      <w:t>ANATA  /  HR OPERATOR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B36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C243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B364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B36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