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60"/>
      </w:pPr>
    </w:p>
    <w:p>
      <w:pPr>
        <w:spacing w:after="100" w:before="0"/>
      </w:pPr>
      <w:r>
        <w:rPr>
          <w:rFonts w:ascii="Arial" w:cs="Arial" w:eastAsia="Arial" w:hAnsi="Arial"/>
          <w:b/>
          <w:bCs/>
          <w:color w:val="1A1A2E"/>
          <w:sz w:val="52"/>
          <w:szCs w:val="52"/>
        </w:rPr>
        <w:t xml:space="preserve">Brand Intake Checklist</w:t>
      </w:r>
    </w:p>
    <w:p>
      <w:pPr>
        <w:spacing w:after="80" w:before="0"/>
      </w:pPr>
      <w:r>
        <w:rPr>
          <w:rFonts w:ascii="Arial" w:cs="Arial" w:eastAsia="Arial" w:hAnsi="Arial"/>
          <w:color w:val="0F3460"/>
          <w:sz w:val="28"/>
          <w:szCs w:val="28"/>
        </w:rPr>
        <w:t xml:space="preserve">Acquisition Analysis Request</w:t>
      </w:r>
    </w:p>
    <w:p>
      <w:pPr>
        <w:pBdr>
          <w:bottom w:val="single" w:color="0F3460" w:sz="4" w:space="1"/>
        </w:pBdr>
        <w:spacing w:after="60" w:before="60"/>
      </w:pPr>
    </w:p>
    <w:p>
      <w:pPr>
        <w:spacing w:after="0" w:before="0" w:line="80"/>
      </w:pPr>
    </w:p>
    <w:p>
      <w:pPr>
        <w:spacing w:after="0" w:before="0"/>
      </w:pPr>
      <w:r>
        <w:rPr>
          <w:rFonts w:ascii="Arial" w:cs="Arial" w:eastAsia="Arial" w:hAnsi="Arial"/>
          <w:color w:val="4A5568"/>
          <w:sz w:val="20"/>
          <w:szCs w:val="20"/>
        </w:rPr>
        <w:t xml:space="preserve">To complete your acquisition analysis, please provide the items below. Documents can be uploaded directly at agent.anatainc.com or sent to your Anata contact. The more complete your submission, the more dimensions of the scorecard we can grade — missing data is noted as N/A rather than penalized arbitrarily.</w:t>
      </w:r>
    </w:p>
    <w:p>
      <w:pPr>
        <w:spacing w:after="0" w:before="0" w:line="3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01   Financial Documents    •    Required</w:t>
            </w:r>
          </w:p>
        </w:tc>
      </w:tr>
    </w:tbl>
    <w:p>
      <w:pPr>
        <w:spacing w:after="0" w:before="0" w:line="120"/>
      </w:pPr>
    </w:p>
    <w:p>
      <w:pPr>
        <w:spacing w:after="100" w:before="0"/>
      </w:pPr>
      <w:r>
        <w:rPr>
          <w:rFonts w:ascii="Arial" w:cs="Arial" w:eastAsia="Arial" w:hAnsi="Arial"/>
          <w:i/>
          <w:iCs/>
          <w:color w:val="4A5568"/>
          <w:sz w:val="19"/>
          <w:szCs w:val="19"/>
        </w:rPr>
        <w:t xml:space="preserve">These drive the core financial scorecard. We accept .xlsx, .xls, .csv, and .pdf.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What to provide</w:t>
            </w:r>
          </w:p>
        </w:tc>
        <w:tc>
          <w:tcPr>
            <w:tcW w:type="dxa" w:w="32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Format / Source</w:t>
            </w:r>
          </w:p>
        </w:tc>
        <w:tc>
          <w:tcPr>
            <w:tcW w:type="dxa" w:w="368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Why it matters</w:t>
            </w:r>
          </w:p>
        </w:tc>
      </w:tr>
      <w:tr>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2E"/>
                <w:sz w:val="18"/>
                <w:szCs w:val="18"/>
              </w:rPr>
              <w:t xml:space="preserve">Profit &amp; Loss Statement</w:t>
            </w:r>
            <w:r>
              <w:rPr>
                <w:rFonts w:ascii="Arial" w:cs="Arial" w:eastAsia="Arial" w:hAnsi="Arial"/>
                <w:color w:val="1A1A2E"/>
                <w:sz w:val="18"/>
                <w:szCs w:val="18"/>
              </w:rPr>
              <w:t xml:space="preserve"> — current fiscal year</w:t>
            </w:r>
          </w:p>
        </w:tc>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QuickBooks Online, Xero, or any P&amp;L summary</w:t>
            </w:r>
          </w:p>
        </w:tc>
        <w:tc>
          <w:tcPr>
            <w:tcW w:type="dxa" w:w="36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Revenue, profitability, gross margin, contribution margin</w:t>
            </w:r>
          </w:p>
        </w:tc>
      </w:tr>
      <w:tr>
        <w:tc>
          <w:tcPr>
            <w:tcW w:type="dxa" w:w="3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b/>
                <w:bCs/>
                <w:color w:val="1A1A2E"/>
                <w:sz w:val="18"/>
                <w:szCs w:val="18"/>
              </w:rPr>
              <w:t xml:space="preserve">Profit &amp; Loss Statement</w:t>
            </w:r>
            <w:r>
              <w:rPr>
                <w:rFonts w:ascii="Arial" w:cs="Arial" w:eastAsia="Arial" w:hAnsi="Arial"/>
                <w:color w:val="1A1A2E"/>
                <w:sz w:val="18"/>
                <w:szCs w:val="18"/>
              </w:rPr>
              <w:t xml:space="preserve"> — prior fiscal year</w:t>
            </w:r>
          </w:p>
        </w:tc>
        <w:tc>
          <w:tcPr>
            <w:tcW w:type="dxa" w:w="3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Same source, prior year — or a two-year P&amp;L in one file</w:t>
            </w:r>
          </w:p>
        </w:tc>
        <w:tc>
          <w:tcPr>
            <w:tcW w:type="dxa" w:w="36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Year-over-year revenue growth grade</w:t>
            </w:r>
          </w:p>
        </w:tc>
      </w:tr>
      <w:tr>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2E"/>
                <w:sz w:val="18"/>
                <w:szCs w:val="18"/>
              </w:rPr>
              <w:t xml:space="preserve">Balance Sheet</w:t>
            </w:r>
            <w:r>
              <w:rPr>
                <w:rFonts w:ascii="Arial" w:cs="Arial" w:eastAsia="Arial" w:hAnsi="Arial"/>
                <w:color w:val="1A1A2E"/>
                <w:sz w:val="18"/>
                <w:szCs w:val="18"/>
              </w:rPr>
              <w:t xml:space="preserve"> — most recent period</w:t>
            </w:r>
          </w:p>
        </w:tc>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QBO, Xero, or equivalent</w:t>
            </w:r>
          </w:p>
        </w:tc>
        <w:tc>
          <w:tcPr>
            <w:tcW w:type="dxa" w:w="36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Earnings quality, equity position, related-party flags</w:t>
            </w:r>
          </w:p>
        </w:tc>
      </w:tr>
    </w:tbl>
    <w:p>
      <w:pPr>
        <w:spacing w:after="0" w:before="0" w:line="160"/>
      </w:pPr>
    </w:p>
    <w:p>
      <w:pPr>
        <w:spacing w:after="60" w:before="0"/>
      </w:pPr>
      <w:r>
        <w:rPr>
          <w:rFonts w:ascii="Arial" w:cs="Arial" w:eastAsia="Arial" w:hAnsi="Arial"/>
          <w:b/>
          <w:bCs/>
          <w:color w:val="0F3460"/>
          <w:sz w:val="19"/>
          <w:szCs w:val="19"/>
        </w:rPr>
        <w:t xml:space="preserve">Export tips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3460" w:sz="12"/>
              <w:bottom w:val="none" w:color="FFFFFF" w:sz="0"/>
              <w:right w:val="none" w:color="FFFFFF" w:sz="0"/>
            </w:tcBorders>
            <w:shd w:fill="E8F0FE" w:val="clear"/>
            <w:tcMar>
              <w:top w:type="dxa" w:w="120"/>
              <w:left w:type="dxa" w:w="200"/>
              <w:bottom w:type="dxa" w:w="120"/>
              <w:right w:type="dxa" w:w="200"/>
            </w:tcMar>
          </w:tcPr>
          <w:p>
            <w:pPr>
              <w:pStyle w:val="ListParagraph"/>
              <w:numPr>
                <w:ilvl w:val="0"/>
                <w:numId w:val="2"/>
              </w:numPr>
              <w:spacing w:after="0" w:before="0"/>
            </w:pPr>
            <w:r>
              <w:rPr>
                <w:rFonts w:ascii="Arial" w:cs="Arial" w:eastAsia="Arial" w:hAnsi="Arial"/>
                <w:color w:val="4A5568"/>
                <w:sz w:val="18"/>
                <w:szCs w:val="18"/>
              </w:rPr>
              <w:t xml:space="preserve">QBO users: Reports → Profit and Loss → set date range → Export to Excel. Include both years in one export if possible.</w:t>
            </w:r>
          </w:p>
          <w:p>
            <w:pPr>
              <w:pStyle w:val="ListParagraph"/>
              <w:numPr>
                <w:ilvl w:val="0"/>
                <w:numId w:val="2"/>
              </w:numPr>
              <w:spacing w:after="0" w:before="60"/>
            </w:pPr>
            <w:r>
              <w:rPr>
                <w:rFonts w:ascii="Arial" w:cs="Arial" w:eastAsia="Arial" w:hAnsi="Arial"/>
                <w:color w:val="4A5568"/>
                <w:sz w:val="18"/>
                <w:szCs w:val="18"/>
              </w:rPr>
              <w:t xml:space="preserve">Xero users: Accounting → Reports → Profit &amp; Loss → set date range → Export.</w:t>
            </w:r>
          </w:p>
          <w:p>
            <w:pPr>
              <w:pStyle w:val="ListParagraph"/>
              <w:numPr>
                <w:ilvl w:val="0"/>
                <w:numId w:val="2"/>
              </w:numPr>
              <w:spacing w:after="0" w:before="60"/>
            </w:pPr>
            <w:r>
              <w:rPr>
                <w:rFonts w:ascii="Arial" w:cs="Arial" w:eastAsia="Arial" w:hAnsi="Arial"/>
                <w:color w:val="4A5568"/>
                <w:sz w:val="18"/>
                <w:szCs w:val="18"/>
              </w:rPr>
              <w:t xml:space="preserve">If you only have a combined multi-year file (both years in one spreadsheet), that’s fine — no need to export separately.</w:t>
            </w:r>
          </w:p>
          <w:p>
            <w:pPr>
              <w:pStyle w:val="ListParagraph"/>
              <w:numPr>
                <w:ilvl w:val="0"/>
                <w:numId w:val="2"/>
              </w:numPr>
              <w:spacing w:after="0" w:before="60"/>
            </w:pPr>
            <w:r>
              <w:rPr>
                <w:rFonts w:ascii="Arial" w:cs="Arial" w:eastAsia="Arial" w:hAnsi="Arial"/>
                <w:color w:val="4A5568"/>
                <w:sz w:val="18"/>
                <w:szCs w:val="18"/>
              </w:rPr>
              <w:t xml:space="preserve">General Ledger transaction exports are NOT needed; summary statements only.</w:t>
            </w:r>
          </w:p>
        </w:tc>
      </w:tr>
    </w:tbl>
    <w:p>
      <w:pPr>
        <w:spacing w:after="0" w:before="0" w:line="3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02   Advertising &amp; Marketing Data    •    Recommended</w:t>
            </w:r>
          </w:p>
        </w:tc>
      </w:tr>
    </w:tbl>
    <w:p>
      <w:pPr>
        <w:spacing w:after="0" w:before="0" w:line="120"/>
      </w:pPr>
    </w:p>
    <w:p>
      <w:pPr>
        <w:spacing w:after="100" w:before="0"/>
      </w:pPr>
      <w:r>
        <w:rPr>
          <w:rFonts w:ascii="Arial" w:cs="Arial" w:eastAsia="Arial" w:hAnsi="Arial"/>
          <w:i/>
          <w:iCs/>
          <w:color w:val="4A5568"/>
          <w:sz w:val="19"/>
          <w:szCs w:val="19"/>
        </w:rPr>
        <w:t xml:space="preserve">Unlocks the Marketing Efficiency and Media Mix grades. Without these, both dimensions score 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80"/>
      </w:tblGrid>
      <w:tr>
        <w:trPr>
          <w:tblHeader/>
        </w:trPr>
        <w:tc>
          <w:tcPr>
            <w:tcW w:type="dxa" w:w="26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Platform</w:t>
            </w:r>
          </w:p>
        </w:tc>
        <w:tc>
          <w:tcPr>
            <w:tcW w:type="dxa" w:w="42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What to export</w:t>
            </w:r>
          </w:p>
        </w:tc>
        <w:tc>
          <w:tcPr>
            <w:tcW w:type="dxa" w:w="328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Notes</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Meta (Facebook / Instagram)</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Ads Manager → Campaigns → Export CSV</w:t>
            </w:r>
          </w:p>
        </w:tc>
        <w:tc>
          <w:tcPr>
            <w:tcW w:type="dxa" w:w="32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Full year spend by campaign</w:t>
            </w:r>
          </w:p>
        </w:tc>
      </w:tr>
      <w:tr>
        <w:tc>
          <w:tcPr>
            <w:tcW w:type="dxa" w:w="26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Google Ads</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Reports → Campaigns → Download CSV</w:t>
            </w:r>
          </w:p>
        </w:tc>
        <w:tc>
          <w:tcPr>
            <w:tcW w:type="dxa" w:w="32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Full year spend</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Amazon Advertising</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Sponsored Products / Brands report</w:t>
            </w:r>
          </w:p>
        </w:tc>
        <w:tc>
          <w:tcPr>
            <w:tcW w:type="dxa" w:w="32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Annual totals or monthly</w:t>
            </w:r>
          </w:p>
        </w:tc>
      </w:tr>
      <w:tr>
        <w:tc>
          <w:tcPr>
            <w:tcW w:type="dxa" w:w="26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TikTok Ads</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Campaigns → Export</w:t>
            </w:r>
          </w:p>
        </w:tc>
        <w:tc>
          <w:tcPr>
            <w:tcW w:type="dxa" w:w="32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If applicable</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Klaviyo / Email revenue</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Revenue attribution report</w:t>
            </w:r>
          </w:p>
        </w:tc>
        <w:tc>
          <w:tcPr>
            <w:tcW w:type="dxa" w:w="32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Optional but valued for owned-channel grade</w:t>
            </w:r>
          </w:p>
        </w:tc>
      </w:tr>
    </w:tbl>
    <w:p>
      <w:pPr>
        <w:spacing w:after="0" w:before="0" w:lin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3460" w:sz="12"/>
              <w:bottom w:val="none" w:color="FFFFFF" w:sz="0"/>
              <w:right w:val="none" w:color="FFFFFF" w:sz="0"/>
            </w:tcBorders>
            <w:shd w:fill="E8F0FE" w:val="clear"/>
            <w:tcMar>
              <w:top w:type="dxa" w:w="120"/>
              <w:left w:type="dxa" w:w="200"/>
              <w:bottom w:type="dxa" w:w="120"/>
              <w:right w:type="dxa" w:w="200"/>
            </w:tcMar>
          </w:tcPr>
          <w:p>
            <w:pPr>
              <w:pStyle w:val="ListParagraph"/>
              <w:numPr>
                <w:ilvl w:val="0"/>
                <w:numId w:val="2"/>
              </w:numPr>
              <w:spacing w:after="0" w:before="0"/>
            </w:pPr>
            <w:r>
              <w:rPr>
                <w:rFonts w:ascii="Arial" w:cs="Arial" w:eastAsia="Arial" w:hAnsi="Arial"/>
                <w:color w:val="4A5568"/>
                <w:sz w:val="18"/>
                <w:szCs w:val="18"/>
              </w:rPr>
              <w:t xml:space="preserve">If your total ad spend already appears as a single line in your P&amp;L (e.g. “Total Marketing — $89,000”), you can skip individual platform exports. We’ll use the P&amp;L total for efficiency scoring, but media mix concentration will remain N/A.</w:t>
            </w:r>
          </w:p>
        </w:tc>
      </w:tr>
    </w:tbl>
    <w:p>
      <w:pPr>
        <w:spacing w:after="0" w:before="0" w:line="3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03   Brand &amp; Social Information    •    Recommended</w:t>
            </w:r>
          </w:p>
        </w:tc>
      </w:tr>
    </w:tbl>
    <w:p>
      <w:pPr>
        <w:spacing w:after="0" w:before="0" w:line="120"/>
      </w:pPr>
    </w:p>
    <w:p>
      <w:pPr>
        <w:spacing w:after="100" w:before="0"/>
      </w:pPr>
      <w:r>
        <w:rPr>
          <w:rFonts w:ascii="Arial" w:cs="Arial" w:eastAsia="Arial" w:hAnsi="Arial"/>
          <w:i/>
          <w:iCs/>
          <w:color w:val="4A5568"/>
          <w:sz w:val="19"/>
          <w:szCs w:val="19"/>
        </w:rPr>
        <w:t xml:space="preserve">Used for the Brand &amp; Social scorecard, which is graded separately from the financial track.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5480"/>
      </w:tblGrid>
      <w:tr>
        <w:trPr>
          <w:tblHeader/>
        </w:trPr>
        <w:tc>
          <w:tcPr>
            <w:tcW w:type="dxa" w:w="46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Item</w:t>
            </w:r>
          </w:p>
        </w:tc>
        <w:tc>
          <w:tcPr>
            <w:tcW w:type="dxa" w:w="548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Example / Notes</w:t>
            </w:r>
          </w:p>
        </w:tc>
      </w:tr>
      <w:tr>
        <w:tc>
          <w:tcPr>
            <w:tcW w:type="dxa" w:w="4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Brand website URL</w:t>
            </w:r>
          </w:p>
        </w:tc>
        <w:tc>
          <w:tcPr>
            <w:tcW w:type="dxa" w:w="54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https://yourbrand.com</w:t>
            </w:r>
          </w:p>
        </w:tc>
      </w:tr>
      <w:tr>
        <w:tc>
          <w:tcPr>
            <w:tcW w:type="dxa" w:w="46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Instagram handle</w:t>
            </w:r>
          </w:p>
        </w:tc>
        <w:tc>
          <w:tcPr>
            <w:tcW w:type="dxa" w:w="54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@yourbrand</w:t>
            </w:r>
          </w:p>
        </w:tc>
      </w:tr>
      <w:tr>
        <w:tc>
          <w:tcPr>
            <w:tcW w:type="dxa" w:w="4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TikTok handle</w:t>
            </w:r>
          </w:p>
        </w:tc>
        <w:tc>
          <w:tcPr>
            <w:tcW w:type="dxa" w:w="54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@yourbrand</w:t>
            </w:r>
          </w:p>
        </w:tc>
      </w:tr>
      <w:tr>
        <w:tc>
          <w:tcPr>
            <w:tcW w:type="dxa" w:w="46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Facebook page URL</w:t>
            </w:r>
          </w:p>
        </w:tc>
        <w:tc>
          <w:tcPr>
            <w:tcW w:type="dxa" w:w="54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facebook.com/yourbrand</w:t>
            </w:r>
          </w:p>
        </w:tc>
      </w:tr>
      <w:tr>
        <w:tc>
          <w:tcPr>
            <w:tcW w:type="dxa" w:w="4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YouTube channel URL</w:t>
            </w:r>
          </w:p>
        </w:tc>
        <w:tc>
          <w:tcPr>
            <w:tcW w:type="dxa" w:w="54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youtube.com/c/yourbrand</w:t>
            </w:r>
          </w:p>
        </w:tc>
      </w:tr>
      <w:tr>
        <w:tc>
          <w:tcPr>
            <w:tcW w:type="dxa" w:w="46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Pinterest URL</w:t>
            </w:r>
          </w:p>
        </w:tc>
        <w:tc>
          <w:tcPr>
            <w:tcW w:type="dxa" w:w="54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pinterest.com/yourbrand</w:t>
            </w:r>
          </w:p>
        </w:tc>
      </w:tr>
      <w:tr>
        <w:tc>
          <w:tcPr>
            <w:tcW w:type="dxa" w:w="4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2E"/>
                <w:sz w:val="18"/>
                <w:szCs w:val="18"/>
              </w:rPr>
              <w:t xml:space="preserve">Email list size</w:t>
            </w:r>
            <w:r>
              <w:rPr>
                <w:rFonts w:ascii="Arial" w:cs="Arial" w:eastAsia="Arial" w:hAnsi="Arial"/>
                <w:color w:val="1A1A2E"/>
                <w:sz w:val="18"/>
                <w:szCs w:val="18"/>
              </w:rPr>
              <w:t xml:space="preserve"> (approximate)</w:t>
            </w:r>
          </w:p>
        </w:tc>
        <w:tc>
          <w:tcPr>
            <w:tcW w:type="dxa" w:w="54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45,000 subscribers</w:t>
            </w:r>
          </w:p>
        </w:tc>
      </w:tr>
      <w:tr>
        <w:tc>
          <w:tcPr>
            <w:tcW w:type="dxa" w:w="46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b/>
                <w:bCs/>
                <w:color w:val="1A1A2E"/>
                <w:sz w:val="18"/>
                <w:szCs w:val="18"/>
              </w:rPr>
              <w:t xml:space="preserve">Review platform + rating + count</w:t>
            </w:r>
          </w:p>
        </w:tc>
        <w:tc>
          <w:tcPr>
            <w:tcW w:type="dxa" w:w="54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Amazon 4.6★ / 1,200 reviews</w:t>
            </w:r>
          </w:p>
        </w:tc>
      </w:tr>
      <w:tr>
        <w:tc>
          <w:tcPr>
            <w:tcW w:type="dxa" w:w="4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Trustpilot / Google rating + count</w:t>
            </w:r>
          </w:p>
        </w:tc>
        <w:tc>
          <w:tcPr>
            <w:tcW w:type="dxa" w:w="54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vAlign w:val="top"/>
          </w:tcPr>
          <w:p>
            <w:pPr>
              <w:spacing w:after="0" w:before="0"/>
            </w:pPr>
            <w:r>
              <w:rPr>
                <w:rFonts w:ascii="Arial" w:cs="Arial" w:eastAsia="Arial" w:hAnsi="Arial"/>
                <w:color w:val="1A1A2E"/>
                <w:sz w:val="18"/>
                <w:szCs w:val="18"/>
              </w:rPr>
              <w:t xml:space="preserve">4.8★ / 320 reviews</w:t>
            </w:r>
          </w:p>
        </w:tc>
      </w:tr>
    </w:tbl>
    <w:p>
      <w:pPr>
        <w:spacing w:after="0" w:before="0" w:line="3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04   Customer &amp; Acquisition Data    •    Optional</w:t>
            </w:r>
          </w:p>
        </w:tc>
      </w:tr>
    </w:tbl>
    <w:p>
      <w:pPr>
        <w:spacing w:after="0" w:before="0" w:line="120"/>
      </w:pPr>
    </w:p>
    <w:p>
      <w:pPr>
        <w:spacing w:after="100" w:before="0"/>
      </w:pPr>
      <w:r>
        <w:rPr>
          <w:rFonts w:ascii="Arial" w:cs="Arial" w:eastAsia="Arial" w:hAnsi="Arial"/>
          <w:i/>
          <w:iCs/>
          <w:color w:val="4A5568"/>
          <w:sz w:val="19"/>
          <w:szCs w:val="19"/>
        </w:rPr>
        <w:t xml:space="preserve">This dimension is frequently N/A without a CRM or cohort export. Provide what you have — partial data is better than none.</w:t>
      </w:r>
    </w:p>
    <w:p>
      <w:pPr>
        <w:pStyle w:val="ListParagraph"/>
        <w:numPr>
          <w:ilvl w:val="0"/>
          <w:numId w:val="2"/>
        </w:numPr>
        <w:spacing w:after="40" w:before="40"/>
      </w:pPr>
      <w:r>
        <w:rPr>
          <w:rFonts w:ascii="Arial" w:cs="Arial" w:eastAsia="Arial" w:hAnsi="Arial"/>
          <w:color w:val="1A1A2E"/>
          <w:sz w:val="19"/>
          <w:szCs w:val="19"/>
        </w:rPr>
        <w:t xml:space="preserve">New customer revenue vs. returning customer revenue (annual split, $ or %)</w:t>
      </w:r>
    </w:p>
    <w:p>
      <w:pPr>
        <w:pStyle w:val="ListParagraph"/>
        <w:numPr>
          <w:ilvl w:val="0"/>
          <w:numId w:val="2"/>
        </w:numPr>
        <w:spacing w:after="40" w:before="40"/>
      </w:pPr>
      <w:r>
        <w:rPr>
          <w:rFonts w:ascii="Arial" w:cs="Arial" w:eastAsia="Arial" w:hAnsi="Arial"/>
          <w:color w:val="1A1A2E"/>
          <w:sz w:val="19"/>
          <w:szCs w:val="19"/>
        </w:rPr>
        <w:t xml:space="preserve">Owned / email channel revenue as % of total revenue</w:t>
      </w:r>
    </w:p>
    <w:p>
      <w:pPr>
        <w:pStyle w:val="ListParagraph"/>
        <w:numPr>
          <w:ilvl w:val="0"/>
          <w:numId w:val="2"/>
        </w:numPr>
        <w:spacing w:after="40" w:before="40"/>
      </w:pPr>
      <w:r>
        <w:rPr>
          <w:rFonts w:ascii="Arial" w:cs="Arial" w:eastAsia="Arial" w:hAnsi="Arial"/>
          <w:color w:val="1A1A2E"/>
          <w:sz w:val="19"/>
          <w:szCs w:val="19"/>
        </w:rPr>
        <w:t xml:space="preserve">Average Order Value (AOV)</w:t>
      </w:r>
    </w:p>
    <w:p>
      <w:pPr>
        <w:pStyle w:val="ListParagraph"/>
        <w:numPr>
          <w:ilvl w:val="0"/>
          <w:numId w:val="2"/>
        </w:numPr>
        <w:spacing w:after="40" w:before="40"/>
      </w:pPr>
      <w:r>
        <w:rPr>
          <w:rFonts w:ascii="Arial" w:cs="Arial" w:eastAsia="Arial" w:hAnsi="Arial"/>
          <w:color w:val="1A1A2E"/>
          <w:sz w:val="19"/>
          <w:szCs w:val="19"/>
        </w:rPr>
        <w:t xml:space="preserve">Customer Acquisition Cost (CAC) — blended or by channel</w:t>
      </w:r>
    </w:p>
    <w:p>
      <w:pPr>
        <w:pStyle w:val="ListParagraph"/>
        <w:numPr>
          <w:ilvl w:val="0"/>
          <w:numId w:val="2"/>
        </w:numPr>
        <w:spacing w:after="40" w:before="40"/>
      </w:pPr>
      <w:r>
        <w:rPr>
          <w:rFonts w:ascii="Arial" w:cs="Arial" w:eastAsia="Arial" w:hAnsi="Arial"/>
          <w:color w:val="1A1A2E"/>
          <w:sz w:val="19"/>
          <w:szCs w:val="19"/>
        </w:rPr>
        <w:t xml:space="preserve">Lifetime Value (LTV) — 12-month or full cohort</w:t>
      </w:r>
    </w:p>
    <w:p>
      <w:pPr>
        <w:pStyle w:val="ListParagraph"/>
        <w:numPr>
          <w:ilvl w:val="0"/>
          <w:numId w:val="2"/>
        </w:numPr>
        <w:spacing w:after="40" w:before="40"/>
      </w:pPr>
      <w:r>
        <w:rPr>
          <w:rFonts w:ascii="Arial" w:cs="Arial" w:eastAsia="Arial" w:hAnsi="Arial"/>
          <w:color w:val="1A1A2E"/>
          <w:sz w:val="19"/>
          <w:szCs w:val="19"/>
        </w:rPr>
        <w:t xml:space="preserve">Return / refund rate (% of gross sales)</w:t>
      </w:r>
    </w:p>
    <w:p>
      <w:pPr>
        <w:pStyle w:val="ListParagraph"/>
        <w:numPr>
          <w:ilvl w:val="0"/>
          <w:numId w:val="2"/>
        </w:numPr>
        <w:spacing w:after="40" w:before="40"/>
      </w:pPr>
      <w:r>
        <w:rPr>
          <w:rFonts w:ascii="Arial" w:cs="Arial" w:eastAsia="Arial" w:hAnsi="Arial"/>
          <w:color w:val="1A1A2E"/>
          <w:sz w:val="19"/>
          <w:szCs w:val="19"/>
        </w:rPr>
        <w:t xml:space="preserve">Discount / promotion rate (% of gross sales)</w:t>
      </w:r>
    </w:p>
    <w:p>
      <w:pPr>
        <w:spacing w:after="0" w:before="0" w:line="3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05   Context Notes    •    Optional</w:t>
            </w:r>
          </w:p>
        </w:tc>
      </w:tr>
    </w:tbl>
    <w:p>
      <w:pPr>
        <w:spacing w:after="0" w:before="0" w:line="120"/>
      </w:pPr>
    </w:p>
    <w:p>
      <w:pPr>
        <w:spacing w:after="100" w:before="0"/>
      </w:pPr>
      <w:r>
        <w:rPr>
          <w:rFonts w:ascii="Arial" w:cs="Arial" w:eastAsia="Arial" w:hAnsi="Arial"/>
          <w:i/>
          <w:iCs/>
          <w:color w:val="4A5568"/>
          <w:sz w:val="19"/>
          <w:szCs w:val="19"/>
        </w:rPr>
        <w:t xml:space="preserve">A few sentences from your team helps us interpret the numbers accurately. Useful things to note:</w:t>
      </w:r>
    </w:p>
    <w:p>
      <w:pPr>
        <w:pStyle w:val="ListParagraph"/>
        <w:numPr>
          <w:ilvl w:val="0"/>
          <w:numId w:val="2"/>
        </w:numPr>
        <w:spacing w:after="40" w:before="40"/>
      </w:pPr>
      <w:r>
        <w:rPr>
          <w:rFonts w:ascii="Arial" w:cs="Arial" w:eastAsia="Arial" w:hAnsi="Arial"/>
          <w:color w:val="1A1A2E"/>
          <w:sz w:val="19"/>
          <w:szCs w:val="19"/>
        </w:rPr>
        <w:t xml:space="preserve">Significant one-time events (warehouse move, product recall, major relaunch)</w:t>
      </w:r>
    </w:p>
    <w:p>
      <w:pPr>
        <w:pStyle w:val="ListParagraph"/>
        <w:numPr>
          <w:ilvl w:val="0"/>
          <w:numId w:val="2"/>
        </w:numPr>
        <w:spacing w:after="40" w:before="40"/>
      </w:pPr>
      <w:r>
        <w:rPr>
          <w:rFonts w:ascii="Arial" w:cs="Arial" w:eastAsia="Arial" w:hAnsi="Arial"/>
          <w:color w:val="1A1A2E"/>
          <w:sz w:val="19"/>
          <w:szCs w:val="19"/>
        </w:rPr>
        <w:t xml:space="preserve">Seasonality patterns (e.g. 70% of revenue in Q4)</w:t>
      </w:r>
    </w:p>
    <w:p>
      <w:pPr>
        <w:pStyle w:val="ListParagraph"/>
        <w:numPr>
          <w:ilvl w:val="0"/>
          <w:numId w:val="2"/>
        </w:numPr>
        <w:spacing w:after="40" w:before="40"/>
      </w:pPr>
      <w:r>
        <w:rPr>
          <w:rFonts w:ascii="Arial" w:cs="Arial" w:eastAsia="Arial" w:hAnsi="Arial"/>
          <w:color w:val="1A1A2E"/>
          <w:sz w:val="19"/>
          <w:szCs w:val="19"/>
        </w:rPr>
        <w:t xml:space="preserve">Reason for revenue change year-over-year</w:t>
      </w:r>
    </w:p>
    <w:p>
      <w:pPr>
        <w:pStyle w:val="ListParagraph"/>
        <w:numPr>
          <w:ilvl w:val="0"/>
          <w:numId w:val="2"/>
        </w:numPr>
        <w:spacing w:after="40" w:before="40"/>
      </w:pPr>
      <w:r>
        <w:rPr>
          <w:rFonts w:ascii="Arial" w:cs="Arial" w:eastAsia="Arial" w:hAnsi="Arial"/>
          <w:color w:val="1A1A2E"/>
          <w:sz w:val="19"/>
          <w:szCs w:val="19"/>
        </w:rPr>
        <w:t xml:space="preserve">Pending contracts, LOIs, or distribution deals not yet reflected in financials</w:t>
      </w:r>
    </w:p>
    <w:p>
      <w:pPr>
        <w:pStyle w:val="ListParagraph"/>
        <w:numPr>
          <w:ilvl w:val="0"/>
          <w:numId w:val="2"/>
        </w:numPr>
        <w:spacing w:after="40" w:before="40"/>
      </w:pPr>
      <w:r>
        <w:rPr>
          <w:rFonts w:ascii="Arial" w:cs="Arial" w:eastAsia="Arial" w:hAnsi="Arial"/>
          <w:color w:val="1A1A2E"/>
          <w:sz w:val="19"/>
          <w:szCs w:val="19"/>
        </w:rPr>
        <w:t xml:space="preserve">Ownership structure notes (family loans, intercompany transactions, related-party leases)</w:t>
      </w:r>
    </w:p>
    <w:p>
      <w:pPr>
        <w:spacing w:after="0" w:before="0" w:line="3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80"/>
      </w:tblGrid>
      <w:tr>
        <w:tc>
          <w:tcPr>
            <w:tcW w:type="dxa" w:w="10080"/>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06   Quick Checklist at a Glance</w:t>
            </w:r>
          </w:p>
        </w:tc>
      </w:tr>
    </w:tbl>
    <w:p>
      <w:pPr>
        <w:spacing w:after="0" w:before="0" w:lin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780"/>
        <w:gridCol w:w="1500"/>
        <w:gridCol w:w="4200"/>
      </w:tblGrid>
      <w:tr>
        <w:trPr>
          <w:tblHeader/>
        </w:trPr>
        <w:tc>
          <w:tcPr>
            <w:tcW w:type="dxa" w:w="6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378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Item</w:t>
            </w:r>
          </w:p>
        </w:tc>
        <w:tc>
          <w:tcPr>
            <w:tcW w:type="dxa" w:w="15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Required?</w:t>
            </w:r>
          </w:p>
        </w:tc>
        <w:tc>
          <w:tcPr>
            <w:tcW w:type="dxa" w:w="4200"/>
            <w:tcBorders>
              <w:top w:val="single" w:color="DEE2E6" w:sz="1"/>
              <w:left w:val="single" w:color="DEE2E6" w:sz="1"/>
              <w:bottom w:val="single" w:color="DEE2E6" w:sz="1"/>
              <w:right w:val="single" w:color="DEE2E6" w:sz="1"/>
            </w:tcBorders>
            <w:shd w:fill="16213E"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Unlocks</w:t>
            </w:r>
          </w:p>
        </w:tc>
      </w:tr>
      <w:tr>
        <w:tc>
          <w:tcPr>
            <w:tcW w:type="dxa" w:w="6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1</w:t>
            </w:r>
          </w:p>
        </w:tc>
        <w:tc>
          <w:tcPr>
            <w:tcW w:type="dxa" w:w="37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P&amp;L — current fiscal year</w:t>
            </w:r>
          </w:p>
        </w:tc>
        <w:tc>
          <w:tcPr>
            <w:tcW w:type="dxa" w:w="15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1A7F4B"/>
                <w:sz w:val="17"/>
                <w:szCs w:val="17"/>
              </w:rPr>
              <w:t xml:space="preserve">✅ Required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Revenue, Profit, Gross Margin, Contribution</w:t>
            </w:r>
          </w:p>
        </w:tc>
      </w:tr>
      <w:tr>
        <w:tc>
          <w:tcPr>
            <w:tcW w:type="dxa" w:w="6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2</w:t>
            </w:r>
          </w:p>
        </w:tc>
        <w:tc>
          <w:tcPr>
            <w:tcW w:type="dxa" w:w="37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P&amp;L — prior fiscal year</w:t>
            </w:r>
          </w:p>
        </w:tc>
        <w:tc>
          <w:tcPr>
            <w:tcW w:type="dxa" w:w="15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1A7F4B"/>
                <w:sz w:val="17"/>
                <w:szCs w:val="17"/>
              </w:rPr>
              <w:t xml:space="preserve">✅ Required</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Year-over-year Revenue Growth grade</w:t>
            </w:r>
          </w:p>
        </w:tc>
      </w:tr>
      <w:tr>
        <w:tc>
          <w:tcPr>
            <w:tcW w:type="dxa" w:w="6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3</w:t>
            </w:r>
          </w:p>
        </w:tc>
        <w:tc>
          <w:tcPr>
            <w:tcW w:type="dxa" w:w="37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Balance Sheet</w:t>
            </w:r>
          </w:p>
        </w:tc>
        <w:tc>
          <w:tcPr>
            <w:tcW w:type="dxa" w:w="15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1A7F4B"/>
                <w:sz w:val="17"/>
                <w:szCs w:val="17"/>
              </w:rPr>
              <w:t xml:space="preserve">✅ Required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Earnings Quality / Balance grade</w:t>
            </w:r>
          </w:p>
        </w:tc>
      </w:tr>
      <w:tr>
        <w:tc>
          <w:tcPr>
            <w:tcW w:type="dxa" w:w="6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4</w:t>
            </w:r>
          </w:p>
        </w:tc>
        <w:tc>
          <w:tcPr>
            <w:tcW w:type="dxa" w:w="37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Ad platform exports (Meta, Google, etc.)</w:t>
            </w:r>
          </w:p>
        </w:tc>
        <w:tc>
          <w:tcPr>
            <w:tcW w:type="dxa" w:w="15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1565C0"/>
                <w:sz w:val="17"/>
                <w:szCs w:val="17"/>
              </w:rPr>
              <w:t xml:space="preserve">Recommended</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Marketing Efficiency + Media Mix grades</w:t>
            </w:r>
          </w:p>
        </w:tc>
      </w:tr>
      <w:tr>
        <w:tc>
          <w:tcPr>
            <w:tcW w:type="dxa" w:w="6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5</w:t>
            </w:r>
          </w:p>
        </w:tc>
        <w:tc>
          <w:tcPr>
            <w:tcW w:type="dxa" w:w="37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Brand website URL</w:t>
            </w:r>
          </w:p>
        </w:tc>
        <w:tc>
          <w:tcPr>
            <w:tcW w:type="dxa" w:w="15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1565C0"/>
                <w:sz w:val="17"/>
                <w:szCs w:val="17"/>
              </w:rPr>
              <w:t xml:space="preserve">Recommended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Social discovery, brand imagery</w:t>
            </w:r>
          </w:p>
        </w:tc>
      </w:tr>
      <w:tr>
        <w:tc>
          <w:tcPr>
            <w:tcW w:type="dxa" w:w="6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6</w:t>
            </w:r>
          </w:p>
        </w:tc>
        <w:tc>
          <w:tcPr>
            <w:tcW w:type="dxa" w:w="37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Social handles + email list size</w:t>
            </w:r>
          </w:p>
        </w:tc>
        <w:tc>
          <w:tcPr>
            <w:tcW w:type="dxa" w:w="15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1565C0"/>
                <w:sz w:val="17"/>
                <w:szCs w:val="17"/>
              </w:rPr>
              <w:t xml:space="preserve">Recommended</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Brand &amp; Social scorecard</w:t>
            </w:r>
          </w:p>
        </w:tc>
      </w:tr>
      <w:tr>
        <w:tc>
          <w:tcPr>
            <w:tcW w:type="dxa" w:w="6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7</w:t>
            </w:r>
          </w:p>
        </w:tc>
        <w:tc>
          <w:tcPr>
            <w:tcW w:type="dxa" w:w="37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Review ratings + review count</w:t>
            </w:r>
          </w:p>
        </w:tc>
        <w:tc>
          <w:tcPr>
            <w:tcW w:type="dxa" w:w="15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1565C0"/>
                <w:sz w:val="17"/>
                <w:szCs w:val="17"/>
              </w:rPr>
              <w:t xml:space="preserve">Recommended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Social Reputation grade</w:t>
            </w:r>
          </w:p>
        </w:tc>
      </w:tr>
      <w:tr>
        <w:tc>
          <w:tcPr>
            <w:tcW w:type="dxa" w:w="6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8</w:t>
            </w:r>
          </w:p>
        </w:tc>
        <w:tc>
          <w:tcPr>
            <w:tcW w:type="dxa" w:w="37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New vs. returning revenue split</w:t>
            </w:r>
          </w:p>
        </w:tc>
        <w:tc>
          <w:tcPr>
            <w:tcW w:type="dxa" w:w="15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4A5568"/>
                <w:sz w:val="17"/>
                <w:szCs w:val="17"/>
              </w:rPr>
              <w:t xml:space="preserve">Optional</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Acquisition Mix grade</w:t>
            </w:r>
          </w:p>
        </w:tc>
      </w:tr>
      <w:tr>
        <w:tc>
          <w:tcPr>
            <w:tcW w:type="dxa" w:w="6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9</w:t>
            </w:r>
          </w:p>
        </w:tc>
        <w:tc>
          <w:tcPr>
            <w:tcW w:type="dxa" w:w="37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AOV, CAC, Lifetime Value</w:t>
            </w:r>
          </w:p>
        </w:tc>
        <w:tc>
          <w:tcPr>
            <w:tcW w:type="dxa" w:w="1500"/>
            <w:tcBorders>
              <w:top w:val="single" w:color="DEE2E6" w:sz="1"/>
              <w:left w:val="single" w:color="DEE2E6" w:sz="1"/>
              <w:bottom w:val="single" w:color="DEE2E6" w:sz="1"/>
              <w:right w:val="single" w:color="DEE2E6" w:sz="1"/>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4A5568"/>
                <w:sz w:val="17"/>
                <w:szCs w:val="17"/>
              </w:rPr>
              <w:t xml:space="preserve">Optional</w:t>
            </w:r>
          </w:p>
        </w:tc>
        <w:tc>
          <w:tcPr>
            <w:tcW w:type="dxa" w:w="4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Acquisition Mix grade</w:t>
            </w:r>
          </w:p>
        </w:tc>
      </w:tr>
      <w:tr>
        <w:tc>
          <w:tcPr>
            <w:tcW w:type="dxa" w:w="6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0F3460"/>
                <w:sz w:val="18"/>
                <w:szCs w:val="18"/>
              </w:rPr>
              <w:t xml:space="preserve">10</w:t>
            </w:r>
          </w:p>
        </w:tc>
        <w:tc>
          <w:tcPr>
            <w:tcW w:type="dxa" w:w="378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Context notes</w:t>
            </w:r>
          </w:p>
        </w:tc>
        <w:tc>
          <w:tcPr>
            <w:tcW w:type="dxa" w:w="1500"/>
            <w:tcBorders>
              <w:top w:val="single" w:color="DEE2E6" w:sz="1"/>
              <w:left w:val="single" w:color="DEE2E6" w:sz="1"/>
              <w:bottom w:val="single" w:color="DEE2E6" w:sz="1"/>
              <w:right w:val="single" w:color="DEE2E6" w:sz="1"/>
            </w:tcBorders>
            <w:shd w:fill="F4F6F8" w:val="clear"/>
            <w:tcMar>
              <w:top w:type="dxa" w:w="80"/>
              <w:left w:type="dxa" w:w="100"/>
              <w:bottom w:type="dxa" w:w="80"/>
              <w:right w:type="dxa" w:w="100"/>
            </w:tcMar>
            <w:vAlign w:val="center"/>
          </w:tcPr>
          <w:p>
            <w:pPr>
              <w:spacing w:after="0" w:before="0"/>
              <w:jc w:val="center"/>
            </w:pPr>
            <w:r>
              <w:rPr>
                <w:rFonts w:ascii="Arial" w:cs="Arial" w:eastAsia="Arial" w:hAnsi="Arial"/>
                <w:b/>
                <w:bCs/>
                <w:color w:val="4A5568"/>
                <w:sz w:val="17"/>
                <w:szCs w:val="17"/>
              </w:rPr>
              <w:t xml:space="preserve">Optional</w:t>
            </w:r>
          </w:p>
        </w:tc>
        <w:tc>
          <w:tcPr>
            <w:tcW w:type="dxa" w:w="4200"/>
            <w:tcBorders>
              <w:top w:val="single" w:color="DEE2E6" w:sz="1"/>
              <w:left w:val="single" w:color="DEE2E6" w:sz="1"/>
              <w:bottom w:val="single" w:color="DEE2E6" w:sz="1"/>
              <w:right w:val="single" w:color="DEE2E6" w:sz="1"/>
            </w:tcBorders>
            <w:shd w:fill="F4F6F8" w:val="clear"/>
            <w:tcMar>
              <w:top w:type="dxa" w:w="80"/>
              <w:left w:type="dxa" w:w="140"/>
              <w:bottom w:type="dxa" w:w="80"/>
              <w:right w:type="dxa" w:w="140"/>
            </w:tcMar>
          </w:tcPr>
          <w:p>
            <w:pPr>
              <w:spacing w:after="0" w:before="0"/>
            </w:pPr>
            <w:r>
              <w:rPr>
                <w:rFonts w:ascii="Arial" w:cs="Arial" w:eastAsia="Arial" w:hAnsi="Arial"/>
                <w:color w:val="4A5568"/>
                <w:sz w:val="18"/>
                <w:szCs w:val="18"/>
              </w:rPr>
              <w:t xml:space="preserve">Analyst interpretation accuracy</w:t>
            </w:r>
          </w:p>
        </w:tc>
      </w:tr>
    </w:tbl>
    <w:p>
      <w:pPr>
        <w:spacing w:after="0" w:before="0" w:line="400"/>
      </w:pPr>
    </w:p>
    <w:p>
      <w:pPr>
        <w:pBdr>
          <w:bottom w:val="single" w:color="0F3460" w:sz="4" w:space="1"/>
        </w:pBdr>
        <w:spacing w:after="60" w:before="60"/>
      </w:pPr>
    </w:p>
    <w:p>
      <w:pPr>
        <w:spacing w:after="0" w:before="0" w:line="120"/>
      </w:pPr>
    </w:p>
    <w:p>
      <w:pPr>
        <w:spacing w:after="60" w:before="0"/>
      </w:pPr>
      <w:r>
        <w:rPr>
          <w:rFonts w:ascii="Arial" w:cs="Arial" w:eastAsia="Arial" w:hAnsi="Arial"/>
          <w:b/>
          <w:bCs/>
          <w:color w:val="1A1A2E"/>
          <w:sz w:val="20"/>
          <w:szCs w:val="20"/>
        </w:rPr>
        <w:t xml:space="preserve">Ready to submit? </w:t>
      </w:r>
      <w:r>
        <w:rPr>
          <w:rFonts w:ascii="Arial" w:cs="Arial" w:eastAsia="Arial" w:hAnsi="Arial"/>
          <w:color w:val="4A5568"/>
          <w:sz w:val="20"/>
          <w:szCs w:val="20"/>
        </w:rPr>
        <w:t xml:space="preserve">Upload your files at </w:t>
      </w:r>
      <w:r>
        <w:rPr>
          <w:rFonts w:ascii="Arial" w:cs="Arial" w:eastAsia="Arial" w:hAnsi="Arial"/>
          <w:b/>
          <w:bCs/>
          <w:color w:val="0F3460"/>
          <w:sz w:val="20"/>
          <w:szCs w:val="20"/>
        </w:rPr>
        <w:t xml:space="preserve">agent.anatainc.com</w:t>
      </w:r>
      <w:r>
        <w:rPr>
          <w:rFonts w:ascii="Arial" w:cs="Arial" w:eastAsia="Arial" w:hAnsi="Arial"/>
          <w:color w:val="4A5568"/>
          <w:sz w:val="20"/>
          <w:szCs w:val="20"/>
        </w:rPr>
        <w:t xml:space="preserve">  →  Executive → Brand Analysis → New Analysis</w:t>
      </w:r>
    </w:p>
    <w:p>
      <w:pPr>
        <w:spacing w:after="0" w:before="0"/>
      </w:pPr>
      <w:r>
        <w:rPr>
          <w:rFonts w:ascii="Arial" w:cs="Arial" w:eastAsia="Arial" w:hAnsi="Arial"/>
          <w:b/>
          <w:bCs/>
          <w:color w:val="1A1A2E"/>
          <w:sz w:val="20"/>
          <w:szCs w:val="20"/>
        </w:rPr>
        <w:t xml:space="preserve">Questions? </w:t>
      </w:r>
      <w:r>
        <w:rPr>
          <w:rFonts w:ascii="Arial" w:cs="Arial" w:eastAsia="Arial" w:hAnsi="Arial"/>
          <w:color w:val="4A5568"/>
          <w:sz w:val="20"/>
          <w:szCs w:val="20"/>
        </w:rPr>
        <w:t xml:space="preserve">Contact your Anata analyst or email </w:t>
      </w:r>
      <w:r>
        <w:rPr>
          <w:rFonts w:ascii="Arial" w:cs="Arial" w:eastAsia="Arial" w:hAnsi="Arial"/>
          <w:b/>
          <w:bCs/>
          <w:color w:val="0F3460"/>
          <w:sz w:val="20"/>
          <w:szCs w:val="20"/>
        </w:rPr>
        <w:t xml:space="preserve">david@anatainc.com</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1"/>
      </w:pBdr>
      <w:spacing w:after="0" w:before="0"/>
    </w:pPr>
  </w:p>
  <w:p>
    <w:pPr>
      <w:spacing w:after="0" w:before="80"/>
      <w:jc w:val="center"/>
    </w:pPr>
    <w:r>
      <w:rPr>
        <w:rFonts w:ascii="Arial" w:cs="Arial" w:eastAsia="Arial" w:hAnsi="Arial"/>
        <w:color w:val="4A5568"/>
        <w:sz w:val="16"/>
        <w:szCs w:val="16"/>
      </w:rPr>
      <w:t xml:space="preserve">Questions? Email david@anatainc.com  |  Upload files at agent.anatainc.com  |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b/>
              <w:bCs/>
              <w:color w:val="0F3460"/>
              <w:sz w:val="24"/>
              <w:szCs w:val="24"/>
            </w:rPr>
            <w:t xml:space="preserve">ANATA</w:t>
          </w:r>
        </w:p>
      </w:tc>
      <w:tc>
        <w:tcPr>
          <w:tcW w:type="dxa" w:w="453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color w:val="4A5568"/>
              <w:sz w:val="18"/>
              <w:szCs w:val="18"/>
            </w:rPr>
            <w:t xml:space="preserve">agent.anatainc.com</w:t>
          </w:r>
        </w:p>
      </w:tc>
    </w:tr>
  </w:tbl>
  <w:p>
    <w:pPr>
      <w:pBdr>
        <w:bottom w:val="single" w:color="0F3460" w:sz="4"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2026-06-17T17:30:45.339Z</dcterms:created>
  <dcterms:modified xsi:type="dcterms:W3CDTF">2026-06-17T17:30:45.343Z</dcterms:modified>
</cp:coreProperties>
</file>

<file path=docProps/custom.xml><?xml version="1.0" encoding="utf-8"?>
<Properties xmlns="http://schemas.openxmlformats.org/officeDocument/2006/custom-properties" xmlns:vt="http://schemas.openxmlformats.org/officeDocument/2006/docPropsVTypes"/>
</file>