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40"/>
      </w:pPr>
      <w:r>
        <w:rPr>
          <w:rFonts w:ascii="Arial" w:cs="Arial" w:eastAsia="Arial" w:hAnsi="Arial"/>
          <w:b/>
          <w:bCs/>
          <w:color w:val="2B3644"/>
          <w:sz w:val="64"/>
          <w:szCs w:val="64"/>
        </w:rPr>
        <w:t xml:space="preserve">Anata</w:t>
      </w:r>
    </w:p>
    <w:p>
      <w:pPr>
        <w:spacing w:after="0"/>
      </w:pPr>
      <w:r>
        <w:rPr>
          <w:rFonts w:ascii="Arial" w:cs="Arial" w:eastAsia="Arial" w:hAnsi="Arial"/>
          <w:b/>
          <w:bCs/>
          <w:color w:val="3B7DD8"/>
          <w:sz w:val="40"/>
          <w:szCs w:val="40"/>
        </w:rPr>
        <w:t xml:space="preserve">Sales Operational Director</w:t>
      </w:r>
    </w:p>
    <w:p>
      <w:pPr>
        <w:spacing w:after="720"/>
      </w:pPr>
      <w:r>
        <w:rPr>
          <w:rFonts w:ascii="Arial" w:cs="Arial" w:eastAsia="Arial" w:hAnsi="Arial"/>
          <w:color w:val="6B7B8D"/>
          <w:sz w:val="28"/>
          <w:szCs w:val="28"/>
        </w:rPr>
        <w:t xml:space="preserve">Team Training Guide</w:t>
      </w:r>
    </w:p>
    <w:p>
      <w:pPr>
        <w:pBdr>
          <w:bottom w:val="single" w:color="3B7DD8" w:sz="12"/>
        </w:pBdr>
        <w:spacing w:after="480"/>
      </w:pPr>
      <w:r>
        <w:t xml:space="preserve"/>
      </w:r>
    </w:p>
    <w:p>
      <w:pPr>
        <w:spacing w:after="1440"/>
      </w:pPr>
      <w:r>
        <w:rPr>
          <w:rFonts w:ascii="Arial" w:cs="Arial" w:eastAsia="Arial" w:hAnsi="Arial"/>
          <w:i/>
          <w:iCs/>
          <w:color w:val="2B3644"/>
          <w:sz w:val="24"/>
          <w:szCs w:val="24"/>
        </w:rPr>
        <w:t xml:space="preserve">Everything the sales team needs to manage deals, follow up faster, and keep HubSpot clean — without leaving the Anata admin.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il" w:color="FFFFFF" w:sz="0"/>
              <w:left w:val="nil" w:color="FFFFFF" w:sz="0"/>
              <w:bottom w:val="nil" w:color="FFFFFF" w:sz="0"/>
              <w:right w:val="nil" w:color="FFFFFF" w:sz="0"/>
            </w:tcBorders>
            <w:shd w:fill="EFF3F9" w:val="clear"/>
            <w:tcMar>
              <w:top w:type="dxa" w:w="160"/>
              <w:left w:type="dxa" w:w="240"/>
              <w:bottom w:type="dxa" w:w="160"/>
              <w:right w:type="dxa" w:w="240"/>
            </w:tcMar>
          </w:tcPr>
          <w:p>
            <w:pPr>
              <w:spacing w:after="60"/>
            </w:pPr>
            <w:r>
              <w:rPr>
                <w:rFonts w:ascii="Arial" w:cs="Arial" w:eastAsia="Arial" w:hAnsi="Arial"/>
                <w:b/>
                <w:bCs/>
                <w:color w:val="6B7B8D"/>
                <w:sz w:val="20"/>
                <w:szCs w:val="20"/>
              </w:rPr>
              <w:t xml:space="preserve">For:</w:t>
            </w:r>
          </w:p>
          <w:p>
            <w:pPr>
              <w:spacing w:after="0"/>
            </w:pPr>
            <w:r>
              <w:rPr>
                <w:rFonts w:ascii="Arial" w:cs="Arial" w:eastAsia="Arial" w:hAnsi="Arial"/>
                <w:color w:val="2B3644"/>
                <w:sz w:val="22"/>
                <w:szCs w:val="22"/>
              </w:rPr>
              <w:t xml:space="preserve">Anata Sales Team</w:t>
            </w:r>
          </w:p>
        </w:tc>
        <w:tc>
          <w:tcPr>
            <w:tcW w:type="dxa" w:w="4680"/>
            <w:tcBorders>
              <w:top w:val="nil" w:color="FFFFFF" w:sz="0"/>
              <w:left w:val="nil" w:color="FFFFFF" w:sz="0"/>
              <w:bottom w:val="nil" w:color="FFFFFF" w:sz="0"/>
              <w:right w:val="nil" w:color="FFFFFF" w:sz="0"/>
            </w:tcBorders>
            <w:shd w:fill="EFF3F9" w:val="clear"/>
            <w:tcMar>
              <w:top w:type="dxa" w:w="160"/>
              <w:left w:type="dxa" w:w="240"/>
              <w:bottom w:type="dxa" w:w="160"/>
              <w:right w:type="dxa" w:w="240"/>
            </w:tcMar>
          </w:tcPr>
          <w:p>
            <w:pPr>
              <w:spacing w:after="60"/>
            </w:pPr>
            <w:r>
              <w:rPr>
                <w:rFonts w:ascii="Arial" w:cs="Arial" w:eastAsia="Arial" w:hAnsi="Arial"/>
                <w:b/>
                <w:bCs/>
                <w:color w:val="6B7B8D"/>
                <w:sz w:val="20"/>
                <w:szCs w:val="20"/>
              </w:rPr>
              <w:t xml:space="preserve">Version:</w:t>
            </w:r>
          </w:p>
          <w:p>
            <w:pPr>
              <w:spacing w:after="0"/>
            </w:pPr>
            <w:r>
              <w:rPr>
                <w:rFonts w:ascii="Arial" w:cs="Arial" w:eastAsia="Arial" w:hAnsi="Arial"/>
                <w:color w:val="2B3644"/>
                <w:sz w:val="22"/>
                <w:szCs w:val="22"/>
              </w:rPr>
              <w:t xml:space="preserve">1.0 — June 2026</w:t>
            </w:r>
          </w:p>
        </w:tc>
      </w:tr>
    </w:tbl>
    <w:p>
      <w:pPr>
        <w:spacing w:after="200"/>
      </w:pPr>
      <w:r>
        <w:t xml:space="preserve"/>
      </w:r>
    </w:p>
    <w:p>
      <w:r>
        <w:br w:type="page"/>
      </w:r>
    </w:p>
    <w:p>
      <w:pPr>
        <w:pStyle w:val="Heading1"/>
        <w:spacing w:after="180" w:before="360"/>
      </w:pPr>
      <w:r>
        <w:rPr>
          <w:rFonts w:ascii="Arial" w:cs="Arial" w:eastAsia="Arial" w:hAnsi="Arial"/>
          <w:b/>
          <w:bCs/>
          <w:color w:val="2B3644"/>
          <w:sz w:val="36"/>
          <w:szCs w:val="36"/>
        </w:rP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180" w:before="360"/>
      </w:pPr>
      <w:r>
        <w:rPr>
          <w:rFonts w:ascii="Arial" w:cs="Arial" w:eastAsia="Arial" w:hAnsi="Arial"/>
          <w:b/>
          <w:bCs/>
          <w:color w:val="2B3644"/>
          <w:sz w:val="36"/>
          <w:szCs w:val="36"/>
        </w:rPr>
        <w:t xml:space="preserve">1  What Is the Sales Operational Director?</w:t>
      </w:r>
    </w:p>
    <w:p>
      <w:pPr>
        <w:spacing w:after="120"/>
      </w:pPr>
      <w:r>
        <w:rPr>
          <w:rFonts w:ascii="Arial" w:cs="Arial" w:eastAsia="Arial" w:hAnsi="Arial"/>
          <w:b w:val="false"/>
          <w:bCs w:val="false"/>
          <w:color w:val="2B3644"/>
          <w:sz w:val="22"/>
          <w:szCs w:val="22"/>
        </w:rPr>
        <w:t xml:space="preserve">The Sales Operational Director is a purpose-built sales command center built into the Anata admin dashboard. It syncs your deals directly from HubSpot and surfaces everything your team needs to move deals forward — pending actions, stale alerts, follow-up drafts, and one-click email sends — without ever leaving the admin.</w:t>
      </w:r>
    </w:p>
    <w:p>
      <w:pPr>
        <w:spacing w:after="80"/>
      </w:pPr>
      <w:r>
        <w:t xml:space="preserve"/>
      </w:r>
    </w:p>
    <w:p>
      <w:pPr>
        <w:spacing w:after="120"/>
      </w:pPr>
      <w:r>
        <w:rPr>
          <w:rFonts w:ascii="Arial" w:cs="Arial" w:eastAsia="Arial" w:hAnsi="Arial"/>
          <w:b w:val="false"/>
          <w:bCs w:val="false"/>
          <w:color w:val="2B3644"/>
          <w:sz w:val="22"/>
          <w:szCs w:val="22"/>
        </w:rPr>
        <w:t xml:space="preserve">Think of it as an always-on sales assistant that:</w:t>
      </w:r>
    </w:p>
    <w:p>
      <w:pPr>
        <w:pStyle w:val="ListParagraph"/>
        <w:numPr>
          <w:ilvl w:val="0"/>
          <w:numId w:val="2"/>
        </w:numPr>
        <w:spacing w:after="80"/>
      </w:pPr>
      <w:r>
        <w:rPr>
          <w:rFonts w:ascii="Arial" w:cs="Arial" w:eastAsia="Arial" w:hAnsi="Arial"/>
          <w:b w:val="false"/>
          <w:bCs w:val="false"/>
          <w:sz w:val="22"/>
          <w:szCs w:val="22"/>
        </w:rPr>
        <w:t xml:space="preserve">Mirrors your open HubSpot deals in real time</w:t>
      </w:r>
    </w:p>
    <w:p>
      <w:pPr>
        <w:pStyle w:val="ListParagraph"/>
        <w:numPr>
          <w:ilvl w:val="0"/>
          <w:numId w:val="2"/>
        </w:numPr>
        <w:spacing w:after="80"/>
      </w:pPr>
      <w:r>
        <w:rPr>
          <w:rFonts w:ascii="Arial" w:cs="Arial" w:eastAsia="Arial" w:hAnsi="Arial"/>
          <w:b w:val="false"/>
          <w:bCs w:val="false"/>
          <w:sz w:val="22"/>
          <w:szCs w:val="22"/>
        </w:rPr>
        <w:t xml:space="preserve">Flags deals that need attention (overdue dates, missing data, no recent contact)</w:t>
      </w:r>
    </w:p>
    <w:p>
      <w:pPr>
        <w:pStyle w:val="ListParagraph"/>
        <w:numPr>
          <w:ilvl w:val="0"/>
          <w:numId w:val="2"/>
        </w:numPr>
        <w:spacing w:after="80"/>
      </w:pPr>
      <w:r>
        <w:rPr>
          <w:rFonts w:ascii="Arial" w:cs="Arial" w:eastAsia="Arial" w:hAnsi="Arial"/>
          <w:b w:val="false"/>
          <w:bCs w:val="false"/>
          <w:sz w:val="22"/>
          <w:szCs w:val="22"/>
        </w:rPr>
        <w:t xml:space="preserve">Proposes the next right action for each deal and lets you approve it in one click</w:t>
      </w:r>
    </w:p>
    <w:p>
      <w:pPr>
        <w:pStyle w:val="ListParagraph"/>
        <w:numPr>
          <w:ilvl w:val="0"/>
          <w:numId w:val="2"/>
        </w:numPr>
        <w:spacing w:after="80"/>
      </w:pPr>
      <w:r>
        <w:rPr>
          <w:rFonts w:ascii="Arial" w:cs="Arial" w:eastAsia="Arial" w:hAnsi="Arial"/>
          <w:b w:val="false"/>
          <w:bCs w:val="false"/>
          <w:sz w:val="22"/>
          <w:szCs w:val="22"/>
        </w:rPr>
        <w:t xml:space="preserve">Drafts follow-up emails using AI and lets you send them via Gmail, logging the send straight back to HubSpot</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0"/>
        </w:tblCellMar>
      </w:tblPr>
      <w:tblGrid>
        <w:gridCol w:w="320"/>
        <w:gridCol w:w="9040"/>
      </w:tblGrid>
      <w:tr>
        <w:tc>
          <w:tcPr>
            <w:tcW w:type="dxa" w:w="320"/>
            <w:tcBorders>
              <w:top w:val="single" w:color="2F8F5B" w:sz="4"/>
              <w:left w:val="single" w:color="2F8F5B" w:sz="4"/>
              <w:bottom w:val="single" w:color="2F8F5B" w:sz="4"/>
              <w:right w:val="single" w:color="2F8F5B" w:sz="4"/>
            </w:tcBorders>
            <w:shd w:fill="2F8F5B" w:val="clear"/>
            <w:tcMar>
              <w:top w:type="dxa" w:w="100"/>
              <w:left w:type="dxa" w:w="120"/>
              <w:bottom w:type="dxa" w:w="100"/>
              <w:right w:type="dxa" w:w="80"/>
            </w:tcMar>
            <w:vAlign w:val="center"/>
          </w:tcPr>
          <w:p>
            <w:pPr>
              <w:jc w:val="center"/>
            </w:pPr>
            <w:r>
              <w:rPr>
                <w:rFonts w:ascii="Arial" w:cs="Arial" w:eastAsia="Arial" w:hAnsi="Arial"/>
                <w:b/>
                <w:bCs/>
                <w:color w:val="FFFFFF"/>
                <w:sz w:val="20"/>
                <w:szCs w:val="20"/>
              </w:rPr>
              <w:t xml:space="preserve">TIP</w:t>
            </w:r>
          </w:p>
        </w:tc>
        <w:tc>
          <w:tcPr>
            <w:tcW w:type="dxa" w:w="9040"/>
            <w:tcBorders>
              <w:top w:val="single" w:color="2F8F5B" w:sz="4"/>
              <w:left w:val="single" w:color="2F8F5B" w:sz="4"/>
              <w:bottom w:val="single" w:color="2F8F5B" w:sz="4"/>
              <w:right w:val="single" w:color="2F8F5B" w:sz="4"/>
            </w:tcBorders>
            <w:shd w:fill="F0FAF5" w:val="clear"/>
            <w:tcMar>
              <w:top w:type="dxa" w:w="100"/>
              <w:left w:type="dxa" w:w="160"/>
              <w:bottom w:type="dxa" w:w="100"/>
              <w:right w:type="dxa" w:w="120"/>
            </w:tcMar>
          </w:tcPr>
          <w:p>
            <w:pPr>
              <w:spacing w:after="0"/>
            </w:pPr>
            <w:r>
              <w:rPr>
                <w:rFonts w:ascii="Arial" w:cs="Arial" w:eastAsia="Arial" w:hAnsi="Arial"/>
                <w:sz w:val="20"/>
                <w:szCs w:val="20"/>
              </w:rPr>
              <w:t xml:space="preserve">The tool does not replace HubSpot — it gives you a faster, smarter interface on top of it. All writes go back to HubSpot so your CRM stays the source of truth.</w:t>
            </w:r>
          </w:p>
        </w:tc>
      </w:tr>
    </w:tbl>
    <w:p>
      <w:pPr>
        <w:spacing w:after="160"/>
      </w:pPr>
      <w:r>
        <w:t xml:space="preserve"/>
      </w:r>
    </w:p>
    <w:p>
      <w:pPr>
        <w:pStyle w:val="Heading2"/>
        <w:spacing w:after="140" w:before="280"/>
      </w:pPr>
      <w:r>
        <w:rPr>
          <w:rFonts w:ascii="Arial" w:cs="Arial" w:eastAsia="Arial" w:hAnsi="Arial"/>
          <w:b/>
          <w:bCs/>
          <w:color w:val="2B3644"/>
          <w:sz w:val="28"/>
          <w:szCs w:val="28"/>
        </w:rPr>
        <w:t xml:space="preserve">1.1  The Three Core Pages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5E0EE" w:sz="4"/>
              <w:left w:val="single" w:color="D5E0EE" w:sz="4"/>
              <w:bottom w:val="single" w:color="D5E0EE" w:sz="4"/>
              <w:right w:val="single" w:color="D5E0EE" w:sz="4"/>
            </w:tcBorders>
            <w:shd w:fill="2B3644" w:val="clear"/>
            <w:tcMar>
              <w:top w:type="dxa" w:w="80"/>
              <w:left w:type="dxa" w:w="160"/>
              <w:bottom w:type="dxa" w:w="80"/>
              <w:right w:type="dxa" w:w="120"/>
            </w:tcMar>
          </w:tcPr>
          <w:p>
            <w:pPr>
              <w:spacing w:after="0"/>
            </w:pPr>
            <w:r>
              <w:rPr>
                <w:rFonts w:ascii="Arial" w:cs="Arial" w:eastAsia="Arial" w:hAnsi="Arial"/>
                <w:b/>
                <w:bCs/>
                <w:color w:val="FFFFFF"/>
                <w:sz w:val="20"/>
                <w:szCs w:val="20"/>
              </w:rPr>
              <w:t xml:space="preserve">Page</w:t>
            </w:r>
          </w:p>
        </w:tc>
        <w:tc>
          <w:tcPr>
            <w:tcW w:type="dxa" w:w="6960"/>
            <w:tcBorders>
              <w:top w:val="single" w:color="D5E0EE" w:sz="4"/>
              <w:left w:val="single" w:color="D5E0EE" w:sz="4"/>
              <w:bottom w:val="single" w:color="D5E0EE" w:sz="4"/>
              <w:right w:val="single" w:color="D5E0EE" w:sz="4"/>
            </w:tcBorders>
            <w:shd w:fill="F5F8FF" w:val="clear"/>
            <w:tcMar>
              <w:top w:type="dxa" w:w="80"/>
              <w:left w:type="dxa" w:w="160"/>
              <w:bottom w:type="dxa" w:w="80"/>
              <w:right w:type="dxa" w:w="120"/>
            </w:tcMar>
          </w:tcPr>
          <w:p>
            <w:pPr>
              <w:spacing w:after="0"/>
            </w:pPr>
            <w:r>
              <w:rPr>
                <w:rFonts w:ascii="Arial" w:cs="Arial" w:eastAsia="Arial" w:hAnsi="Arial"/>
                <w:color w:val="2B3644"/>
                <w:sz w:val="20"/>
                <w:szCs w:val="20"/>
              </w:rPr>
              <w:t xml:space="preserve">What it does</w:t>
            </w:r>
          </w:p>
        </w:tc>
      </w:tr>
      <w:tr>
        <w:tc>
          <w:tcPr>
            <w:tcW w:type="dxa" w:w="2400"/>
            <w:tcBorders>
              <w:top w:val="single" w:color="D5E0EE" w:sz="4"/>
              <w:left w:val="single" w:color="D5E0EE" w:sz="4"/>
              <w:bottom w:val="single" w:color="D5E0EE" w:sz="4"/>
              <w:right w:val="single" w:color="D5E0EE" w:sz="4"/>
            </w:tcBorders>
            <w:shd w:fill="EFF3F9" w:val="clear"/>
            <w:tcMar>
              <w:top w:type="dxa" w:w="80"/>
              <w:left w:type="dxa" w:w="160"/>
              <w:bottom w:type="dxa" w:w="80"/>
              <w:right w:type="dxa" w:w="120"/>
            </w:tcMar>
          </w:tcPr>
          <w:p>
            <w:pPr>
              <w:spacing w:after="0"/>
            </w:pPr>
            <w:r>
              <w:rPr>
                <w:rFonts w:ascii="Arial" w:cs="Arial" w:eastAsia="Arial" w:hAnsi="Arial"/>
                <w:b/>
                <w:bCs/>
                <w:color w:val="2B3644"/>
                <w:sz w:val="20"/>
                <w:szCs w:val="20"/>
              </w:rPr>
              <w:t xml:space="preserve">Deal Board  /admin/sales/deals</w:t>
            </w:r>
          </w:p>
        </w:tc>
        <w:tc>
          <w:tcPr>
            <w:tcW w:type="dxa" w:w="6960"/>
            <w:tcBorders>
              <w:top w:val="single" w:color="D5E0EE" w:sz="4"/>
              <w:left w:val="single" w:color="D5E0EE" w:sz="4"/>
              <w:bottom w:val="single" w:color="D5E0EE" w:sz="4"/>
              <w:right w:val="single" w:color="D5E0EE" w:sz="4"/>
            </w:tcBorders>
            <w:shd w:fill="FFFFFF" w:val="clear"/>
            <w:tcMar>
              <w:top w:type="dxa" w:w="80"/>
              <w:left w:type="dxa" w:w="160"/>
              <w:bottom w:type="dxa" w:w="80"/>
              <w:right w:type="dxa" w:w="120"/>
            </w:tcMar>
          </w:tcPr>
          <w:p>
            <w:pPr>
              <w:spacing w:after="0"/>
            </w:pPr>
            <w:r>
              <w:rPr>
                <w:rFonts w:ascii="Arial" w:cs="Arial" w:eastAsia="Arial" w:hAnsi="Arial"/>
                <w:color w:val="2B3644"/>
                <w:sz w:val="20"/>
                <w:szCs w:val="20"/>
              </w:rPr>
              <w:t xml:space="preserve">All open deals sorted by close date. Your daily starting point.</w:t>
            </w:r>
          </w:p>
        </w:tc>
      </w:tr>
      <w:tr>
        <w:tc>
          <w:tcPr>
            <w:tcW w:type="dxa" w:w="2400"/>
            <w:tcBorders>
              <w:top w:val="single" w:color="D5E0EE" w:sz="4"/>
              <w:left w:val="single" w:color="D5E0EE" w:sz="4"/>
              <w:bottom w:val="single" w:color="D5E0EE" w:sz="4"/>
              <w:right w:val="single" w:color="D5E0EE" w:sz="4"/>
            </w:tcBorders>
            <w:shd w:fill="EFF3F9" w:val="clear"/>
            <w:tcMar>
              <w:top w:type="dxa" w:w="80"/>
              <w:left w:type="dxa" w:w="160"/>
              <w:bottom w:type="dxa" w:w="80"/>
              <w:right w:type="dxa" w:w="120"/>
            </w:tcMar>
          </w:tcPr>
          <w:p>
            <w:pPr>
              <w:spacing w:after="0"/>
            </w:pPr>
            <w:r>
              <w:rPr>
                <w:rFonts w:ascii="Arial" w:cs="Arial" w:eastAsia="Arial" w:hAnsi="Arial"/>
                <w:b/>
                <w:bCs/>
                <w:color w:val="2B3644"/>
                <w:sz w:val="20"/>
                <w:szCs w:val="20"/>
              </w:rPr>
              <w:t xml:space="preserve">Deal Detail  /admin/sales/deals/{id}</w:t>
            </w:r>
          </w:p>
        </w:tc>
        <w:tc>
          <w:tcPr>
            <w:tcW w:type="dxa" w:w="6960"/>
            <w:tcBorders>
              <w:top w:val="single" w:color="D5E0EE" w:sz="4"/>
              <w:left w:val="single" w:color="D5E0EE" w:sz="4"/>
              <w:bottom w:val="single" w:color="D5E0EE" w:sz="4"/>
              <w:right w:val="single" w:color="D5E0EE" w:sz="4"/>
            </w:tcBorders>
            <w:shd w:fill="FFFFFF" w:val="clear"/>
            <w:tcMar>
              <w:top w:type="dxa" w:w="80"/>
              <w:left w:type="dxa" w:w="160"/>
              <w:bottom w:type="dxa" w:w="80"/>
              <w:right w:type="dxa" w:w="120"/>
            </w:tcMar>
          </w:tcPr>
          <w:p>
            <w:pPr>
              <w:spacing w:after="0"/>
            </w:pPr>
            <w:r>
              <w:rPr>
                <w:rFonts w:ascii="Arial" w:cs="Arial" w:eastAsia="Arial" w:hAnsi="Arial"/>
                <w:color w:val="2B3644"/>
                <w:sz w:val="20"/>
                <w:szCs w:val="20"/>
              </w:rPr>
              <w:t xml:space="preserve">Full deal view: contacts, line items, timeline, pending actions, follow-up tools.</w:t>
            </w:r>
          </w:p>
        </w:tc>
      </w:tr>
      <w:tr>
        <w:tc>
          <w:tcPr>
            <w:tcW w:type="dxa" w:w="2400"/>
            <w:tcBorders>
              <w:top w:val="single" w:color="D5E0EE" w:sz="4"/>
              <w:left w:val="single" w:color="D5E0EE" w:sz="4"/>
              <w:bottom w:val="single" w:color="D5E0EE" w:sz="4"/>
              <w:right w:val="single" w:color="D5E0EE" w:sz="4"/>
            </w:tcBorders>
            <w:shd w:fill="EFF3F9" w:val="clear"/>
            <w:tcMar>
              <w:top w:type="dxa" w:w="80"/>
              <w:left w:type="dxa" w:w="160"/>
              <w:bottom w:type="dxa" w:w="80"/>
              <w:right w:type="dxa" w:w="120"/>
            </w:tcMar>
          </w:tcPr>
          <w:p>
            <w:pPr>
              <w:spacing w:after="0"/>
            </w:pPr>
            <w:r>
              <w:rPr>
                <w:rFonts w:ascii="Arial" w:cs="Arial" w:eastAsia="Arial" w:hAnsi="Arial"/>
                <w:b/>
                <w:bCs/>
                <w:color w:val="2B3644"/>
                <w:sz w:val="20"/>
                <w:szCs w:val="20"/>
              </w:rPr>
              <w:t xml:space="preserve">Cleanup Queue  /admin/sales/deals/cleanup</w:t>
            </w:r>
          </w:p>
        </w:tc>
        <w:tc>
          <w:tcPr>
            <w:tcW w:type="dxa" w:w="6960"/>
            <w:tcBorders>
              <w:top w:val="single" w:color="D5E0EE" w:sz="4"/>
              <w:left w:val="single" w:color="D5E0EE" w:sz="4"/>
              <w:bottom w:val="single" w:color="D5E0EE" w:sz="4"/>
              <w:right w:val="single" w:color="D5E0EE" w:sz="4"/>
            </w:tcBorders>
            <w:shd w:fill="FFFFFF" w:val="clear"/>
            <w:tcMar>
              <w:top w:type="dxa" w:w="80"/>
              <w:left w:type="dxa" w:w="160"/>
              <w:bottom w:type="dxa" w:w="80"/>
              <w:right w:type="dxa" w:w="120"/>
            </w:tcMar>
          </w:tcPr>
          <w:p>
            <w:pPr>
              <w:spacing w:after="0"/>
            </w:pPr>
            <w:r>
              <w:rPr>
                <w:rFonts w:ascii="Arial" w:cs="Arial" w:eastAsia="Arial" w:hAnsi="Arial"/>
                <w:color w:val="2B3644"/>
                <w:sz w:val="20"/>
                <w:szCs w:val="20"/>
              </w:rPr>
              <w:t xml:space="preserve">Bulk-approve pending actions across every deal at once. Run this weekly.</w:t>
            </w:r>
          </w:p>
        </w:tc>
      </w:tr>
    </w:tbl>
    <w:p>
      <w:pPr>
        <w:spacing w:after="200"/>
      </w:pPr>
      <w:r>
        <w:t xml:space="preserve"/>
      </w:r>
    </w:p>
    <w:p>
      <w:r>
        <w:br w:type="page"/>
      </w:r>
    </w:p>
    <w:p>
      <w:pPr>
        <w:pStyle w:val="Heading1"/>
        <w:spacing w:after="180" w:before="360"/>
      </w:pPr>
      <w:r>
        <w:rPr>
          <w:rFonts w:ascii="Arial" w:cs="Arial" w:eastAsia="Arial" w:hAnsi="Arial"/>
          <w:b/>
          <w:bCs/>
          <w:color w:val="2B3644"/>
          <w:sz w:val="36"/>
          <w:szCs w:val="36"/>
        </w:rPr>
        <w:t xml:space="preserve">2  The Deal Board</w:t>
      </w:r>
    </w:p>
    <w:p>
      <w:pPr>
        <w:spacing w:after="120"/>
      </w:pPr>
      <w:r>
        <w:rPr>
          <w:rFonts w:ascii="Arial" w:cs="Arial" w:eastAsia="Arial" w:hAnsi="Arial"/>
          <w:b w:val="false"/>
          <w:bCs w:val="false"/>
          <w:color w:val="2B3644"/>
          <w:sz w:val="22"/>
          <w:szCs w:val="22"/>
        </w:rPr>
        <w:t xml:space="preserve">Go to Admin &gt; Sales &gt; Deals (or hit /admin/sales/deals directly). The board loads your open HubSpot deals sorted soonest-close-date first. The most urgent deals are always at the top.</w:t>
      </w:r>
    </w:p>
    <w:p>
      <w:pPr>
        <w:spacing w:after="80"/>
      </w:pPr>
      <w:r>
        <w:t xml:space="preserve"/>
      </w:r>
    </w:p>
    <w:p>
      <w:pPr>
        <w:pStyle w:val="Heading2"/>
        <w:spacing w:after="140" w:before="280"/>
      </w:pPr>
      <w:r>
        <w:rPr>
          <w:rFonts w:ascii="Arial" w:cs="Arial" w:eastAsia="Arial" w:hAnsi="Arial"/>
          <w:b/>
          <w:bCs/>
          <w:color w:val="2B3644"/>
          <w:sz w:val="28"/>
          <w:szCs w:val="28"/>
        </w:rPr>
        <w:t xml:space="preserve">2.1  Reading the Board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5E0EE" w:sz="4"/>
              <w:left w:val="single" w:color="D5E0EE" w:sz="4"/>
              <w:bottom w:val="single" w:color="D5E0EE" w:sz="4"/>
              <w:right w:val="single" w:color="D5E0EE" w:sz="4"/>
            </w:tcBorders>
            <w:shd w:fill="2B3644" w:val="clear"/>
            <w:tcMar>
              <w:top w:type="dxa" w:w="80"/>
              <w:left w:type="dxa" w:w="160"/>
              <w:bottom w:type="dxa" w:w="80"/>
              <w:right w:type="dxa" w:w="120"/>
            </w:tcMar>
          </w:tcPr>
          <w:p>
            <w:pPr>
              <w:spacing w:after="0"/>
            </w:pPr>
            <w:r>
              <w:rPr>
                <w:rFonts w:ascii="Arial" w:cs="Arial" w:eastAsia="Arial" w:hAnsi="Arial"/>
                <w:b/>
                <w:bCs/>
                <w:color w:val="FFFFFF"/>
                <w:sz w:val="20"/>
                <w:szCs w:val="20"/>
              </w:rPr>
              <w:t xml:space="preserve">Column</w:t>
            </w:r>
          </w:p>
        </w:tc>
        <w:tc>
          <w:tcPr>
            <w:tcW w:type="dxa" w:w="6960"/>
            <w:tcBorders>
              <w:top w:val="single" w:color="D5E0EE" w:sz="4"/>
              <w:left w:val="single" w:color="D5E0EE" w:sz="4"/>
              <w:bottom w:val="single" w:color="D5E0EE" w:sz="4"/>
              <w:right w:val="single" w:color="D5E0EE" w:sz="4"/>
            </w:tcBorders>
            <w:shd w:fill="F5F8FF" w:val="clear"/>
            <w:tcMar>
              <w:top w:type="dxa" w:w="80"/>
              <w:left w:type="dxa" w:w="160"/>
              <w:bottom w:type="dxa" w:w="80"/>
              <w:right w:type="dxa" w:w="120"/>
            </w:tcMar>
          </w:tcPr>
          <w:p>
            <w:pPr>
              <w:spacing w:after="0"/>
            </w:pPr>
            <w:r>
              <w:rPr>
                <w:rFonts w:ascii="Arial" w:cs="Arial" w:eastAsia="Arial" w:hAnsi="Arial"/>
                <w:color w:val="2B3644"/>
                <w:sz w:val="20"/>
                <w:szCs w:val="20"/>
              </w:rPr>
              <w:t xml:space="preserve">What it shows</w:t>
            </w:r>
          </w:p>
        </w:tc>
      </w:tr>
      <w:tr>
        <w:tc>
          <w:tcPr>
            <w:tcW w:type="dxa" w:w="2400"/>
            <w:tcBorders>
              <w:top w:val="single" w:color="D5E0EE" w:sz="4"/>
              <w:left w:val="single" w:color="D5E0EE" w:sz="4"/>
              <w:bottom w:val="single" w:color="D5E0EE" w:sz="4"/>
              <w:right w:val="single" w:color="D5E0EE" w:sz="4"/>
            </w:tcBorders>
            <w:shd w:fill="EFF3F9" w:val="clear"/>
            <w:tcMar>
              <w:top w:type="dxa" w:w="80"/>
              <w:left w:type="dxa" w:w="160"/>
              <w:bottom w:type="dxa" w:w="80"/>
              <w:right w:type="dxa" w:w="120"/>
            </w:tcMar>
          </w:tcPr>
          <w:p>
            <w:pPr>
              <w:spacing w:after="0"/>
            </w:pPr>
            <w:r>
              <w:rPr>
                <w:rFonts w:ascii="Arial" w:cs="Arial" w:eastAsia="Arial" w:hAnsi="Arial"/>
                <w:b/>
                <w:bCs/>
                <w:color w:val="2B3644"/>
                <w:sz w:val="20"/>
                <w:szCs w:val="20"/>
              </w:rPr>
              <w:t xml:space="preserve">Deal</w:t>
            </w:r>
          </w:p>
        </w:tc>
        <w:tc>
          <w:tcPr>
            <w:tcW w:type="dxa" w:w="6960"/>
            <w:tcBorders>
              <w:top w:val="single" w:color="D5E0EE" w:sz="4"/>
              <w:left w:val="single" w:color="D5E0EE" w:sz="4"/>
              <w:bottom w:val="single" w:color="D5E0EE" w:sz="4"/>
              <w:right w:val="single" w:color="D5E0EE" w:sz="4"/>
            </w:tcBorders>
            <w:shd w:fill="FFFFFF" w:val="clear"/>
            <w:tcMar>
              <w:top w:type="dxa" w:w="80"/>
              <w:left w:type="dxa" w:w="160"/>
              <w:bottom w:type="dxa" w:w="80"/>
              <w:right w:type="dxa" w:w="120"/>
            </w:tcMar>
          </w:tcPr>
          <w:p>
            <w:pPr>
              <w:spacing w:after="0"/>
            </w:pPr>
            <w:r>
              <w:rPr>
                <w:rFonts w:ascii="Arial" w:cs="Arial" w:eastAsia="Arial" w:hAnsi="Arial"/>
                <w:color w:val="2B3644"/>
                <w:sz w:val="20"/>
                <w:szCs w:val="20"/>
              </w:rPr>
              <w:t xml:space="preserve">Deal name. Red ⚠ badge = no inbound reply from the prospect in 14+ days (stale).</w:t>
            </w:r>
          </w:p>
        </w:tc>
      </w:tr>
      <w:tr>
        <w:tc>
          <w:tcPr>
            <w:tcW w:type="dxa" w:w="2400"/>
            <w:tcBorders>
              <w:top w:val="single" w:color="D5E0EE" w:sz="4"/>
              <w:left w:val="single" w:color="D5E0EE" w:sz="4"/>
              <w:bottom w:val="single" w:color="D5E0EE" w:sz="4"/>
              <w:right w:val="single" w:color="D5E0EE" w:sz="4"/>
            </w:tcBorders>
            <w:shd w:fill="EFF3F9" w:val="clear"/>
            <w:tcMar>
              <w:top w:type="dxa" w:w="80"/>
              <w:left w:type="dxa" w:w="160"/>
              <w:bottom w:type="dxa" w:w="80"/>
              <w:right w:type="dxa" w:w="120"/>
            </w:tcMar>
          </w:tcPr>
          <w:p>
            <w:pPr>
              <w:spacing w:after="0"/>
            </w:pPr>
            <w:r>
              <w:rPr>
                <w:rFonts w:ascii="Arial" w:cs="Arial" w:eastAsia="Arial" w:hAnsi="Arial"/>
                <w:b/>
                <w:bCs/>
                <w:color w:val="2B3644"/>
                <w:sz w:val="20"/>
                <w:szCs w:val="20"/>
              </w:rPr>
              <w:t xml:space="preserve">Stage</w:t>
            </w:r>
          </w:p>
        </w:tc>
        <w:tc>
          <w:tcPr>
            <w:tcW w:type="dxa" w:w="6960"/>
            <w:tcBorders>
              <w:top w:val="single" w:color="D5E0EE" w:sz="4"/>
              <w:left w:val="single" w:color="D5E0EE" w:sz="4"/>
              <w:bottom w:val="single" w:color="D5E0EE" w:sz="4"/>
              <w:right w:val="single" w:color="D5E0EE" w:sz="4"/>
            </w:tcBorders>
            <w:shd w:fill="FFFFFF" w:val="clear"/>
            <w:tcMar>
              <w:top w:type="dxa" w:w="80"/>
              <w:left w:type="dxa" w:w="160"/>
              <w:bottom w:type="dxa" w:w="80"/>
              <w:right w:type="dxa" w:w="120"/>
            </w:tcMar>
          </w:tcPr>
          <w:p>
            <w:pPr>
              <w:spacing w:after="0"/>
            </w:pPr>
            <w:r>
              <w:rPr>
                <w:rFonts w:ascii="Arial" w:cs="Arial" w:eastAsia="Arial" w:hAnsi="Arial"/>
                <w:color w:val="2B3644"/>
                <w:sz w:val="20"/>
                <w:szCs w:val="20"/>
              </w:rPr>
              <w:t xml:space="preserve">Current HubSpot pipeline stage.</w:t>
            </w:r>
          </w:p>
        </w:tc>
      </w:tr>
      <w:tr>
        <w:tc>
          <w:tcPr>
            <w:tcW w:type="dxa" w:w="2400"/>
            <w:tcBorders>
              <w:top w:val="single" w:color="D5E0EE" w:sz="4"/>
              <w:left w:val="single" w:color="D5E0EE" w:sz="4"/>
              <w:bottom w:val="single" w:color="D5E0EE" w:sz="4"/>
              <w:right w:val="single" w:color="D5E0EE" w:sz="4"/>
            </w:tcBorders>
            <w:shd w:fill="EFF3F9" w:val="clear"/>
            <w:tcMar>
              <w:top w:type="dxa" w:w="80"/>
              <w:left w:type="dxa" w:w="160"/>
              <w:bottom w:type="dxa" w:w="80"/>
              <w:right w:type="dxa" w:w="120"/>
            </w:tcMar>
          </w:tcPr>
          <w:p>
            <w:pPr>
              <w:spacing w:after="0"/>
            </w:pPr>
            <w:r>
              <w:rPr>
                <w:rFonts w:ascii="Arial" w:cs="Arial" w:eastAsia="Arial" w:hAnsi="Arial"/>
                <w:b/>
                <w:bCs/>
                <w:color w:val="2B3644"/>
                <w:sz w:val="20"/>
                <w:szCs w:val="20"/>
              </w:rPr>
              <w:t xml:space="preserve">Amount</w:t>
            </w:r>
          </w:p>
        </w:tc>
        <w:tc>
          <w:tcPr>
            <w:tcW w:type="dxa" w:w="6960"/>
            <w:tcBorders>
              <w:top w:val="single" w:color="D5E0EE" w:sz="4"/>
              <w:left w:val="single" w:color="D5E0EE" w:sz="4"/>
              <w:bottom w:val="single" w:color="D5E0EE" w:sz="4"/>
              <w:right w:val="single" w:color="D5E0EE" w:sz="4"/>
            </w:tcBorders>
            <w:shd w:fill="FFFFFF" w:val="clear"/>
            <w:tcMar>
              <w:top w:type="dxa" w:w="80"/>
              <w:left w:type="dxa" w:w="160"/>
              <w:bottom w:type="dxa" w:w="80"/>
              <w:right w:type="dxa" w:w="120"/>
            </w:tcMar>
          </w:tcPr>
          <w:p>
            <w:pPr>
              <w:spacing w:after="0"/>
            </w:pPr>
            <w:r>
              <w:rPr>
                <w:rFonts w:ascii="Arial" w:cs="Arial" w:eastAsia="Arial" w:hAnsi="Arial"/>
                <w:color w:val="2B3644"/>
                <w:sz w:val="20"/>
                <w:szCs w:val="20"/>
              </w:rPr>
              <w:t xml:space="preserve">Deal value. Blank means amount is not set in HubSpot yet.</w:t>
            </w:r>
          </w:p>
        </w:tc>
      </w:tr>
      <w:tr>
        <w:tc>
          <w:tcPr>
            <w:tcW w:type="dxa" w:w="2400"/>
            <w:tcBorders>
              <w:top w:val="single" w:color="D5E0EE" w:sz="4"/>
              <w:left w:val="single" w:color="D5E0EE" w:sz="4"/>
              <w:bottom w:val="single" w:color="D5E0EE" w:sz="4"/>
              <w:right w:val="single" w:color="D5E0EE" w:sz="4"/>
            </w:tcBorders>
            <w:shd w:fill="EFF3F9" w:val="clear"/>
            <w:tcMar>
              <w:top w:type="dxa" w:w="80"/>
              <w:left w:type="dxa" w:w="160"/>
              <w:bottom w:type="dxa" w:w="80"/>
              <w:right w:type="dxa" w:w="120"/>
            </w:tcMar>
          </w:tcPr>
          <w:p>
            <w:pPr>
              <w:spacing w:after="0"/>
            </w:pPr>
            <w:r>
              <w:rPr>
                <w:rFonts w:ascii="Arial" w:cs="Arial" w:eastAsia="Arial" w:hAnsi="Arial"/>
                <w:b/>
                <w:bCs/>
                <w:color w:val="2B3644"/>
                <w:sz w:val="20"/>
                <w:szCs w:val="20"/>
              </w:rPr>
              <w:t xml:space="preserve">Close date</w:t>
            </w:r>
          </w:p>
        </w:tc>
        <w:tc>
          <w:tcPr>
            <w:tcW w:type="dxa" w:w="6960"/>
            <w:tcBorders>
              <w:top w:val="single" w:color="D5E0EE" w:sz="4"/>
              <w:left w:val="single" w:color="D5E0EE" w:sz="4"/>
              <w:bottom w:val="single" w:color="D5E0EE" w:sz="4"/>
              <w:right w:val="single" w:color="D5E0EE" w:sz="4"/>
            </w:tcBorders>
            <w:shd w:fill="FFFFFF" w:val="clear"/>
            <w:tcMar>
              <w:top w:type="dxa" w:w="80"/>
              <w:left w:type="dxa" w:w="160"/>
              <w:bottom w:type="dxa" w:w="80"/>
              <w:right w:type="dxa" w:w="120"/>
            </w:tcMar>
          </w:tcPr>
          <w:p>
            <w:pPr>
              <w:spacing w:after="0"/>
            </w:pPr>
            <w:r>
              <w:rPr>
                <w:rFonts w:ascii="Arial" w:cs="Arial" w:eastAsia="Arial" w:hAnsi="Arial"/>
                <w:color w:val="2B3644"/>
                <w:sz w:val="20"/>
                <w:szCs w:val="20"/>
              </w:rPr>
              <w:t xml:space="preserve">Red · overdue label if the close date has passed.</w:t>
            </w:r>
          </w:p>
        </w:tc>
      </w:tr>
      <w:tr>
        <w:tc>
          <w:tcPr>
            <w:tcW w:type="dxa" w:w="2400"/>
            <w:tcBorders>
              <w:top w:val="single" w:color="D5E0EE" w:sz="4"/>
              <w:left w:val="single" w:color="D5E0EE" w:sz="4"/>
              <w:bottom w:val="single" w:color="D5E0EE" w:sz="4"/>
              <w:right w:val="single" w:color="D5E0EE" w:sz="4"/>
            </w:tcBorders>
            <w:shd w:fill="EFF3F9" w:val="clear"/>
            <w:tcMar>
              <w:top w:type="dxa" w:w="80"/>
              <w:left w:type="dxa" w:w="160"/>
              <w:bottom w:type="dxa" w:w="80"/>
              <w:right w:type="dxa" w:w="120"/>
            </w:tcMar>
          </w:tcPr>
          <w:p>
            <w:pPr>
              <w:spacing w:after="0"/>
            </w:pPr>
            <w:r>
              <w:rPr>
                <w:rFonts w:ascii="Arial" w:cs="Arial" w:eastAsia="Arial" w:hAnsi="Arial"/>
                <w:b/>
                <w:bCs/>
                <w:color w:val="2B3644"/>
                <w:sz w:val="20"/>
                <w:szCs w:val="20"/>
              </w:rPr>
              <w:t xml:space="preserve">Owner</w:t>
            </w:r>
          </w:p>
        </w:tc>
        <w:tc>
          <w:tcPr>
            <w:tcW w:type="dxa" w:w="6960"/>
            <w:tcBorders>
              <w:top w:val="single" w:color="D5E0EE" w:sz="4"/>
              <w:left w:val="single" w:color="D5E0EE" w:sz="4"/>
              <w:bottom w:val="single" w:color="D5E0EE" w:sz="4"/>
              <w:right w:val="single" w:color="D5E0EE" w:sz="4"/>
            </w:tcBorders>
            <w:shd w:fill="FFFFFF" w:val="clear"/>
            <w:tcMar>
              <w:top w:type="dxa" w:w="80"/>
              <w:left w:type="dxa" w:w="160"/>
              <w:bottom w:type="dxa" w:w="80"/>
              <w:right w:type="dxa" w:w="120"/>
            </w:tcMar>
          </w:tcPr>
          <w:p>
            <w:pPr>
              <w:spacing w:after="0"/>
            </w:pPr>
            <w:r>
              <w:rPr>
                <w:rFonts w:ascii="Arial" w:cs="Arial" w:eastAsia="Arial" w:hAnsi="Arial"/>
                <w:color w:val="2B3644"/>
                <w:sz w:val="20"/>
                <w:szCs w:val="20"/>
              </w:rPr>
              <w:t xml:space="preserve">Assigned rep email.</w:t>
            </w:r>
          </w:p>
        </w:tc>
      </w:tr>
      <w:tr>
        <w:tc>
          <w:tcPr>
            <w:tcW w:type="dxa" w:w="2400"/>
            <w:tcBorders>
              <w:top w:val="single" w:color="D5E0EE" w:sz="4"/>
              <w:left w:val="single" w:color="D5E0EE" w:sz="4"/>
              <w:bottom w:val="single" w:color="D5E0EE" w:sz="4"/>
              <w:right w:val="single" w:color="D5E0EE" w:sz="4"/>
            </w:tcBorders>
            <w:shd w:fill="EFF3F9" w:val="clear"/>
            <w:tcMar>
              <w:top w:type="dxa" w:w="80"/>
              <w:left w:type="dxa" w:w="160"/>
              <w:bottom w:type="dxa" w:w="80"/>
              <w:right w:type="dxa" w:w="120"/>
            </w:tcMar>
          </w:tcPr>
          <w:p>
            <w:pPr>
              <w:spacing w:after="0"/>
            </w:pPr>
            <w:r>
              <w:rPr>
                <w:rFonts w:ascii="Arial" w:cs="Arial" w:eastAsia="Arial" w:hAnsi="Arial"/>
                <w:b/>
                <w:bCs/>
                <w:color w:val="2B3644"/>
                <w:sz w:val="20"/>
                <w:szCs w:val="20"/>
              </w:rPr>
              <w:t xml:space="preserve">Status</w:t>
            </w:r>
          </w:p>
        </w:tc>
        <w:tc>
          <w:tcPr>
            <w:tcW w:type="dxa" w:w="6960"/>
            <w:tcBorders>
              <w:top w:val="single" w:color="D5E0EE" w:sz="4"/>
              <w:left w:val="single" w:color="D5E0EE" w:sz="4"/>
              <w:bottom w:val="single" w:color="D5E0EE" w:sz="4"/>
              <w:right w:val="single" w:color="D5E0EE" w:sz="4"/>
            </w:tcBorders>
            <w:shd w:fill="FFFFFF" w:val="clear"/>
            <w:tcMar>
              <w:top w:type="dxa" w:w="80"/>
              <w:left w:type="dxa" w:w="160"/>
              <w:bottom w:type="dxa" w:w="80"/>
              <w:right w:type="dxa" w:w="120"/>
            </w:tcMar>
          </w:tcPr>
          <w:p>
            <w:pPr>
              <w:spacing w:after="0"/>
            </w:pPr>
            <w:r>
              <w:rPr>
                <w:rFonts w:ascii="Arial" w:cs="Arial" w:eastAsia="Arial" w:hAnsi="Arial"/>
                <w:color w:val="2B3644"/>
                <w:sz w:val="20"/>
                <w:szCs w:val="20"/>
              </w:rPr>
              <w:t xml:space="preserve">Completeness flags: missing amount, line items, contacts, or close date. Green tick = all good.</w:t>
            </w:r>
          </w:p>
        </w:tc>
      </w:tr>
    </w:tbl>
    <w:p>
      <w:pPr>
        <w:spacing w:after="160"/>
      </w:pPr>
      <w:r>
        <w:t xml:space="preserve"/>
      </w:r>
    </w:p>
    <w:p>
      <w:pPr>
        <w:pStyle w:val="Heading2"/>
        <w:spacing w:after="140" w:before="280"/>
      </w:pPr>
      <w:r>
        <w:rPr>
          <w:rFonts w:ascii="Arial" w:cs="Arial" w:eastAsia="Arial" w:hAnsi="Arial"/>
          <w:b/>
          <w:bCs/>
          <w:color w:val="2B3644"/>
          <w:sz w:val="28"/>
          <w:szCs w:val="28"/>
        </w:rPr>
        <w:t xml:space="preserve">2.2  Buckets</w:t>
      </w:r>
    </w:p>
    <w:p>
      <w:pPr>
        <w:spacing w:after="120"/>
      </w:pPr>
      <w:r>
        <w:rPr>
          <w:rFonts w:ascii="Arial" w:cs="Arial" w:eastAsia="Arial" w:hAnsi="Arial"/>
          <w:b w:val="false"/>
          <w:bCs w:val="false"/>
          <w:color w:val="2B3644"/>
          <w:sz w:val="22"/>
          <w:szCs w:val="22"/>
        </w:rPr>
        <w:t xml:space="preserve">Deals are grouped into four buckets based on close date:</w:t>
      </w:r>
    </w:p>
    <w:p>
      <w:pPr>
        <w:pStyle w:val="ListParagraph"/>
        <w:numPr>
          <w:ilvl w:val="0"/>
          <w:numId w:val="2"/>
        </w:numPr>
        <w:spacing w:after="80"/>
      </w:pPr>
      <w:r>
        <w:rPr>
          <w:rFonts w:ascii="Arial" w:cs="Arial" w:eastAsia="Arial" w:hAnsi="Arial"/>
          <w:b w:val="false"/>
          <w:bCs w:val="false"/>
          <w:sz w:val="22"/>
          <w:szCs w:val="22"/>
        </w:rPr>
        <w:t xml:space="preserve">Past close date — action required immediately</w:t>
      </w:r>
    </w:p>
    <w:p>
      <w:pPr>
        <w:pStyle w:val="ListParagraph"/>
        <w:numPr>
          <w:ilvl w:val="0"/>
          <w:numId w:val="2"/>
        </w:numPr>
        <w:spacing w:after="80"/>
      </w:pPr>
      <w:r>
        <w:rPr>
          <w:rFonts w:ascii="Arial" w:cs="Arial" w:eastAsia="Arial" w:hAnsi="Arial"/>
          <w:b w:val="false"/>
          <w:bCs w:val="false"/>
          <w:sz w:val="22"/>
          <w:szCs w:val="22"/>
        </w:rPr>
        <w:t xml:space="preserve">Closing this week — high priority</w:t>
      </w:r>
    </w:p>
    <w:p>
      <w:pPr>
        <w:pStyle w:val="ListParagraph"/>
        <w:numPr>
          <w:ilvl w:val="0"/>
          <w:numId w:val="2"/>
        </w:numPr>
        <w:spacing w:after="80"/>
      </w:pPr>
      <w:r>
        <w:rPr>
          <w:rFonts w:ascii="Arial" w:cs="Arial" w:eastAsia="Arial" w:hAnsi="Arial"/>
          <w:b w:val="false"/>
          <w:bCs w:val="false"/>
          <w:sz w:val="22"/>
          <w:szCs w:val="22"/>
        </w:rPr>
        <w:t xml:space="preserve">Closing this month — keep moving</w:t>
      </w:r>
    </w:p>
    <w:p>
      <w:pPr>
        <w:pStyle w:val="ListParagraph"/>
        <w:numPr>
          <w:ilvl w:val="0"/>
          <w:numId w:val="2"/>
        </w:numPr>
        <w:spacing w:after="80"/>
      </w:pPr>
      <w:r>
        <w:rPr>
          <w:rFonts w:ascii="Arial" w:cs="Arial" w:eastAsia="Arial" w:hAnsi="Arial"/>
          <w:b w:val="false"/>
          <w:bCs w:val="false"/>
          <w:sz w:val="22"/>
          <w:szCs w:val="22"/>
        </w:rPr>
        <w:t xml:space="preserve">Later / No close date — lower urgency, but fix the missing close date</w:t>
      </w:r>
    </w:p>
    <w:p>
      <w:pPr>
        <w:spacing w:after="120"/>
      </w:pPr>
      <w:r>
        <w:t xml:space="preserve"/>
      </w:r>
    </w:p>
    <w:p>
      <w:pPr>
        <w:pStyle w:val="Heading2"/>
        <w:spacing w:after="140" w:before="280"/>
      </w:pPr>
      <w:r>
        <w:rPr>
          <w:rFonts w:ascii="Arial" w:cs="Arial" w:eastAsia="Arial" w:hAnsi="Arial"/>
          <w:b/>
          <w:bCs/>
          <w:color w:val="2B3644"/>
          <w:sz w:val="28"/>
          <w:szCs w:val="28"/>
        </w:rPr>
        <w:t xml:space="preserve">2.3  Filters</w:t>
      </w:r>
    </w:p>
    <w:p>
      <w:pPr>
        <w:spacing w:after="120"/>
      </w:pPr>
      <w:r>
        <w:rPr>
          <w:rFonts w:ascii="Arial" w:cs="Arial" w:eastAsia="Arial" w:hAnsi="Arial"/>
          <w:b w:val="false"/>
          <w:bCs w:val="false"/>
          <w:color w:val="2B3644"/>
          <w:sz w:val="22"/>
          <w:szCs w:val="22"/>
        </w:rPr>
        <w:t xml:space="preserve">Use the All deals / My deals tabs at the top of the board to toggle between your deals and the full team view. Admins see all deals by default.</w:t>
      </w:r>
    </w:p>
    <w:p>
      <w:pPr>
        <w:spacing w:after="120"/>
      </w:pPr>
      <w:r>
        <w:t xml:space="preserve"/>
      </w:r>
    </w:p>
    <w:p>
      <w:pPr>
        <w:pStyle w:val="Heading2"/>
        <w:spacing w:after="140" w:before="280"/>
      </w:pPr>
      <w:r>
        <w:rPr>
          <w:rFonts w:ascii="Arial" w:cs="Arial" w:eastAsia="Arial" w:hAnsi="Arial"/>
          <w:b/>
          <w:bCs/>
          <w:color w:val="2B3644"/>
          <w:sz w:val="28"/>
          <w:szCs w:val="28"/>
        </w:rPr>
        <w:t xml:space="preserve">2.4  Stale Deal Badge (⚠)</w:t>
      </w:r>
    </w:p>
    <w:p>
      <w:pPr>
        <w:spacing w:after="120"/>
      </w:pPr>
      <w:r>
        <w:rPr>
          <w:rFonts w:ascii="Arial" w:cs="Arial" w:eastAsia="Arial" w:hAnsi="Arial"/>
          <w:b w:val="false"/>
          <w:bCs w:val="false"/>
          <w:color w:val="2B3644"/>
          <w:sz w:val="22"/>
          <w:szCs w:val="22"/>
        </w:rPr>
        <w:t xml:space="preserve">A red ⚠ badge next to a deal name means no inbound email from that prospect has been matched to the deal in the last 14 days. This is a signal to reach out.</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0"/>
        </w:tblCellMar>
      </w:tblPr>
      <w:tblGrid>
        <w:gridCol w:w="320"/>
        <w:gridCol w:w="9040"/>
      </w:tblGrid>
      <w:tr>
        <w:tc>
          <w:tcPr>
            <w:tcW w:type="dxa" w:w="320"/>
            <w:tcBorders>
              <w:top w:val="single" w:color="2F8F5B" w:sz="4"/>
              <w:left w:val="single" w:color="2F8F5B" w:sz="4"/>
              <w:bottom w:val="single" w:color="2F8F5B" w:sz="4"/>
              <w:right w:val="single" w:color="2F8F5B" w:sz="4"/>
            </w:tcBorders>
            <w:shd w:fill="2F8F5B" w:val="clear"/>
            <w:tcMar>
              <w:top w:type="dxa" w:w="100"/>
              <w:left w:type="dxa" w:w="120"/>
              <w:bottom w:type="dxa" w:w="100"/>
              <w:right w:type="dxa" w:w="80"/>
            </w:tcMar>
            <w:vAlign w:val="center"/>
          </w:tcPr>
          <w:p>
            <w:pPr>
              <w:jc w:val="center"/>
            </w:pPr>
            <w:r>
              <w:rPr>
                <w:rFonts w:ascii="Arial" w:cs="Arial" w:eastAsia="Arial" w:hAnsi="Arial"/>
                <w:b/>
                <w:bCs/>
                <w:color w:val="FFFFFF"/>
                <w:sz w:val="20"/>
                <w:szCs w:val="20"/>
              </w:rPr>
              <w:t xml:space="preserve">TIP</w:t>
            </w:r>
          </w:p>
        </w:tc>
        <w:tc>
          <w:tcPr>
            <w:tcW w:type="dxa" w:w="9040"/>
            <w:tcBorders>
              <w:top w:val="single" w:color="2F8F5B" w:sz="4"/>
              <w:left w:val="single" w:color="2F8F5B" w:sz="4"/>
              <w:bottom w:val="single" w:color="2F8F5B" w:sz="4"/>
              <w:right w:val="single" w:color="2F8F5B" w:sz="4"/>
            </w:tcBorders>
            <w:shd w:fill="F0FAF5" w:val="clear"/>
            <w:tcMar>
              <w:top w:type="dxa" w:w="100"/>
              <w:left w:type="dxa" w:w="160"/>
              <w:bottom w:type="dxa" w:w="100"/>
              <w:right w:type="dxa" w:w="120"/>
            </w:tcMar>
          </w:tcPr>
          <w:p>
            <w:pPr>
              <w:spacing w:after="0"/>
            </w:pPr>
            <w:r>
              <w:rPr>
                <w:rFonts w:ascii="Arial" w:cs="Arial" w:eastAsia="Arial" w:hAnsi="Arial"/>
                <w:sz w:val="20"/>
                <w:szCs w:val="20"/>
              </w:rPr>
              <w:t xml:space="preserve">The stale threshold is 14 days by default. Hover over the badge to confirm. If a deal went stale because Gmail hasn't synced yet, click Sync now to refresh.</w:t>
            </w:r>
          </w:p>
        </w:tc>
      </w:tr>
    </w:tbl>
    <w:p>
      <w:pPr>
        <w:spacing w:after="120"/>
      </w:pPr>
      <w:r>
        <w:t xml:space="preserve"/>
      </w:r>
    </w:p>
    <w:p>
      <w:pPr>
        <w:pStyle w:val="Heading2"/>
        <w:spacing w:after="140" w:before="280"/>
      </w:pPr>
      <w:r>
        <w:rPr>
          <w:rFonts w:ascii="Arial" w:cs="Arial" w:eastAsia="Arial" w:hAnsi="Arial"/>
          <w:b/>
          <w:bCs/>
          <w:color w:val="2B3644"/>
          <w:sz w:val="28"/>
          <w:szCs w:val="28"/>
        </w:rPr>
        <w:t xml:space="preserve">2.5  Sync Now</w:t>
      </w:r>
    </w:p>
    <w:p>
      <w:pPr>
        <w:spacing w:after="120"/>
      </w:pPr>
      <w:r>
        <w:rPr>
          <w:rFonts w:ascii="Arial" w:cs="Arial" w:eastAsia="Arial" w:hAnsi="Arial"/>
          <w:b w:val="false"/>
          <w:bCs w:val="false"/>
          <w:color w:val="2B3644"/>
          <w:sz w:val="22"/>
          <w:szCs w:val="22"/>
        </w:rPr>
        <w:t xml:space="preserve">Click Sync now in the toolbar to pull the latest deal data from HubSpot immediately. The board auto-syncs on every page load, but a manual sync is useful after you have made changes in HubSpot directly.</w:t>
      </w:r>
    </w:p>
    <w:p>
      <w:pPr>
        <w:spacing w:after="120"/>
      </w:pPr>
      <w:r>
        <w:t xml:space="preserve"/>
      </w:r>
    </w:p>
    <w:p>
      <w:pPr>
        <w:pStyle w:val="Heading2"/>
        <w:spacing w:after="140" w:before="280"/>
      </w:pPr>
      <w:r>
        <w:rPr>
          <w:rFonts w:ascii="Arial" w:cs="Arial" w:eastAsia="Arial" w:hAnsi="Arial"/>
          <w:b/>
          <w:bCs/>
          <w:color w:val="2B3644"/>
          <w:sz w:val="28"/>
          <w:szCs w:val="28"/>
        </w:rPr>
        <w:t xml:space="preserve">2.6  Run Cleanup →</w:t>
      </w:r>
    </w:p>
    <w:p>
      <w:pPr>
        <w:spacing w:after="120"/>
      </w:pPr>
      <w:r>
        <w:rPr>
          <w:rFonts w:ascii="Arial" w:cs="Arial" w:eastAsia="Arial" w:hAnsi="Arial"/>
          <w:b w:val="false"/>
          <w:bCs w:val="false"/>
          <w:color w:val="2B3644"/>
          <w:sz w:val="22"/>
          <w:szCs w:val="22"/>
        </w:rPr>
        <w:t xml:space="preserve">The green Run cleanup → link opens the Cleanup Queue (see Section 5). Use it at the start of each week to bulk-push all pending data corrections to HubSpot.</w:t>
      </w:r>
    </w:p>
    <w:p>
      <w:pPr>
        <w:spacing w:after="200"/>
      </w:pPr>
      <w:r>
        <w:t xml:space="preserve"/>
      </w:r>
    </w:p>
    <w:p>
      <w:r>
        <w:br w:type="page"/>
      </w:r>
    </w:p>
    <w:p>
      <w:pPr>
        <w:pStyle w:val="Heading1"/>
        <w:spacing w:after="180" w:before="360"/>
      </w:pPr>
      <w:r>
        <w:rPr>
          <w:rFonts w:ascii="Arial" w:cs="Arial" w:eastAsia="Arial" w:hAnsi="Arial"/>
          <w:b/>
          <w:bCs/>
          <w:color w:val="2B3644"/>
          <w:sz w:val="36"/>
          <w:szCs w:val="36"/>
        </w:rPr>
        <w:t xml:space="preserve">3  The Deal Detail Page</w:t>
      </w:r>
    </w:p>
    <w:p>
      <w:pPr>
        <w:spacing w:after="120"/>
      </w:pPr>
      <w:r>
        <w:rPr>
          <w:rFonts w:ascii="Arial" w:cs="Arial" w:eastAsia="Arial" w:hAnsi="Arial"/>
          <w:b w:val="false"/>
          <w:bCs w:val="false"/>
          <w:color w:val="2B3644"/>
          <w:sz w:val="22"/>
          <w:szCs w:val="22"/>
        </w:rPr>
        <w:t xml:space="preserve">Click any deal name to open its detail page. This is your single-deal command center.</w:t>
      </w:r>
    </w:p>
    <w:p>
      <w:pPr>
        <w:spacing w:after="120"/>
      </w:pPr>
      <w:r>
        <w:t xml:space="preserve"/>
      </w:r>
    </w:p>
    <w:p>
      <w:pPr>
        <w:pStyle w:val="Heading2"/>
        <w:spacing w:after="140" w:before="280"/>
      </w:pPr>
      <w:r>
        <w:rPr>
          <w:rFonts w:ascii="Arial" w:cs="Arial" w:eastAsia="Arial" w:hAnsi="Arial"/>
          <w:b/>
          <w:bCs/>
          <w:color w:val="2B3644"/>
          <w:sz w:val="28"/>
          <w:szCs w:val="28"/>
        </w:rPr>
        <w:t xml:space="preserve">3.1  Deal Summary Card</w:t>
      </w:r>
    </w:p>
    <w:p>
      <w:pPr>
        <w:spacing w:after="120"/>
      </w:pPr>
      <w:r>
        <w:rPr>
          <w:rFonts w:ascii="Arial" w:cs="Arial" w:eastAsia="Arial" w:hAnsi="Arial"/>
          <w:b w:val="false"/>
          <w:bCs w:val="false"/>
          <w:color w:val="2B3644"/>
          <w:sz w:val="22"/>
          <w:szCs w:val="22"/>
        </w:rPr>
        <w:t xml:space="preserve">The top of the page shows the deal name, stage, amount, close date, owner, and a direct Open in HubSpot link (if your portal ID is configured).</w:t>
      </w:r>
    </w:p>
    <w:p>
      <w:pPr>
        <w:spacing w:after="120"/>
      </w:pPr>
      <w:r>
        <w:t xml:space="preserve"/>
      </w:r>
    </w:p>
    <w:p>
      <w:pPr>
        <w:pStyle w:val="Heading2"/>
        <w:spacing w:after="140" w:before="280"/>
      </w:pPr>
      <w:r>
        <w:rPr>
          <w:rFonts w:ascii="Arial" w:cs="Arial" w:eastAsia="Arial" w:hAnsi="Arial"/>
          <w:b/>
          <w:bCs/>
          <w:color w:val="2B3644"/>
          <w:sz w:val="28"/>
          <w:szCs w:val="28"/>
        </w:rPr>
        <w:t xml:space="preserve">3.2  Line Items</w:t>
      </w:r>
    </w:p>
    <w:p>
      <w:pPr>
        <w:spacing w:after="120"/>
      </w:pPr>
      <w:r>
        <w:rPr>
          <w:rFonts w:ascii="Arial" w:cs="Arial" w:eastAsia="Arial" w:hAnsi="Arial"/>
          <w:b w:val="false"/>
          <w:bCs w:val="false"/>
          <w:color w:val="2B3644"/>
          <w:sz w:val="22"/>
          <w:szCs w:val="22"/>
        </w:rPr>
        <w:t xml:space="preserve">All line items synced from HubSpot appear here: service name, quantity, unit price, and total. If the deal amount in HubSpot does not match the sum of line items, a pending action will be raised (see Section 4).</w:t>
      </w:r>
    </w:p>
    <w:p>
      <w:pPr>
        <w:spacing w:after="120"/>
      </w:pPr>
      <w:r>
        <w:t xml:space="preserve"/>
      </w:r>
    </w:p>
    <w:p>
      <w:pPr>
        <w:pStyle w:val="Heading2"/>
        <w:spacing w:after="140" w:before="280"/>
      </w:pPr>
      <w:r>
        <w:rPr>
          <w:rFonts w:ascii="Arial" w:cs="Arial" w:eastAsia="Arial" w:hAnsi="Arial"/>
          <w:b/>
          <w:bCs/>
          <w:color w:val="2B3644"/>
          <w:sz w:val="28"/>
          <w:szCs w:val="28"/>
        </w:rPr>
        <w:t xml:space="preserve">3.3  Contacts</w:t>
      </w:r>
    </w:p>
    <w:p>
      <w:pPr>
        <w:spacing w:after="120"/>
      </w:pPr>
      <w:r>
        <w:rPr>
          <w:rFonts w:ascii="Arial" w:cs="Arial" w:eastAsia="Arial" w:hAnsi="Arial"/>
          <w:b w:val="false"/>
          <w:bCs w:val="false"/>
          <w:color w:val="2B3644"/>
          <w:sz w:val="22"/>
          <w:szCs w:val="22"/>
        </w:rPr>
        <w:t xml:space="preserve">All contacts associated with the deal in HubSpot appear in this section, with name, email, and job title. Use the Open in HubSpot links to add contacts or fix missing email addresses.</w:t>
      </w:r>
    </w:p>
    <w:p>
      <w:pPr>
        <w:spacing w:after="120"/>
      </w:pPr>
      <w:r>
        <w:t xml:space="preserve"/>
      </w:r>
    </w:p>
    <w:p>
      <w:pPr>
        <w:pStyle w:val="Heading2"/>
        <w:spacing w:after="140" w:before="280"/>
      </w:pPr>
      <w:r>
        <w:rPr>
          <w:rFonts w:ascii="Arial" w:cs="Arial" w:eastAsia="Arial" w:hAnsi="Arial"/>
          <w:b/>
          <w:bCs/>
          <w:color w:val="2B3644"/>
          <w:sz w:val="28"/>
          <w:szCs w:val="28"/>
        </w:rPr>
        <w:t xml:space="preserve">3.4  Activity Timeline</w:t>
      </w:r>
    </w:p>
    <w:p>
      <w:pPr>
        <w:spacing w:after="120"/>
      </w:pPr>
      <w:r>
        <w:rPr>
          <w:rFonts w:ascii="Arial" w:cs="Arial" w:eastAsia="Arial" w:hAnsi="Arial"/>
          <w:b w:val="false"/>
          <w:bCs w:val="false"/>
          <w:color w:val="2B3644"/>
          <w:sz w:val="22"/>
          <w:szCs w:val="22"/>
        </w:rPr>
        <w:t xml:space="preserve">The timeline shows inbound emails from the prospect that have been matched to this deal by the Gmail sync. Use it to see when the prospect last responded and what they said.</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0"/>
        </w:tblCellMar>
      </w:tblPr>
      <w:tblGrid>
        <w:gridCol w:w="320"/>
        <w:gridCol w:w="9040"/>
      </w:tblGrid>
      <w:tr>
        <w:tc>
          <w:tcPr>
            <w:tcW w:type="dxa" w:w="320"/>
            <w:tcBorders>
              <w:top w:val="single" w:color="2F8F5B" w:sz="4"/>
              <w:left w:val="single" w:color="2F8F5B" w:sz="4"/>
              <w:bottom w:val="single" w:color="2F8F5B" w:sz="4"/>
              <w:right w:val="single" w:color="2F8F5B" w:sz="4"/>
            </w:tcBorders>
            <w:shd w:fill="2F8F5B" w:val="clear"/>
            <w:tcMar>
              <w:top w:type="dxa" w:w="100"/>
              <w:left w:type="dxa" w:w="120"/>
              <w:bottom w:type="dxa" w:w="100"/>
              <w:right w:type="dxa" w:w="80"/>
            </w:tcMar>
            <w:vAlign w:val="center"/>
          </w:tcPr>
          <w:p>
            <w:pPr>
              <w:jc w:val="center"/>
            </w:pPr>
            <w:r>
              <w:rPr>
                <w:rFonts w:ascii="Arial" w:cs="Arial" w:eastAsia="Arial" w:hAnsi="Arial"/>
                <w:b/>
                <w:bCs/>
                <w:color w:val="FFFFFF"/>
                <w:sz w:val="20"/>
                <w:szCs w:val="20"/>
              </w:rPr>
              <w:t xml:space="preserve">NOTE</w:t>
            </w:r>
          </w:p>
        </w:tc>
        <w:tc>
          <w:tcPr>
            <w:tcW w:type="dxa" w:w="9040"/>
            <w:tcBorders>
              <w:top w:val="single" w:color="2F8F5B" w:sz="4"/>
              <w:left w:val="single" w:color="2F8F5B" w:sz="4"/>
              <w:bottom w:val="single" w:color="2F8F5B" w:sz="4"/>
              <w:right w:val="single" w:color="2F8F5B" w:sz="4"/>
            </w:tcBorders>
            <w:shd w:fill="F0FAF5" w:val="clear"/>
            <w:tcMar>
              <w:top w:type="dxa" w:w="100"/>
              <w:left w:type="dxa" w:w="160"/>
              <w:bottom w:type="dxa" w:w="100"/>
              <w:right w:type="dxa" w:w="120"/>
            </w:tcMar>
          </w:tcPr>
          <w:p>
            <w:pPr>
              <w:spacing w:after="0"/>
            </w:pPr>
            <w:r>
              <w:rPr>
                <w:rFonts w:ascii="Arial" w:cs="Arial" w:eastAsia="Arial" w:hAnsi="Arial"/>
                <w:sz w:val="20"/>
                <w:szCs w:val="20"/>
              </w:rPr>
              <w:t xml:space="preserve">The timeline populates as Gmail syncs. If a recent reply is not showing, click Sync now on the Deal Board to pull the latest mail.</w:t>
            </w:r>
          </w:p>
        </w:tc>
      </w:tr>
    </w:tbl>
    <w:p>
      <w:pPr>
        <w:spacing w:after="120"/>
      </w:pPr>
      <w:r>
        <w:t xml:space="preserve"/>
      </w:r>
    </w:p>
    <w:p>
      <w:pPr>
        <w:pStyle w:val="Heading2"/>
        <w:spacing w:after="140" w:before="280"/>
      </w:pPr>
      <w:r>
        <w:rPr>
          <w:rFonts w:ascii="Arial" w:cs="Arial" w:eastAsia="Arial" w:hAnsi="Arial"/>
          <w:b/>
          <w:bCs/>
          <w:color w:val="2B3644"/>
          <w:sz w:val="28"/>
          <w:szCs w:val="28"/>
        </w:rPr>
        <w:t xml:space="preserve">3.5  Pending Actions</w:t>
      </w:r>
    </w:p>
    <w:p>
      <w:pPr>
        <w:spacing w:after="120"/>
      </w:pPr>
      <w:r>
        <w:rPr>
          <w:rFonts w:ascii="Arial" w:cs="Arial" w:eastAsia="Arial" w:hAnsi="Arial"/>
          <w:b w:val="false"/>
          <w:bCs w:val="false"/>
          <w:color w:val="2B3644"/>
          <w:sz w:val="22"/>
          <w:szCs w:val="22"/>
        </w:rPr>
        <w:t xml:space="preserve">This section shows any mid-confidence actions the system has identified for this deal. Each action card shows:</w:t>
      </w:r>
    </w:p>
    <w:p>
      <w:pPr>
        <w:pStyle w:val="ListParagraph"/>
        <w:numPr>
          <w:ilvl w:val="0"/>
          <w:numId w:val="2"/>
        </w:numPr>
        <w:spacing w:after="80"/>
      </w:pPr>
      <w:r>
        <w:rPr>
          <w:rFonts w:ascii="Arial" w:cs="Arial" w:eastAsia="Arial" w:hAnsi="Arial"/>
          <w:b w:val="false"/>
          <w:bCs w:val="false"/>
          <w:sz w:val="22"/>
          <w:szCs w:val="22"/>
        </w:rPr>
        <w:t xml:space="preserve">What will change (e.g., “Move stage → Presentation Scheduled”)</w:t>
      </w:r>
    </w:p>
    <w:p>
      <w:pPr>
        <w:pStyle w:val="ListParagraph"/>
        <w:numPr>
          <w:ilvl w:val="0"/>
          <w:numId w:val="2"/>
        </w:numPr>
        <w:spacing w:after="80"/>
      </w:pPr>
      <w:r>
        <w:rPr>
          <w:rFonts w:ascii="Arial" w:cs="Arial" w:eastAsia="Arial" w:hAnsi="Arial"/>
          <w:b w:val="false"/>
          <w:bCs w:val="false"/>
          <w:sz w:val="22"/>
          <w:szCs w:val="22"/>
        </w:rPr>
        <w:t xml:space="preserve">A one-line description of why</w:t>
      </w:r>
    </w:p>
    <w:p>
      <w:pPr>
        <w:pStyle w:val="ListParagraph"/>
        <w:numPr>
          <w:ilvl w:val="0"/>
          <w:numId w:val="2"/>
        </w:numPr>
        <w:spacing w:after="80"/>
      </w:pPr>
      <w:r>
        <w:rPr>
          <w:rFonts w:ascii="Arial" w:cs="Arial" w:eastAsia="Arial" w:hAnsi="Arial"/>
          <w:b w:val="false"/>
          <w:bCs w:val="false"/>
          <w:sz w:val="22"/>
          <w:szCs w:val="22"/>
        </w:rPr>
        <w:t xml:space="preserve">An Approve button to push the change to HubSpot</w:t>
      </w:r>
    </w:p>
    <w:p>
      <w:pPr>
        <w:spacing w:after="80"/>
      </w:pPr>
      <w:r>
        <w:t xml:space="preserve"/>
      </w:r>
    </w:p>
    <w:p>
      <w:pPr>
        <w:spacing w:after="120"/>
      </w:pPr>
      <w:r>
        <w:rPr>
          <w:rFonts w:ascii="Arial" w:cs="Arial" w:eastAsia="Arial" w:hAnsi="Arial"/>
          <w:b w:val="false"/>
          <w:bCs w:val="false"/>
          <w:color w:val="2B3644"/>
          <w:sz w:val="22"/>
          <w:szCs w:val="22"/>
        </w:rPr>
        <w:t xml:space="preserve">Click Approve to push that single action to HubSpot. You will be redirected back to the deal with a confirmation flash. Low-confidence nudges (missing contacts, no company) show a Fix in HubSpot → link instead, since those require manual input in the CRM.</w:t>
      </w:r>
    </w:p>
    <w:p>
      <w:pPr>
        <w:spacing w:after="120"/>
      </w:pPr>
      <w:r>
        <w:t xml:space="preserve"/>
      </w:r>
    </w:p>
    <w:p>
      <w:pPr>
        <w:pStyle w:val="Heading2"/>
        <w:spacing w:after="140" w:before="280"/>
      </w:pPr>
      <w:r>
        <w:rPr>
          <w:rFonts w:ascii="Arial" w:cs="Arial" w:eastAsia="Arial" w:hAnsi="Arial"/>
          <w:b/>
          <w:bCs/>
          <w:color w:val="2B3644"/>
          <w:sz w:val="28"/>
          <w:szCs w:val="28"/>
        </w:rPr>
        <w:t xml:space="preserve">3.6  Closing Tools (CTAs)</w:t>
      </w:r>
    </w:p>
    <w:p>
      <w:pPr>
        <w:spacing w:after="120"/>
      </w:pPr>
      <w:r>
        <w:rPr>
          <w:rFonts w:ascii="Arial" w:cs="Arial" w:eastAsia="Arial" w:hAnsi="Arial"/>
          <w:b w:val="false"/>
          <w:bCs w:val="false"/>
          <w:color w:val="2B3644"/>
          <w:sz w:val="22"/>
          <w:szCs w:val="22"/>
        </w:rPr>
        <w:t xml:space="preserve">The closing tools section shows the three standard Anata assets linked to this deal:</w:t>
      </w:r>
    </w:p>
    <w:p>
      <w:pPr>
        <w:pStyle w:val="ListParagraph"/>
        <w:numPr>
          <w:ilvl w:val="0"/>
          <w:numId w:val="2"/>
        </w:numPr>
        <w:spacing w:after="80"/>
      </w:pPr>
      <w:r>
        <w:rPr>
          <w:rFonts w:ascii="Arial" w:cs="Arial" w:eastAsia="Arial" w:hAnsi="Arial"/>
          <w:b w:val="false"/>
          <w:bCs w:val="false"/>
          <w:sz w:val="22"/>
          <w:szCs w:val="22"/>
        </w:rPr>
        <w:t xml:space="preserve">Sales Deck — opens the PDF deck viewer</w:t>
      </w:r>
    </w:p>
    <w:p>
      <w:pPr>
        <w:pStyle w:val="ListParagraph"/>
        <w:numPr>
          <w:ilvl w:val="0"/>
          <w:numId w:val="2"/>
        </w:numPr>
        <w:spacing w:after="80"/>
      </w:pPr>
      <w:r>
        <w:rPr>
          <w:rFonts w:ascii="Arial" w:cs="Arial" w:eastAsia="Arial" w:hAnsi="Arial"/>
          <w:b w:val="false"/>
          <w:bCs w:val="false"/>
          <w:sz w:val="22"/>
          <w:szCs w:val="22"/>
        </w:rPr>
        <w:t xml:space="preserve">Rate Sheet — opens the prospect-facing rate sheet</w:t>
      </w:r>
    </w:p>
    <w:p>
      <w:pPr>
        <w:pStyle w:val="ListParagraph"/>
        <w:numPr>
          <w:ilvl w:val="0"/>
          <w:numId w:val="2"/>
        </w:numPr>
        <w:spacing w:after="80"/>
      </w:pPr>
      <w:r>
        <w:rPr>
          <w:rFonts w:ascii="Arial" w:cs="Arial" w:eastAsia="Arial" w:hAnsi="Arial"/>
          <w:b w:val="false"/>
          <w:bCs w:val="false"/>
          <w:sz w:val="22"/>
          <w:szCs w:val="22"/>
        </w:rPr>
        <w:t xml:space="preserve">Ads Audit — opens the advertising audit report</w:t>
      </w:r>
    </w:p>
    <w:p>
      <w:pPr>
        <w:spacing w:after="80"/>
      </w:pPr>
      <w:r>
        <w:t xml:space="preserve"/>
      </w:r>
    </w:p>
    <w:p>
      <w:pPr>
        <w:spacing w:after="120"/>
      </w:pPr>
      <w:r>
        <w:rPr>
          <w:rFonts w:ascii="Arial" w:cs="Arial" w:eastAsia="Arial" w:hAnsi="Arial"/>
          <w:b w:val="false"/>
          <w:bCs w:val="false"/>
          <w:color w:val="2B3644"/>
          <w:sz w:val="22"/>
          <w:szCs w:val="22"/>
        </w:rPr>
        <w:t xml:space="preserve">Assets are linked by matching the deal to a brand run. If no run is linked yet, the button will show as unlinked.</w:t>
      </w:r>
    </w:p>
    <w:p>
      <w:pPr>
        <w:spacing w:after="200"/>
      </w:pPr>
      <w:r>
        <w:t xml:space="preserve"/>
      </w:r>
    </w:p>
    <w:p>
      <w:r>
        <w:br w:type="page"/>
      </w:r>
    </w:p>
    <w:p>
      <w:pPr>
        <w:pStyle w:val="Heading1"/>
        <w:spacing w:after="180" w:before="360"/>
      </w:pPr>
      <w:r>
        <w:rPr>
          <w:rFonts w:ascii="Arial" w:cs="Arial" w:eastAsia="Arial" w:hAnsi="Arial"/>
          <w:b/>
          <w:bCs/>
          <w:color w:val="2B3644"/>
          <w:sz w:val="36"/>
          <w:szCs w:val="36"/>
        </w:rPr>
        <w:t xml:space="preserve">4  Pending Actions</w:t>
      </w:r>
    </w:p>
    <w:p>
      <w:pPr>
        <w:spacing w:after="120"/>
      </w:pPr>
      <w:r>
        <w:rPr>
          <w:rFonts w:ascii="Arial" w:cs="Arial" w:eastAsia="Arial" w:hAnsi="Arial"/>
          <w:b w:val="false"/>
          <w:bCs w:val="false"/>
          <w:color w:val="2B3644"/>
          <w:sz w:val="22"/>
          <w:szCs w:val="22"/>
        </w:rPr>
        <w:t xml:space="preserve">The system continuously monitors open deals and generates suggested corrections. Actions fall into two tiers:</w:t>
      </w:r>
    </w:p>
    <w:p>
      <w:pPr>
        <w:spacing w:after="80"/>
      </w:pPr>
      <w:r>
        <w:t xml:space="preserve"/>
      </w:r>
    </w:p>
    <w:p>
      <w:pPr>
        <w:pStyle w:val="Heading2"/>
        <w:spacing w:after="140" w:before="280"/>
      </w:pPr>
      <w:r>
        <w:rPr>
          <w:rFonts w:ascii="Arial" w:cs="Arial" w:eastAsia="Arial" w:hAnsi="Arial"/>
          <w:b/>
          <w:bCs/>
          <w:color w:val="2B3644"/>
          <w:sz w:val="28"/>
          <w:szCs w:val="28"/>
        </w:rPr>
        <w:t xml:space="preserve">4.1  Mid-Confidence Actions (Approve in One Click)</w:t>
      </w:r>
    </w:p>
    <w:p>
      <w:pPr>
        <w:spacing w:after="120"/>
      </w:pPr>
      <w:r>
        <w:rPr>
          <w:rFonts w:ascii="Arial" w:cs="Arial" w:eastAsia="Arial" w:hAnsi="Arial"/>
          <w:b w:val="false"/>
          <w:bCs w:val="false"/>
          <w:color w:val="2B3644"/>
          <w:sz w:val="22"/>
          <w:szCs w:val="22"/>
        </w:rPr>
        <w:t xml:space="preserve">These are data corrections the system is confident about. They appear as approval cards on the deal detail page and in the Cleanup Queue. Examples: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5E0EE" w:sz="4"/>
              <w:left w:val="single" w:color="D5E0EE" w:sz="4"/>
              <w:bottom w:val="single" w:color="D5E0EE" w:sz="4"/>
              <w:right w:val="single" w:color="D5E0EE" w:sz="4"/>
            </w:tcBorders>
            <w:shd w:fill="2B3644" w:val="clear"/>
            <w:tcMar>
              <w:top w:type="dxa" w:w="80"/>
              <w:left w:type="dxa" w:w="160"/>
              <w:bottom w:type="dxa" w:w="80"/>
              <w:right w:type="dxa" w:w="120"/>
            </w:tcMar>
          </w:tcPr>
          <w:p>
            <w:pPr>
              <w:spacing w:after="0"/>
            </w:pPr>
            <w:r>
              <w:rPr>
                <w:rFonts w:ascii="Arial" w:cs="Arial" w:eastAsia="Arial" w:hAnsi="Arial"/>
                <w:b/>
                <w:bCs/>
                <w:color w:val="FFFFFF"/>
                <w:sz w:val="20"/>
                <w:szCs w:val="20"/>
              </w:rPr>
              <w:t xml:space="preserve">Action</w:t>
            </w:r>
          </w:p>
        </w:tc>
        <w:tc>
          <w:tcPr>
            <w:tcW w:type="dxa" w:w="6960"/>
            <w:tcBorders>
              <w:top w:val="single" w:color="D5E0EE" w:sz="4"/>
              <w:left w:val="single" w:color="D5E0EE" w:sz="4"/>
              <w:bottom w:val="single" w:color="D5E0EE" w:sz="4"/>
              <w:right w:val="single" w:color="D5E0EE" w:sz="4"/>
            </w:tcBorders>
            <w:shd w:fill="F5F8FF" w:val="clear"/>
            <w:tcMar>
              <w:top w:type="dxa" w:w="80"/>
              <w:left w:type="dxa" w:w="160"/>
              <w:bottom w:type="dxa" w:w="80"/>
              <w:right w:type="dxa" w:w="120"/>
            </w:tcMar>
          </w:tcPr>
          <w:p>
            <w:pPr>
              <w:spacing w:after="0"/>
            </w:pPr>
            <w:r>
              <w:rPr>
                <w:rFonts w:ascii="Arial" w:cs="Arial" w:eastAsia="Arial" w:hAnsi="Arial"/>
                <w:color w:val="2B3644"/>
                <w:sz w:val="20"/>
                <w:szCs w:val="20"/>
              </w:rPr>
              <w:t xml:space="preserve">What it does in HubSpot</w:t>
            </w:r>
          </w:p>
        </w:tc>
      </w:tr>
      <w:tr>
        <w:tc>
          <w:tcPr>
            <w:tcW w:type="dxa" w:w="2400"/>
            <w:tcBorders>
              <w:top w:val="single" w:color="D5E0EE" w:sz="4"/>
              <w:left w:val="single" w:color="D5E0EE" w:sz="4"/>
              <w:bottom w:val="single" w:color="D5E0EE" w:sz="4"/>
              <w:right w:val="single" w:color="D5E0EE" w:sz="4"/>
            </w:tcBorders>
            <w:shd w:fill="EFF3F9" w:val="clear"/>
            <w:tcMar>
              <w:top w:type="dxa" w:w="80"/>
              <w:left w:type="dxa" w:w="160"/>
              <w:bottom w:type="dxa" w:w="80"/>
              <w:right w:type="dxa" w:w="120"/>
            </w:tcMar>
          </w:tcPr>
          <w:p>
            <w:pPr>
              <w:spacing w:after="0"/>
            </w:pPr>
            <w:r>
              <w:rPr>
                <w:rFonts w:ascii="Arial" w:cs="Arial" w:eastAsia="Arial" w:hAnsi="Arial"/>
                <w:b/>
                <w:bCs/>
                <w:color w:val="2B3644"/>
                <w:sz w:val="20"/>
                <w:szCs w:val="20"/>
              </w:rPr>
              <w:t xml:space="preserve">Push close date</w:t>
            </w:r>
          </w:p>
        </w:tc>
        <w:tc>
          <w:tcPr>
            <w:tcW w:type="dxa" w:w="6960"/>
            <w:tcBorders>
              <w:top w:val="single" w:color="D5E0EE" w:sz="4"/>
              <w:left w:val="single" w:color="D5E0EE" w:sz="4"/>
              <w:bottom w:val="single" w:color="D5E0EE" w:sz="4"/>
              <w:right w:val="single" w:color="D5E0EE" w:sz="4"/>
            </w:tcBorders>
            <w:shd w:fill="FFFFFF" w:val="clear"/>
            <w:tcMar>
              <w:top w:type="dxa" w:w="80"/>
              <w:left w:type="dxa" w:w="160"/>
              <w:bottom w:type="dxa" w:w="80"/>
              <w:right w:type="dxa" w:w="120"/>
            </w:tcMar>
          </w:tcPr>
          <w:p>
            <w:pPr>
              <w:spacing w:after="0"/>
            </w:pPr>
            <w:r>
              <w:rPr>
                <w:rFonts w:ascii="Arial" w:cs="Arial" w:eastAsia="Arial" w:hAnsi="Arial"/>
                <w:color w:val="2B3644"/>
                <w:sz w:val="20"/>
                <w:szCs w:val="20"/>
              </w:rPr>
              <w:t xml:space="preserve">Moves an overdue close date forward by 30 days.</w:t>
            </w:r>
          </w:p>
        </w:tc>
      </w:tr>
      <w:tr>
        <w:tc>
          <w:tcPr>
            <w:tcW w:type="dxa" w:w="2400"/>
            <w:tcBorders>
              <w:top w:val="single" w:color="D5E0EE" w:sz="4"/>
              <w:left w:val="single" w:color="D5E0EE" w:sz="4"/>
              <w:bottom w:val="single" w:color="D5E0EE" w:sz="4"/>
              <w:right w:val="single" w:color="D5E0EE" w:sz="4"/>
            </w:tcBorders>
            <w:shd w:fill="EFF3F9" w:val="clear"/>
            <w:tcMar>
              <w:top w:type="dxa" w:w="80"/>
              <w:left w:type="dxa" w:w="160"/>
              <w:bottom w:type="dxa" w:w="80"/>
              <w:right w:type="dxa" w:w="120"/>
            </w:tcMar>
          </w:tcPr>
          <w:p>
            <w:pPr>
              <w:spacing w:after="0"/>
            </w:pPr>
            <w:r>
              <w:rPr>
                <w:rFonts w:ascii="Arial" w:cs="Arial" w:eastAsia="Arial" w:hAnsi="Arial"/>
                <w:b/>
                <w:bCs/>
                <w:color w:val="2B3644"/>
                <w:sz w:val="20"/>
                <w:szCs w:val="20"/>
              </w:rPr>
              <w:t xml:space="preserve">Set close date</w:t>
            </w:r>
          </w:p>
        </w:tc>
        <w:tc>
          <w:tcPr>
            <w:tcW w:type="dxa" w:w="6960"/>
            <w:tcBorders>
              <w:top w:val="single" w:color="D5E0EE" w:sz="4"/>
              <w:left w:val="single" w:color="D5E0EE" w:sz="4"/>
              <w:bottom w:val="single" w:color="D5E0EE" w:sz="4"/>
              <w:right w:val="single" w:color="D5E0EE" w:sz="4"/>
            </w:tcBorders>
            <w:shd w:fill="FFFFFF" w:val="clear"/>
            <w:tcMar>
              <w:top w:type="dxa" w:w="80"/>
              <w:left w:type="dxa" w:w="160"/>
              <w:bottom w:type="dxa" w:w="80"/>
              <w:right w:type="dxa" w:w="120"/>
            </w:tcMar>
          </w:tcPr>
          <w:p>
            <w:pPr>
              <w:spacing w:after="0"/>
            </w:pPr>
            <w:r>
              <w:rPr>
                <w:rFonts w:ascii="Arial" w:cs="Arial" w:eastAsia="Arial" w:hAnsi="Arial"/>
                <w:color w:val="2B3644"/>
                <w:sz w:val="20"/>
                <w:szCs w:val="20"/>
              </w:rPr>
              <w:t xml:space="preserve">Adds a close date (30 days out) to a deal with none.</w:t>
            </w:r>
          </w:p>
        </w:tc>
      </w:tr>
      <w:tr>
        <w:tc>
          <w:tcPr>
            <w:tcW w:type="dxa" w:w="2400"/>
            <w:tcBorders>
              <w:top w:val="single" w:color="D5E0EE" w:sz="4"/>
              <w:left w:val="single" w:color="D5E0EE" w:sz="4"/>
              <w:bottom w:val="single" w:color="D5E0EE" w:sz="4"/>
              <w:right w:val="single" w:color="D5E0EE" w:sz="4"/>
            </w:tcBorders>
            <w:shd w:fill="EFF3F9" w:val="clear"/>
            <w:tcMar>
              <w:top w:type="dxa" w:w="80"/>
              <w:left w:type="dxa" w:w="160"/>
              <w:bottom w:type="dxa" w:w="80"/>
              <w:right w:type="dxa" w:w="120"/>
            </w:tcMar>
          </w:tcPr>
          <w:p>
            <w:pPr>
              <w:spacing w:after="0"/>
            </w:pPr>
            <w:r>
              <w:rPr>
                <w:rFonts w:ascii="Arial" w:cs="Arial" w:eastAsia="Arial" w:hAnsi="Arial"/>
                <w:b/>
                <w:bCs/>
                <w:color w:val="2B3644"/>
                <w:sz w:val="20"/>
                <w:szCs w:val="20"/>
              </w:rPr>
              <w:t xml:space="preserve">Set amount from line items</w:t>
            </w:r>
          </w:p>
        </w:tc>
        <w:tc>
          <w:tcPr>
            <w:tcW w:type="dxa" w:w="6960"/>
            <w:tcBorders>
              <w:top w:val="single" w:color="D5E0EE" w:sz="4"/>
              <w:left w:val="single" w:color="D5E0EE" w:sz="4"/>
              <w:bottom w:val="single" w:color="D5E0EE" w:sz="4"/>
              <w:right w:val="single" w:color="D5E0EE" w:sz="4"/>
            </w:tcBorders>
            <w:shd w:fill="FFFFFF" w:val="clear"/>
            <w:tcMar>
              <w:top w:type="dxa" w:w="80"/>
              <w:left w:type="dxa" w:w="160"/>
              <w:bottom w:type="dxa" w:w="80"/>
              <w:right w:type="dxa" w:w="120"/>
            </w:tcMar>
          </w:tcPr>
          <w:p>
            <w:pPr>
              <w:spacing w:after="0"/>
            </w:pPr>
            <w:r>
              <w:rPr>
                <w:rFonts w:ascii="Arial" w:cs="Arial" w:eastAsia="Arial" w:hAnsi="Arial"/>
                <w:color w:val="2B3644"/>
                <w:sz w:val="20"/>
                <w:szCs w:val="20"/>
              </w:rPr>
              <w:t xml:space="preserve">Updates the deal amount to match the sum of its line items.</w:t>
            </w:r>
          </w:p>
        </w:tc>
      </w:tr>
      <w:tr>
        <w:tc>
          <w:tcPr>
            <w:tcW w:type="dxa" w:w="2400"/>
            <w:tcBorders>
              <w:top w:val="single" w:color="D5E0EE" w:sz="4"/>
              <w:left w:val="single" w:color="D5E0EE" w:sz="4"/>
              <w:bottom w:val="single" w:color="D5E0EE" w:sz="4"/>
              <w:right w:val="single" w:color="D5E0EE" w:sz="4"/>
            </w:tcBorders>
            <w:shd w:fill="EFF3F9" w:val="clear"/>
            <w:tcMar>
              <w:top w:type="dxa" w:w="80"/>
              <w:left w:type="dxa" w:w="160"/>
              <w:bottom w:type="dxa" w:w="80"/>
              <w:right w:type="dxa" w:w="120"/>
            </w:tcMar>
          </w:tcPr>
          <w:p>
            <w:pPr>
              <w:spacing w:after="0"/>
            </w:pPr>
            <w:r>
              <w:rPr>
                <w:rFonts w:ascii="Arial" w:cs="Arial" w:eastAsia="Arial" w:hAnsi="Arial"/>
                <w:b/>
                <w:bCs/>
                <w:color w:val="2B3644"/>
                <w:sz w:val="20"/>
                <w:szCs w:val="20"/>
              </w:rPr>
              <w:t xml:space="preserve">Move stage → [Next Stage]</w:t>
            </w:r>
          </w:p>
        </w:tc>
        <w:tc>
          <w:tcPr>
            <w:tcW w:type="dxa" w:w="6960"/>
            <w:tcBorders>
              <w:top w:val="single" w:color="D5E0EE" w:sz="4"/>
              <w:left w:val="single" w:color="D5E0EE" w:sz="4"/>
              <w:bottom w:val="single" w:color="D5E0EE" w:sz="4"/>
              <w:right w:val="single" w:color="D5E0EE" w:sz="4"/>
            </w:tcBorders>
            <w:shd w:fill="FFFFFF" w:val="clear"/>
            <w:tcMar>
              <w:top w:type="dxa" w:w="80"/>
              <w:left w:type="dxa" w:w="160"/>
              <w:bottom w:type="dxa" w:w="80"/>
              <w:right w:type="dxa" w:w="120"/>
            </w:tcMar>
          </w:tcPr>
          <w:p>
            <w:pPr>
              <w:spacing w:after="0"/>
            </w:pPr>
            <w:r>
              <w:rPr>
                <w:rFonts w:ascii="Arial" w:cs="Arial" w:eastAsia="Arial" w:hAnsi="Arial"/>
                <w:color w:val="2B3644"/>
                <w:sz w:val="20"/>
                <w:szCs w:val="20"/>
              </w:rPr>
              <w:t xml:space="preserve">Advances the pipeline stage when a prospect has recently replied.</w:t>
            </w:r>
          </w:p>
        </w:tc>
      </w:tr>
    </w:tbl>
    <w:p>
      <w:pPr>
        <w:spacing w:after="160"/>
      </w:pPr>
      <w:r>
        <w:t xml:space="preserve"/>
      </w:r>
    </w:p>
    <w:p>
      <w:pPr>
        <w:pStyle w:val="Heading2"/>
        <w:spacing w:after="140" w:before="280"/>
      </w:pPr>
      <w:r>
        <w:rPr>
          <w:rFonts w:ascii="Arial" w:cs="Arial" w:eastAsia="Arial" w:hAnsi="Arial"/>
          <w:b/>
          <w:bCs/>
          <w:color w:val="2B3644"/>
          <w:sz w:val="28"/>
          <w:szCs w:val="28"/>
        </w:rPr>
        <w:t xml:space="preserve">4.2  Low-Confidence Nudges (Informational)</w:t>
      </w:r>
    </w:p>
    <w:p>
      <w:pPr>
        <w:spacing w:after="120"/>
      </w:pPr>
      <w:r>
        <w:rPr>
          <w:rFonts w:ascii="Arial" w:cs="Arial" w:eastAsia="Arial" w:hAnsi="Arial"/>
          <w:b w:val="false"/>
          <w:bCs w:val="false"/>
          <w:color w:val="2B3644"/>
          <w:sz w:val="22"/>
          <w:szCs w:val="22"/>
        </w:rPr>
        <w:t xml:space="preserve">These are gaps the system flagged but cannot automatically fix — they need a human to look at HubSpot directly. Examples:</w:t>
      </w:r>
    </w:p>
    <w:p>
      <w:pPr>
        <w:pStyle w:val="ListParagraph"/>
        <w:numPr>
          <w:ilvl w:val="0"/>
          <w:numId w:val="2"/>
        </w:numPr>
        <w:spacing w:after="80"/>
      </w:pPr>
      <w:r>
        <w:rPr>
          <w:rFonts w:ascii="Arial" w:cs="Arial" w:eastAsia="Arial" w:hAnsi="Arial"/>
          <w:b w:val="false"/>
          <w:bCs w:val="false"/>
          <w:sz w:val="22"/>
          <w:szCs w:val="22"/>
        </w:rPr>
        <w:t xml:space="preserve">No contacts on this deal</w:t>
      </w:r>
    </w:p>
    <w:p>
      <w:pPr>
        <w:pStyle w:val="ListParagraph"/>
        <w:numPr>
          <w:ilvl w:val="0"/>
          <w:numId w:val="2"/>
        </w:numPr>
        <w:spacing w:after="80"/>
      </w:pPr>
      <w:r>
        <w:rPr>
          <w:rFonts w:ascii="Arial" w:cs="Arial" w:eastAsia="Arial" w:hAnsi="Arial"/>
          <w:b w:val="false"/>
          <w:bCs w:val="false"/>
          <w:sz w:val="22"/>
          <w:szCs w:val="22"/>
        </w:rPr>
        <w:t xml:space="preserve">No company associated</w:t>
      </w:r>
    </w:p>
    <w:p>
      <w:pPr>
        <w:pStyle w:val="ListParagraph"/>
        <w:numPr>
          <w:ilvl w:val="0"/>
          <w:numId w:val="2"/>
        </w:numPr>
        <w:spacing w:after="80"/>
      </w:pPr>
      <w:r>
        <w:rPr>
          <w:rFonts w:ascii="Arial" w:cs="Arial" w:eastAsia="Arial" w:hAnsi="Arial"/>
          <w:b w:val="false"/>
          <w:bCs w:val="false"/>
          <w:sz w:val="22"/>
          <w:szCs w:val="22"/>
        </w:rPr>
        <w:t xml:space="preserve">A contact is missing an email address</w:t>
      </w:r>
    </w:p>
    <w:p>
      <w:pPr>
        <w:spacing w:after="80"/>
      </w:pPr>
      <w:r>
        <w:t xml:space="preserve"/>
      </w:r>
    </w:p>
    <w:p>
      <w:pPr>
        <w:spacing w:after="120"/>
      </w:pPr>
      <w:r>
        <w:rPr>
          <w:rFonts w:ascii="Arial" w:cs="Arial" w:eastAsia="Arial" w:hAnsi="Arial"/>
          <w:b w:val="false"/>
          <w:bCs w:val="false"/>
          <w:color w:val="2B3644"/>
          <w:sz w:val="22"/>
          <w:szCs w:val="22"/>
        </w:rPr>
        <w:t xml:space="preserve">Low-confidence nudges show a Fix in HubSpot → button that deep-links to the relevant record.</w:t>
      </w:r>
    </w:p>
    <w:p>
      <w:pPr>
        <w:spacing w:after="120"/>
      </w:pPr>
      <w:r>
        <w:t xml:space="preserve"/>
      </w:r>
    </w:p>
    <w:p>
      <w:pPr>
        <w:pStyle w:val="Heading2"/>
        <w:spacing w:after="140" w:before="280"/>
      </w:pPr>
      <w:r>
        <w:rPr>
          <w:rFonts w:ascii="Arial" w:cs="Arial" w:eastAsia="Arial" w:hAnsi="Arial"/>
          <w:b/>
          <w:bCs/>
          <w:color w:val="2B3644"/>
          <w:sz w:val="28"/>
          <w:szCs w:val="28"/>
        </w:rPr>
        <w:t xml:space="preserve">4.3  Confidence Logic</w:t>
      </w:r>
    </w:p>
    <w:p>
      <w:pPr>
        <w:spacing w:after="120"/>
      </w:pPr>
      <w:r>
        <w:rPr>
          <w:rFonts w:ascii="Arial" w:cs="Arial" w:eastAsia="Arial" w:hAnsi="Arial"/>
          <w:b w:val="false"/>
          <w:bCs w:val="false"/>
          <w:color w:val="2B3644"/>
          <w:sz w:val="22"/>
          <w:szCs w:val="22"/>
        </w:rPr>
        <w:t xml:space="preserve">The system is conservative by design. It will not propose a stage move unless:</w:t>
      </w:r>
    </w:p>
    <w:p>
      <w:pPr>
        <w:pStyle w:val="ListParagraph"/>
        <w:numPr>
          <w:ilvl w:val="0"/>
          <w:numId w:val="2"/>
        </w:numPr>
        <w:spacing w:after="80"/>
      </w:pPr>
      <w:r>
        <w:rPr>
          <w:rFonts w:ascii="Arial" w:cs="Arial" w:eastAsia="Arial" w:hAnsi="Arial"/>
          <w:b w:val="false"/>
          <w:bCs w:val="false"/>
          <w:sz w:val="22"/>
          <w:szCs w:val="22"/>
        </w:rPr>
        <w:t xml:space="preserve">The prospect has sent an inbound reply in the last 14 days</w:t>
      </w:r>
    </w:p>
    <w:p>
      <w:pPr>
        <w:pStyle w:val="ListParagraph"/>
        <w:numPr>
          <w:ilvl w:val="0"/>
          <w:numId w:val="2"/>
        </w:numPr>
        <w:spacing w:after="80"/>
      </w:pPr>
      <w:r>
        <w:rPr>
          <w:rFonts w:ascii="Arial" w:cs="Arial" w:eastAsia="Arial" w:hAnsi="Arial"/>
          <w:b w:val="false"/>
          <w:bCs w:val="false"/>
          <w:sz w:val="22"/>
          <w:szCs w:val="22"/>
        </w:rPr>
        <w:t xml:space="preserve">The current deal stage is not already a late-stage (Contract Sent, Closed Won/Lost)</w:t>
      </w:r>
    </w:p>
    <w:p>
      <w:pPr>
        <w:pStyle w:val="ListParagraph"/>
        <w:numPr>
          <w:ilvl w:val="0"/>
          <w:numId w:val="2"/>
        </w:numPr>
        <w:spacing w:after="80"/>
      </w:pPr>
      <w:r>
        <w:rPr>
          <w:rFonts w:ascii="Arial" w:cs="Arial" w:eastAsia="Arial" w:hAnsi="Arial"/>
          <w:b w:val="false"/>
          <w:bCs w:val="false"/>
          <w:sz w:val="22"/>
          <w:szCs w:val="22"/>
        </w:rPr>
        <w:t xml:space="preserve">A next stage exists in the pipeline order</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0"/>
        </w:tblCellMar>
      </w:tblPr>
      <w:tblGrid>
        <w:gridCol w:w="320"/>
        <w:gridCol w:w="9040"/>
      </w:tblGrid>
      <w:tr>
        <w:tc>
          <w:tcPr>
            <w:tcW w:type="dxa" w:w="320"/>
            <w:tcBorders>
              <w:top w:val="single" w:color="2F8F5B" w:sz="4"/>
              <w:left w:val="single" w:color="2F8F5B" w:sz="4"/>
              <w:bottom w:val="single" w:color="2F8F5B" w:sz="4"/>
              <w:right w:val="single" w:color="2F8F5B" w:sz="4"/>
            </w:tcBorders>
            <w:shd w:fill="2F8F5B" w:val="clear"/>
            <w:tcMar>
              <w:top w:type="dxa" w:w="100"/>
              <w:left w:type="dxa" w:w="120"/>
              <w:bottom w:type="dxa" w:w="100"/>
              <w:right w:type="dxa" w:w="80"/>
            </w:tcMar>
            <w:vAlign w:val="center"/>
          </w:tcPr>
          <w:p>
            <w:pPr>
              <w:jc w:val="center"/>
            </w:pPr>
            <w:r>
              <w:rPr>
                <w:rFonts w:ascii="Arial" w:cs="Arial" w:eastAsia="Arial" w:hAnsi="Arial"/>
                <w:b/>
                <w:bCs/>
                <w:color w:val="FFFFFF"/>
                <w:sz w:val="20"/>
                <w:szCs w:val="20"/>
              </w:rPr>
              <w:t xml:space="preserve">TIP</w:t>
            </w:r>
          </w:p>
        </w:tc>
        <w:tc>
          <w:tcPr>
            <w:tcW w:type="dxa" w:w="9040"/>
            <w:tcBorders>
              <w:top w:val="single" w:color="2F8F5B" w:sz="4"/>
              <w:left w:val="single" w:color="2F8F5B" w:sz="4"/>
              <w:bottom w:val="single" w:color="2F8F5B" w:sz="4"/>
              <w:right w:val="single" w:color="2F8F5B" w:sz="4"/>
            </w:tcBorders>
            <w:shd w:fill="F0FAF5" w:val="clear"/>
            <w:tcMar>
              <w:top w:type="dxa" w:w="100"/>
              <w:left w:type="dxa" w:w="160"/>
              <w:bottom w:type="dxa" w:w="100"/>
              <w:right w:type="dxa" w:w="120"/>
            </w:tcMar>
          </w:tcPr>
          <w:p>
            <w:pPr>
              <w:spacing w:after="0"/>
            </w:pPr>
            <w:r>
              <w:rPr>
                <w:rFonts w:ascii="Arial" w:cs="Arial" w:eastAsia="Arial" w:hAnsi="Arial"/>
                <w:sz w:val="20"/>
                <w:szCs w:val="20"/>
              </w:rPr>
              <w:t xml:space="preserve">Actions are re-computed on every page load from live deal data. If you approve an action and it reappears, it means the HubSpot sync has not reflected the change yet. Wait 30 seconds and reload.</w:t>
            </w:r>
          </w:p>
        </w:tc>
      </w:tr>
    </w:tbl>
    <w:p>
      <w:pPr>
        <w:spacing w:after="200"/>
      </w:pPr>
      <w:r>
        <w:t xml:space="preserve"/>
      </w:r>
    </w:p>
    <w:p>
      <w:r>
        <w:br w:type="page"/>
      </w:r>
    </w:p>
    <w:p>
      <w:pPr>
        <w:pStyle w:val="Heading1"/>
        <w:spacing w:after="180" w:before="360"/>
      </w:pPr>
      <w:r>
        <w:rPr>
          <w:rFonts w:ascii="Arial" w:cs="Arial" w:eastAsia="Arial" w:hAnsi="Arial"/>
          <w:b/>
          <w:bCs/>
          <w:color w:val="2B3644"/>
          <w:sz w:val="36"/>
          <w:szCs w:val="36"/>
        </w:rPr>
        <w:t xml:space="preserve">5  The Cleanup Queue</w:t>
      </w:r>
    </w:p>
    <w:p>
      <w:pPr>
        <w:spacing w:after="120"/>
      </w:pPr>
      <w:r>
        <w:rPr>
          <w:rFonts w:ascii="Arial" w:cs="Arial" w:eastAsia="Arial" w:hAnsi="Arial"/>
          <w:b w:val="false"/>
          <w:bCs w:val="false"/>
          <w:color w:val="2B3644"/>
          <w:sz w:val="22"/>
          <w:szCs w:val="22"/>
        </w:rPr>
        <w:t xml:space="preserve">The Cleanup Queue at /admin/sales/deals/cleanup aggregates every mid-confidence action across all open deals into a single review table. Use it to do a full pipeline cleanup in under two minutes.</w:t>
      </w:r>
    </w:p>
    <w:p>
      <w:pPr>
        <w:spacing w:after="120"/>
      </w:pPr>
      <w:r>
        <w:t xml:space="preserve"/>
      </w:r>
    </w:p>
    <w:p>
      <w:pPr>
        <w:pStyle w:val="Heading2"/>
        <w:spacing w:after="140" w:before="280"/>
      </w:pPr>
      <w:r>
        <w:rPr>
          <w:rFonts w:ascii="Arial" w:cs="Arial" w:eastAsia="Arial" w:hAnsi="Arial"/>
          <w:b/>
          <w:bCs/>
          <w:color w:val="2B3644"/>
          <w:sz w:val="28"/>
          <w:szCs w:val="28"/>
        </w:rPr>
        <w:t xml:space="preserve">5.1  How to Run a Cleanup</w:t>
      </w:r>
    </w:p>
    <w:p>
      <w:pPr>
        <w:pStyle w:val="ListParagraph"/>
        <w:numPr>
          <w:ilvl w:val="0"/>
          <w:numId w:val="3"/>
        </w:numPr>
        <w:spacing w:after="80"/>
      </w:pPr>
      <w:r>
        <w:rPr>
          <w:rFonts w:ascii="Arial" w:cs="Arial" w:eastAsia="Arial" w:hAnsi="Arial"/>
          <w:sz w:val="22"/>
          <w:szCs w:val="22"/>
        </w:rPr>
        <w:t xml:space="preserve">Click Run cleanup → on the Deal Board (or go to /admin/sales/deals/cleanup directly).</w:t>
      </w:r>
    </w:p>
    <w:p>
      <w:pPr>
        <w:pStyle w:val="ListParagraph"/>
        <w:numPr>
          <w:ilvl w:val="0"/>
          <w:numId w:val="3"/>
        </w:numPr>
        <w:spacing w:after="80"/>
      </w:pPr>
      <w:r>
        <w:rPr>
          <w:rFonts w:ascii="Arial" w:cs="Arial" w:eastAsia="Arial" w:hAnsi="Arial"/>
          <w:sz w:val="22"/>
          <w:szCs w:val="22"/>
        </w:rPr>
        <w:t xml:space="preserve">Review the table. Each row shows the deal name, current stage, the action label, and the exact HubSpot property values that will be written.</w:t>
      </w:r>
    </w:p>
    <w:p>
      <w:pPr>
        <w:pStyle w:val="ListParagraph"/>
        <w:numPr>
          <w:ilvl w:val="0"/>
          <w:numId w:val="3"/>
        </w:numPr>
        <w:spacing w:after="80"/>
      </w:pPr>
      <w:r>
        <w:rPr>
          <w:rFonts w:ascii="Arial" w:cs="Arial" w:eastAsia="Arial" w:hAnsi="Arial"/>
          <w:sz w:val="22"/>
          <w:szCs w:val="22"/>
        </w:rPr>
        <w:t xml:space="preserve">Tick the checkboxes for the actions you want to apply. Use Select all to pick everything at once.</w:t>
      </w:r>
    </w:p>
    <w:p>
      <w:pPr>
        <w:pStyle w:val="ListParagraph"/>
        <w:numPr>
          <w:ilvl w:val="0"/>
          <w:numId w:val="3"/>
        </w:numPr>
        <w:spacing w:after="80"/>
      </w:pPr>
      <w:r>
        <w:rPr>
          <w:rFonts w:ascii="Arial" w:cs="Arial" w:eastAsia="Arial" w:hAnsi="Arial"/>
          <w:sz w:val="22"/>
          <w:szCs w:val="22"/>
        </w:rPr>
        <w:t xml:space="preserve">Click Apply selected. Each action is pushed to HubSpot immediately. A flash message confirms how many were applied and how many (if any) failed.</w:t>
      </w:r>
    </w:p>
    <w:p>
      <w:pPr>
        <w:pStyle w:val="ListParagraph"/>
        <w:numPr>
          <w:ilvl w:val="0"/>
          <w:numId w:val="3"/>
        </w:numPr>
        <w:spacing w:after="80"/>
      </w:pPr>
      <w:r>
        <w:rPr>
          <w:rFonts w:ascii="Arial" w:cs="Arial" w:eastAsia="Arial" w:hAnsi="Arial"/>
          <w:sz w:val="22"/>
          <w:szCs w:val="22"/>
        </w:rPr>
        <w:t xml:space="preserve">The system triggers a HubSpot sync automatically after a successful apply so the board reflects the new state.</w:t>
      </w:r>
    </w:p>
    <w:p>
      <w:pPr>
        <w:spacing w:after="120"/>
      </w:pPr>
      <w:r>
        <w:t xml:space="preserve"/>
      </w:r>
    </w:p>
    <w:p>
      <w:pPr>
        <w:pStyle w:val="Heading2"/>
        <w:spacing w:after="140" w:before="280"/>
      </w:pPr>
      <w:r>
        <w:rPr>
          <w:rFonts w:ascii="Arial" w:cs="Arial" w:eastAsia="Arial" w:hAnsi="Arial"/>
          <w:b/>
          <w:bCs/>
          <w:color w:val="2B3644"/>
          <w:sz w:val="28"/>
          <w:szCs w:val="28"/>
        </w:rPr>
        <w:t xml:space="preserve">5.2  What the Cleanup Does Not Touch</w:t>
      </w:r>
    </w:p>
    <w:p>
      <w:pPr>
        <w:spacing w:after="120"/>
      </w:pPr>
      <w:r>
        <w:rPr>
          <w:rFonts w:ascii="Arial" w:cs="Arial" w:eastAsia="Arial" w:hAnsi="Arial"/>
          <w:b w:val="false"/>
          <w:bCs w:val="false"/>
          <w:color w:val="2B3644"/>
          <w:sz w:val="22"/>
          <w:szCs w:val="22"/>
        </w:rPr>
        <w:t xml:space="preserve">The Cleanup Queue only shows mid-confidence actions — data corrections the system is highly confident about. It intentionally excludes:</w:t>
      </w:r>
    </w:p>
    <w:p>
      <w:pPr>
        <w:pStyle w:val="ListParagraph"/>
        <w:numPr>
          <w:ilvl w:val="0"/>
          <w:numId w:val="2"/>
        </w:numPr>
        <w:spacing w:after="80"/>
      </w:pPr>
      <w:r>
        <w:rPr>
          <w:rFonts w:ascii="Arial" w:cs="Arial" w:eastAsia="Arial" w:hAnsi="Arial"/>
          <w:b w:val="false"/>
          <w:bCs w:val="false"/>
          <w:sz w:val="22"/>
          <w:szCs w:val="22"/>
        </w:rPr>
        <w:t xml:space="preserve">Low-confidence nudges (missing contacts, missing company)</w:t>
      </w:r>
    </w:p>
    <w:p>
      <w:pPr>
        <w:pStyle w:val="ListParagraph"/>
        <w:numPr>
          <w:ilvl w:val="0"/>
          <w:numId w:val="2"/>
        </w:numPr>
        <w:spacing w:after="80"/>
      </w:pPr>
      <w:r>
        <w:rPr>
          <w:rFonts w:ascii="Arial" w:cs="Arial" w:eastAsia="Arial" w:hAnsi="Arial"/>
          <w:b w:val="false"/>
          <w:bCs w:val="false"/>
          <w:sz w:val="22"/>
          <w:szCs w:val="22"/>
        </w:rPr>
        <w:t xml:space="preserve">Closed deals</w:t>
      </w:r>
    </w:p>
    <w:p>
      <w:pPr>
        <w:pStyle w:val="ListParagraph"/>
        <w:numPr>
          <w:ilvl w:val="0"/>
          <w:numId w:val="2"/>
        </w:numPr>
        <w:spacing w:after="80"/>
      </w:pPr>
      <w:r>
        <w:rPr>
          <w:rFonts w:ascii="Arial" w:cs="Arial" w:eastAsia="Arial" w:hAnsi="Arial"/>
          <w:b w:val="false"/>
          <w:bCs w:val="false"/>
          <w:sz w:val="22"/>
          <w:szCs w:val="22"/>
        </w:rPr>
        <w:t xml:space="preserve">The Generate Sales Deck workflow</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0"/>
        </w:tblCellMar>
      </w:tblPr>
      <w:tblGrid>
        <w:gridCol w:w="320"/>
        <w:gridCol w:w="9040"/>
      </w:tblGrid>
      <w:tr>
        <w:tc>
          <w:tcPr>
            <w:tcW w:type="dxa" w:w="320"/>
            <w:tcBorders>
              <w:top w:val="single" w:color="B84C00" w:sz="4"/>
              <w:left w:val="single" w:color="B84C00" w:sz="4"/>
              <w:bottom w:val="single" w:color="B84C00" w:sz="4"/>
              <w:right w:val="single" w:color="B84C00" w:sz="4"/>
            </w:tcBorders>
            <w:shd w:fill="B84C00" w:val="clear"/>
            <w:tcMar>
              <w:top w:type="dxa" w:w="100"/>
              <w:left w:type="dxa" w:w="120"/>
              <w:bottom w:type="dxa" w:w="100"/>
              <w:right w:type="dxa" w:w="80"/>
            </w:tcMar>
            <w:vAlign w:val="center"/>
          </w:tcPr>
          <w:p>
            <w:pPr>
              <w:jc w:val="center"/>
            </w:pPr>
            <w:r>
              <w:rPr>
                <w:rFonts w:ascii="Arial" w:cs="Arial" w:eastAsia="Arial" w:hAnsi="Arial"/>
                <w:b/>
                <w:bCs/>
                <w:color w:val="FFFFFF"/>
                <w:sz w:val="20"/>
                <w:szCs w:val="20"/>
              </w:rPr>
              <w:t xml:space="preserve">⚠</w:t>
            </w:r>
          </w:p>
        </w:tc>
        <w:tc>
          <w:tcPr>
            <w:tcW w:type="dxa" w:w="9040"/>
            <w:tcBorders>
              <w:top w:val="single" w:color="B84C00" w:sz="4"/>
              <w:left w:val="single" w:color="B84C00" w:sz="4"/>
              <w:bottom w:val="single" w:color="B84C00" w:sz="4"/>
              <w:right w:val="single" w:color="B84C00" w:sz="4"/>
            </w:tcBorders>
            <w:shd w:fill="F0FAF5" w:val="clear"/>
            <w:tcMar>
              <w:top w:type="dxa" w:w="100"/>
              <w:left w:type="dxa" w:w="160"/>
              <w:bottom w:type="dxa" w:w="100"/>
              <w:right w:type="dxa" w:w="120"/>
            </w:tcMar>
          </w:tcPr>
          <w:p>
            <w:pPr>
              <w:spacing w:after="0"/>
            </w:pPr>
            <w:r>
              <w:rPr>
                <w:rFonts w:ascii="Arial" w:cs="Arial" w:eastAsia="Arial" w:hAnsi="Arial"/>
                <w:sz w:val="20"/>
                <w:szCs w:val="20"/>
              </w:rPr>
              <w:t xml:space="preserve">Each action in the table shows the exact property value that will be written to HubSpot (e.g., amount = 5000.00). Review before clicking Apply.</w:t>
            </w:r>
          </w:p>
        </w:tc>
      </w:tr>
    </w:tbl>
    <w:p>
      <w:pPr>
        <w:spacing w:after="200"/>
      </w:pPr>
      <w:r>
        <w:t xml:space="preserve"/>
      </w:r>
    </w:p>
    <w:p>
      <w:r>
        <w:br w:type="page"/>
      </w:r>
    </w:p>
    <w:p>
      <w:pPr>
        <w:pStyle w:val="Heading1"/>
        <w:spacing w:after="180" w:before="360"/>
      </w:pPr>
      <w:r>
        <w:rPr>
          <w:rFonts w:ascii="Arial" w:cs="Arial" w:eastAsia="Arial" w:hAnsi="Arial"/>
          <w:b/>
          <w:bCs/>
          <w:color w:val="2B3644"/>
          <w:sz w:val="36"/>
          <w:szCs w:val="36"/>
        </w:rPr>
        <w:t xml:space="preserve">6  AI Follow-Up Drafting</w:t>
      </w:r>
    </w:p>
    <w:p>
      <w:pPr>
        <w:spacing w:after="120"/>
      </w:pPr>
      <w:r>
        <w:rPr>
          <w:rFonts w:ascii="Arial" w:cs="Arial" w:eastAsia="Arial" w:hAnsi="Arial"/>
          <w:b w:val="false"/>
          <w:bCs w:val="false"/>
          <w:color w:val="2B3644"/>
          <w:sz w:val="22"/>
          <w:szCs w:val="22"/>
        </w:rPr>
        <w:t xml:space="preserve">From any deal detail page, click Draft follow-up to open the AI-powered email drafting tool. The system generates a contextual follow-up based on the deal, contacts, and recent activity.</w:t>
      </w:r>
    </w:p>
    <w:p>
      <w:pPr>
        <w:spacing w:after="120"/>
      </w:pPr>
      <w:r>
        <w:t xml:space="preserve"/>
      </w:r>
    </w:p>
    <w:p>
      <w:pPr>
        <w:pStyle w:val="Heading2"/>
        <w:spacing w:after="140" w:before="280"/>
      </w:pPr>
      <w:r>
        <w:rPr>
          <w:rFonts w:ascii="Arial" w:cs="Arial" w:eastAsia="Arial" w:hAnsi="Arial"/>
          <w:b/>
          <w:bCs/>
          <w:color w:val="2B3644"/>
          <w:sz w:val="28"/>
          <w:szCs w:val="28"/>
        </w:rPr>
        <w:t xml:space="preserve">6.1  How It Works</w:t>
      </w:r>
    </w:p>
    <w:p>
      <w:pPr>
        <w:pStyle w:val="ListParagraph"/>
        <w:numPr>
          <w:ilvl w:val="0"/>
          <w:numId w:val="3"/>
        </w:numPr>
        <w:spacing w:after="80"/>
      </w:pPr>
      <w:r>
        <w:rPr>
          <w:rFonts w:ascii="Arial" w:cs="Arial" w:eastAsia="Arial" w:hAnsi="Arial"/>
          <w:sz w:val="22"/>
          <w:szCs w:val="22"/>
        </w:rPr>
        <w:t xml:space="preserve">Open a deal detail page and click Draft follow-up.</w:t>
      </w:r>
    </w:p>
    <w:p>
      <w:pPr>
        <w:pStyle w:val="ListParagraph"/>
        <w:numPr>
          <w:ilvl w:val="0"/>
          <w:numId w:val="3"/>
        </w:numPr>
        <w:spacing w:after="80"/>
      </w:pPr>
      <w:r>
        <w:rPr>
          <w:rFonts w:ascii="Arial" w:cs="Arial" w:eastAsia="Arial" w:hAnsi="Arial"/>
          <w:sz w:val="22"/>
          <w:szCs w:val="22"/>
        </w:rPr>
        <w:t xml:space="preserve">The system reads the deal data, contacts, recent Gmail signals, and any closing assets already sent.</w:t>
      </w:r>
    </w:p>
    <w:p>
      <w:pPr>
        <w:pStyle w:val="ListParagraph"/>
        <w:numPr>
          <w:ilvl w:val="0"/>
          <w:numId w:val="3"/>
        </w:numPr>
        <w:spacing w:after="80"/>
      </w:pPr>
      <w:r>
        <w:rPr>
          <w:rFonts w:ascii="Arial" w:cs="Arial" w:eastAsia="Arial" w:hAnsi="Arial"/>
          <w:sz w:val="22"/>
          <w:szCs w:val="22"/>
        </w:rPr>
        <w:t xml:space="preserve">An AI draft appears in the email editor with pre-filled subject, body, and recipient.</w:t>
      </w:r>
    </w:p>
    <w:p>
      <w:pPr>
        <w:pStyle w:val="ListParagraph"/>
        <w:numPr>
          <w:ilvl w:val="0"/>
          <w:numId w:val="3"/>
        </w:numPr>
        <w:spacing w:after="80"/>
      </w:pPr>
      <w:r>
        <w:rPr>
          <w:rFonts w:ascii="Arial" w:cs="Arial" w:eastAsia="Arial" w:hAnsi="Arial"/>
          <w:sz w:val="22"/>
          <w:szCs w:val="22"/>
        </w:rPr>
        <w:t xml:space="preserve">Edit the subject and body directly in the editor. The mailto link updates live as you type so you can open your local email client if preferred.</w:t>
      </w:r>
    </w:p>
    <w:p>
      <w:pPr>
        <w:pStyle w:val="ListParagraph"/>
        <w:numPr>
          <w:ilvl w:val="0"/>
          <w:numId w:val="3"/>
        </w:numPr>
        <w:spacing w:after="80"/>
      </w:pPr>
      <w:r>
        <w:rPr>
          <w:rFonts w:ascii="Arial" w:cs="Arial" w:eastAsia="Arial" w:hAnsi="Arial"/>
          <w:sz w:val="22"/>
          <w:szCs w:val="22"/>
        </w:rPr>
        <w:t xml:space="preserve">If Gmail is connected (green Send via Anata button is visible), click it to proceed to send.</w:t>
      </w:r>
    </w:p>
    <w:p>
      <w:pPr>
        <w:spacing w:after="120"/>
      </w:pPr>
      <w:r>
        <w:t xml:space="preserve"/>
      </w:r>
    </w:p>
    <w:p>
      <w:pPr>
        <w:pStyle w:val="Heading2"/>
        <w:spacing w:after="140" w:before="280"/>
      </w:pPr>
      <w:r>
        <w:rPr>
          <w:rFonts w:ascii="Arial" w:cs="Arial" w:eastAsia="Arial" w:hAnsi="Arial"/>
          <w:b/>
          <w:bCs/>
          <w:color w:val="2B3644"/>
          <w:sz w:val="28"/>
          <w:szCs w:val="28"/>
        </w:rPr>
        <w:t xml:space="preserve">6.2  Hook Suggestions</w:t>
      </w:r>
    </w:p>
    <w:p>
      <w:pPr>
        <w:spacing w:after="120"/>
      </w:pPr>
      <w:r>
        <w:rPr>
          <w:rFonts w:ascii="Arial" w:cs="Arial" w:eastAsia="Arial" w:hAnsi="Arial"/>
          <w:b w:val="false"/>
          <w:bCs w:val="false"/>
          <w:color w:val="2B3644"/>
          <w:sz w:val="22"/>
          <w:szCs w:val="22"/>
        </w:rPr>
        <w:t xml:space="preserve">The system tracks which closing assets have already been sent to the prospect and suggests the next one to include as a hook:</w:t>
      </w:r>
    </w:p>
    <w:p>
      <w:pPr>
        <w:pStyle w:val="ListParagraph"/>
        <w:numPr>
          <w:ilvl w:val="0"/>
          <w:numId w:val="2"/>
        </w:numPr>
        <w:spacing w:after="80"/>
      </w:pPr>
      <w:r>
        <w:rPr>
          <w:rFonts w:ascii="Arial" w:cs="Arial" w:eastAsia="Arial" w:hAnsi="Arial"/>
          <w:b w:val="false"/>
          <w:bCs w:val="false"/>
          <w:sz w:val="22"/>
          <w:szCs w:val="22"/>
        </w:rPr>
        <w:t xml:space="preserve">Sales Deck (first hook)</w:t>
      </w:r>
    </w:p>
    <w:p>
      <w:pPr>
        <w:pStyle w:val="ListParagraph"/>
        <w:numPr>
          <w:ilvl w:val="0"/>
          <w:numId w:val="2"/>
        </w:numPr>
        <w:spacing w:after="80"/>
      </w:pPr>
      <w:r>
        <w:rPr>
          <w:rFonts w:ascii="Arial" w:cs="Arial" w:eastAsia="Arial" w:hAnsi="Arial"/>
          <w:b w:val="false"/>
          <w:bCs w:val="false"/>
          <w:sz w:val="22"/>
          <w:szCs w:val="22"/>
        </w:rPr>
        <w:t xml:space="preserve">Rate Sheet (second hook)</w:t>
      </w:r>
    </w:p>
    <w:p>
      <w:pPr>
        <w:pStyle w:val="ListParagraph"/>
        <w:numPr>
          <w:ilvl w:val="0"/>
          <w:numId w:val="2"/>
        </w:numPr>
        <w:spacing w:after="80"/>
      </w:pPr>
      <w:r>
        <w:rPr>
          <w:rFonts w:ascii="Arial" w:cs="Arial" w:eastAsia="Arial" w:hAnsi="Arial"/>
          <w:b w:val="false"/>
          <w:bCs w:val="false"/>
          <w:sz w:val="22"/>
          <w:szCs w:val="22"/>
        </w:rPr>
        <w:t xml:space="preserve">Ads Audit (third hook)</w:t>
      </w:r>
    </w:p>
    <w:p>
      <w:pPr>
        <w:spacing w:after="80"/>
      </w:pPr>
      <w:r>
        <w:t xml:space="preserve"/>
      </w:r>
    </w:p>
    <w:p>
      <w:pPr>
        <w:spacing w:after="120"/>
      </w:pPr>
      <w:r>
        <w:rPr>
          <w:rFonts w:ascii="Arial" w:cs="Arial" w:eastAsia="Arial" w:hAnsi="Arial"/>
          <w:b w:val="false"/>
          <w:bCs w:val="false"/>
          <w:color w:val="2B3644"/>
          <w:sz w:val="22"/>
          <w:szCs w:val="22"/>
        </w:rPr>
        <w:t xml:space="preserve">If all three have been sent, the follow-up focuses on next steps and timeline instead.</w:t>
      </w:r>
    </w:p>
    <w:p>
      <w:pPr>
        <w:spacing w:after="200"/>
      </w:pPr>
      <w:r>
        <w:t xml:space="preserve"/>
      </w:r>
    </w:p>
    <w:p>
      <w:r>
        <w:br w:type="page"/>
      </w:r>
    </w:p>
    <w:p>
      <w:pPr>
        <w:pStyle w:val="Heading1"/>
        <w:spacing w:after="180" w:before="360"/>
      </w:pPr>
      <w:r>
        <w:rPr>
          <w:rFonts w:ascii="Arial" w:cs="Arial" w:eastAsia="Arial" w:hAnsi="Arial"/>
          <w:b/>
          <w:bCs/>
          <w:color w:val="2B3644"/>
          <w:sz w:val="36"/>
          <w:szCs w:val="36"/>
        </w:rPr>
        <w:t xml:space="preserve">7  Sending Email via Anata</w:t>
      </w:r>
    </w:p>
    <w:p>
      <w:pPr>
        <w:spacing w:after="120"/>
      </w:pPr>
      <w:r>
        <w:rPr>
          <w:rFonts w:ascii="Arial" w:cs="Arial" w:eastAsia="Arial" w:hAnsi="Arial"/>
          <w:b w:val="false"/>
          <w:bCs w:val="false"/>
          <w:color w:val="2B3644"/>
          <w:sz w:val="22"/>
          <w:szCs w:val="22"/>
        </w:rPr>
        <w:t xml:space="preserve">When Gmail is connected to your workspace, you can send follow-up emails directly from the deal detail page. The send is logged back to HubSpot as an engagement automatically.</w:t>
      </w:r>
    </w:p>
    <w:p>
      <w:pPr>
        <w:spacing w:after="120"/>
      </w:pPr>
      <w:r>
        <w:t xml:space="preserve"/>
      </w:r>
    </w:p>
    <w:p>
      <w:pPr>
        <w:pStyle w:val="Heading2"/>
        <w:spacing w:after="140" w:before="280"/>
      </w:pPr>
      <w:r>
        <w:rPr>
          <w:rFonts w:ascii="Arial" w:cs="Arial" w:eastAsia="Arial" w:hAnsi="Arial"/>
          <w:b/>
          <w:bCs/>
          <w:color w:val="2B3644"/>
          <w:sz w:val="28"/>
          <w:szCs w:val="28"/>
        </w:rPr>
        <w:t xml:space="preserve">7.1  The Two-Step Send Flow</w:t>
      </w:r>
    </w:p>
    <w:p>
      <w:pPr>
        <w:spacing w:after="120"/>
      </w:pPr>
      <w:r>
        <w:rPr>
          <w:rFonts w:ascii="Arial" w:cs="Arial" w:eastAsia="Arial" w:hAnsi="Arial"/>
          <w:b w:val="false"/>
          <w:bCs w:val="false"/>
          <w:color w:val="2B3644"/>
          <w:sz w:val="22"/>
          <w:szCs w:val="22"/>
        </w:rPr>
        <w:t xml:space="preserve">To prevent accidental sends, Anata uses a two-step confirmation:</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7DD8" w:sz="4"/>
              <w:left w:val="single" w:color="3B7DD8" w:sz="4"/>
              <w:bottom w:val="single" w:color="3B7DD8" w:sz="4"/>
              <w:right w:val="single" w:color="3B7DD8" w:sz="4"/>
            </w:tcBorders>
            <w:shd w:fill="EFF3F9" w:val="clear"/>
            <w:tcMar>
              <w:top w:type="dxa" w:w="160"/>
              <w:left w:type="dxa" w:w="240"/>
              <w:bottom w:type="dxa" w:w="160"/>
              <w:right w:type="dxa" w:w="240"/>
            </w:tcMar>
          </w:tcPr>
          <w:p>
            <w:pPr>
              <w:spacing w:after="100"/>
            </w:pPr>
            <w:r>
              <w:rPr>
                <w:rFonts w:ascii="Arial" w:cs="Arial" w:eastAsia="Arial" w:hAnsi="Arial"/>
                <w:b/>
                <w:bCs/>
                <w:color w:val="2B3644"/>
                <w:sz w:val="22"/>
                <w:szCs w:val="22"/>
              </w:rPr>
              <w:t xml:space="preserve">Step 1 — Review the Draft</w:t>
            </w:r>
          </w:p>
          <w:p>
            <w:pPr>
              <w:pStyle w:val="ListParagraph"/>
              <w:numPr>
                <w:ilvl w:val="0"/>
                <w:numId w:val="2"/>
              </w:numPr>
              <w:spacing w:after="60"/>
            </w:pPr>
            <w:r>
              <w:rPr>
                <w:rFonts w:ascii="Arial" w:cs="Arial" w:eastAsia="Arial" w:hAnsi="Arial"/>
                <w:color w:val="2B3644"/>
                <w:sz w:val="20"/>
                <w:szCs w:val="20"/>
              </w:rPr>
              <w:t xml:space="preserve">Edit subject and body in the draft editor.</w:t>
            </w:r>
          </w:p>
          <w:p>
            <w:pPr>
              <w:pStyle w:val="ListParagraph"/>
              <w:numPr>
                <w:ilvl w:val="0"/>
                <w:numId w:val="2"/>
              </w:numPr>
              <w:spacing w:after="60"/>
            </w:pPr>
            <w:r>
              <w:rPr>
                <w:rFonts w:ascii="Arial" w:cs="Arial" w:eastAsia="Arial" w:hAnsi="Arial"/>
                <w:color w:val="2B3644"/>
                <w:sz w:val="20"/>
                <w:szCs w:val="20"/>
              </w:rPr>
              <w:t xml:space="preserve">Verify the To: address(es) in the recipient field.</w:t>
            </w:r>
          </w:p>
          <w:p>
            <w:pPr>
              <w:pStyle w:val="ListParagraph"/>
              <w:numPr>
                <w:ilvl w:val="0"/>
                <w:numId w:val="2"/>
              </w:numPr>
              <w:spacing w:after="60"/>
            </w:pPr>
            <w:r>
              <w:rPr>
                <w:rFonts w:ascii="Arial" w:cs="Arial" w:eastAsia="Arial" w:hAnsi="Arial"/>
                <w:color w:val="2B3644"/>
                <w:sz w:val="20"/>
                <w:szCs w:val="20"/>
              </w:rPr>
              <w:t xml:space="preserve">Click Send via Anata → (green button).</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7DD8" w:sz="4"/>
              <w:left w:val="single" w:color="3B7DD8" w:sz="4"/>
              <w:bottom w:val="single" w:color="3B7DD8" w:sz="4"/>
              <w:right w:val="single" w:color="3B7DD8" w:sz="4"/>
            </w:tcBorders>
            <w:shd w:fill="FFF3E0" w:val="clear"/>
            <w:tcMar>
              <w:top w:type="dxa" w:w="160"/>
              <w:left w:type="dxa" w:w="240"/>
              <w:bottom w:type="dxa" w:w="160"/>
              <w:right w:type="dxa" w:w="240"/>
            </w:tcMar>
          </w:tcPr>
          <w:p>
            <w:pPr>
              <w:spacing w:after="100"/>
            </w:pPr>
            <w:r>
              <w:rPr>
                <w:rFonts w:ascii="Arial" w:cs="Arial" w:eastAsia="Arial" w:hAnsi="Arial"/>
                <w:b/>
                <w:bCs/>
                <w:color w:val="2B3644"/>
                <w:sz w:val="22"/>
                <w:szCs w:val="22"/>
              </w:rPr>
              <w:t xml:space="preserve">Step 2 — Confirm Before Sending</w:t>
            </w:r>
          </w:p>
          <w:p>
            <w:pPr>
              <w:pStyle w:val="ListParagraph"/>
              <w:numPr>
                <w:ilvl w:val="0"/>
                <w:numId w:val="2"/>
              </w:numPr>
              <w:spacing w:after="60"/>
            </w:pPr>
            <w:r>
              <w:rPr>
                <w:rFonts w:ascii="Arial" w:cs="Arial" w:eastAsia="Arial" w:hAnsi="Arial"/>
                <w:color w:val="2B3644"/>
                <w:sz w:val="20"/>
                <w:szCs w:val="20"/>
              </w:rPr>
              <w:t xml:space="preserve">A preview screen shows From, To, Subject, and the full body exactly as it will be sent.</w:t>
            </w:r>
          </w:p>
          <w:p>
            <w:pPr>
              <w:pStyle w:val="ListParagraph"/>
              <w:numPr>
                <w:ilvl w:val="0"/>
                <w:numId w:val="2"/>
              </w:numPr>
              <w:spacing w:after="60"/>
            </w:pPr>
            <w:r>
              <w:rPr>
                <w:rFonts w:ascii="Arial" w:cs="Arial" w:eastAsia="Arial" w:hAnsi="Arial"/>
                <w:color w:val="2B3644"/>
                <w:sz w:val="20"/>
                <w:szCs w:val="20"/>
              </w:rPr>
              <w:t xml:space="preserve">Read it carefully. This step is irreversible.</w:t>
            </w:r>
          </w:p>
          <w:p>
            <w:pPr>
              <w:pStyle w:val="ListParagraph"/>
              <w:numPr>
                <w:ilvl w:val="0"/>
                <w:numId w:val="2"/>
              </w:numPr>
              <w:spacing w:after="60"/>
            </w:pPr>
            <w:r>
              <w:rPr>
                <w:rFonts w:ascii="Arial" w:cs="Arial" w:eastAsia="Arial" w:hAnsi="Arial"/>
                <w:color w:val="2B3644"/>
                <w:sz w:val="20"/>
                <w:szCs w:val="20"/>
              </w:rPr>
              <w:t xml:space="preserve">Click Confirm &amp; Send → to execute, or ← Edit draft to go back.</w:t>
            </w:r>
          </w:p>
        </w:tc>
      </w:tr>
    </w:tbl>
    <w:p>
      <w:pPr>
        <w:spacing w:after="120"/>
      </w:pPr>
      <w:r>
        <w:t xml:space="preserve"/>
      </w:r>
    </w:p>
    <w:p>
      <w:pPr>
        <w:spacing w:after="120"/>
      </w:pPr>
      <w:r>
        <w:rPr>
          <w:rFonts w:ascii="Arial" w:cs="Arial" w:eastAsia="Arial" w:hAnsi="Arial"/>
          <w:b w:val="false"/>
          <w:bCs w:val="false"/>
          <w:color w:val="2B3644"/>
          <w:sz w:val="22"/>
          <w:szCs w:val="22"/>
        </w:rPr>
        <w:t xml:space="preserve">After a successful send:</w:t>
      </w:r>
    </w:p>
    <w:p>
      <w:pPr>
        <w:pStyle w:val="ListParagraph"/>
        <w:numPr>
          <w:ilvl w:val="0"/>
          <w:numId w:val="2"/>
        </w:numPr>
        <w:spacing w:after="80"/>
      </w:pPr>
      <w:r>
        <w:rPr>
          <w:rFonts w:ascii="Arial" w:cs="Arial" w:eastAsia="Arial" w:hAnsi="Arial"/>
          <w:b w:val="false"/>
          <w:bCs w:val="false"/>
          <w:sz w:val="22"/>
          <w:szCs w:val="22"/>
        </w:rPr>
        <w:t xml:space="preserve">You are redirected to the deal detail page with a “Email sent and logged to HubSpot” confirmation.</w:t>
      </w:r>
    </w:p>
    <w:p>
      <w:pPr>
        <w:pStyle w:val="ListParagraph"/>
        <w:numPr>
          <w:ilvl w:val="0"/>
          <w:numId w:val="2"/>
        </w:numPr>
        <w:spacing w:after="80"/>
      </w:pPr>
      <w:r>
        <w:rPr>
          <w:rFonts w:ascii="Arial" w:cs="Arial" w:eastAsia="Arial" w:hAnsi="Arial"/>
          <w:b w:val="false"/>
          <w:bCs w:val="false"/>
          <w:sz w:val="22"/>
          <w:szCs w:val="22"/>
        </w:rPr>
        <w:t xml:space="preserve">The HubSpot email engagement appears on the deal timeline after the next sync (~30 seconds).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0"/>
        </w:tblCellMar>
      </w:tblPr>
      <w:tblGrid>
        <w:gridCol w:w="320"/>
        <w:gridCol w:w="9040"/>
      </w:tblGrid>
      <w:tr>
        <w:tc>
          <w:tcPr>
            <w:tcW w:type="dxa" w:w="320"/>
            <w:tcBorders>
              <w:top w:val="single" w:color="B84C00" w:sz="4"/>
              <w:left w:val="single" w:color="B84C00" w:sz="4"/>
              <w:bottom w:val="single" w:color="B84C00" w:sz="4"/>
              <w:right w:val="single" w:color="B84C00" w:sz="4"/>
            </w:tcBorders>
            <w:shd w:fill="B84C00" w:val="clear"/>
            <w:tcMar>
              <w:top w:type="dxa" w:w="100"/>
              <w:left w:type="dxa" w:w="120"/>
              <w:bottom w:type="dxa" w:w="100"/>
              <w:right w:type="dxa" w:w="80"/>
            </w:tcMar>
            <w:vAlign w:val="center"/>
          </w:tcPr>
          <w:p>
            <w:pPr>
              <w:jc w:val="center"/>
            </w:pPr>
            <w:r>
              <w:rPr>
                <w:rFonts w:ascii="Arial" w:cs="Arial" w:eastAsia="Arial" w:hAnsi="Arial"/>
                <w:b/>
                <w:bCs/>
                <w:color w:val="FFFFFF"/>
                <w:sz w:val="20"/>
                <w:szCs w:val="20"/>
              </w:rPr>
              <w:t xml:space="preserve">⚠</w:t>
            </w:r>
          </w:p>
        </w:tc>
        <w:tc>
          <w:tcPr>
            <w:tcW w:type="dxa" w:w="9040"/>
            <w:tcBorders>
              <w:top w:val="single" w:color="B84C00" w:sz="4"/>
              <w:left w:val="single" w:color="B84C00" w:sz="4"/>
              <w:bottom w:val="single" w:color="B84C00" w:sz="4"/>
              <w:right w:val="single" w:color="B84C00" w:sz="4"/>
            </w:tcBorders>
            <w:shd w:fill="F0FAF5" w:val="clear"/>
            <w:tcMar>
              <w:top w:type="dxa" w:w="100"/>
              <w:left w:type="dxa" w:w="160"/>
              <w:bottom w:type="dxa" w:w="100"/>
              <w:right w:type="dxa" w:w="120"/>
            </w:tcMar>
          </w:tcPr>
          <w:p>
            <w:pPr>
              <w:spacing w:after="0"/>
            </w:pPr>
            <w:r>
              <w:rPr>
                <w:rFonts w:ascii="Arial" w:cs="Arial" w:eastAsia="Arial" w:hAnsi="Arial"/>
                <w:sz w:val="20"/>
                <w:szCs w:val="20"/>
              </w:rPr>
              <w:t xml:space="preserve">The Confirm &amp; Send button sends a real email to the prospect. There is no undo. Double-check the recipient address before confirming.</w:t>
            </w:r>
          </w:p>
        </w:tc>
      </w:tr>
    </w:tbl>
    <w:p>
      <w:pPr>
        <w:spacing w:after="200"/>
      </w:pPr>
      <w:r>
        <w:t xml:space="preserve"/>
      </w:r>
    </w:p>
    <w:p>
      <w:r>
        <w:br w:type="page"/>
      </w:r>
    </w:p>
    <w:p>
      <w:pPr>
        <w:pStyle w:val="Heading1"/>
        <w:spacing w:after="180" w:before="360"/>
      </w:pPr>
      <w:r>
        <w:rPr>
          <w:rFonts w:ascii="Arial" w:cs="Arial" w:eastAsia="Arial" w:hAnsi="Arial"/>
          <w:b/>
          <w:bCs/>
          <w:color w:val="2B3644"/>
          <w:sz w:val="36"/>
          <w:szCs w:val="36"/>
        </w:rPr>
        <w:t xml:space="preserve">8  Suggested Daily Workflow</w:t>
      </w:r>
    </w:p>
    <w:p>
      <w:pPr>
        <w:spacing w:after="120"/>
      </w:pPr>
      <w:r>
        <w:rPr>
          <w:rFonts w:ascii="Arial" w:cs="Arial" w:eastAsia="Arial" w:hAnsi="Arial"/>
          <w:b w:val="false"/>
          <w:bCs w:val="false"/>
          <w:color w:val="2B3644"/>
          <w:sz w:val="22"/>
          <w:szCs w:val="22"/>
        </w:rPr>
        <w:t xml:space="preserve">Here is the recommended daily routine for each sales rep:</w:t>
      </w:r>
    </w:p>
    <w:p>
      <w:pPr>
        <w:spacing w:after="120"/>
      </w:pPr>
      <w:r>
        <w:t xml:space="preserve"/>
      </w:r>
    </w:p>
    <w:p>
      <w:pPr>
        <w:pStyle w:val="Heading2"/>
        <w:spacing w:after="140" w:before="280"/>
      </w:pPr>
      <w:r>
        <w:rPr>
          <w:rFonts w:ascii="Arial" w:cs="Arial" w:eastAsia="Arial" w:hAnsi="Arial"/>
          <w:b/>
          <w:bCs/>
          <w:color w:val="2B3644"/>
          <w:sz w:val="28"/>
          <w:szCs w:val="28"/>
        </w:rPr>
        <w:t xml:space="preserve">Morning (5 minutes)</w:t>
      </w:r>
    </w:p>
    <w:p>
      <w:pPr>
        <w:pStyle w:val="ListParagraph"/>
        <w:numPr>
          <w:ilvl w:val="0"/>
          <w:numId w:val="3"/>
        </w:numPr>
        <w:spacing w:after="80"/>
      </w:pPr>
      <w:r>
        <w:rPr>
          <w:rFonts w:ascii="Arial" w:cs="Arial" w:eastAsia="Arial" w:hAnsi="Arial"/>
          <w:sz w:val="22"/>
          <w:szCs w:val="22"/>
        </w:rPr>
        <w:t xml:space="preserve">Go to Admin &gt; Sales &gt; Deals.</w:t>
      </w:r>
    </w:p>
    <w:p>
      <w:pPr>
        <w:pStyle w:val="ListParagraph"/>
        <w:numPr>
          <w:ilvl w:val="0"/>
          <w:numId w:val="3"/>
        </w:numPr>
        <w:spacing w:after="80"/>
      </w:pPr>
      <w:r>
        <w:rPr>
          <w:rFonts w:ascii="Arial" w:cs="Arial" w:eastAsia="Arial" w:hAnsi="Arial"/>
          <w:sz w:val="22"/>
          <w:szCs w:val="22"/>
        </w:rPr>
        <w:t xml:space="preserve">Scan the top bucket (Past close date). Approve any pending push-close-date actions directly on the deal detail pages, or run a cleanup.</w:t>
      </w:r>
    </w:p>
    <w:p>
      <w:pPr>
        <w:pStyle w:val="ListParagraph"/>
        <w:numPr>
          <w:ilvl w:val="0"/>
          <w:numId w:val="3"/>
        </w:numPr>
        <w:spacing w:after="80"/>
      </w:pPr>
      <w:r>
        <w:rPr>
          <w:rFonts w:ascii="Arial" w:cs="Arial" w:eastAsia="Arial" w:hAnsi="Arial"/>
          <w:sz w:val="22"/>
          <w:szCs w:val="22"/>
        </w:rPr>
        <w:t xml:space="preserve">Look for ⚠ stale badges. Any deal with a stale badge has not heard from the prospect in 14+ days — open it and draft a follow-up.</w:t>
      </w:r>
    </w:p>
    <w:p>
      <w:pPr>
        <w:pStyle w:val="ListParagraph"/>
        <w:numPr>
          <w:ilvl w:val="0"/>
          <w:numId w:val="3"/>
        </w:numPr>
        <w:spacing w:after="80"/>
      </w:pPr>
      <w:r>
        <w:rPr>
          <w:rFonts w:ascii="Arial" w:cs="Arial" w:eastAsia="Arial" w:hAnsi="Arial"/>
          <w:sz w:val="22"/>
          <w:szCs w:val="22"/>
        </w:rPr>
        <w:t xml:space="preserve">Check the Closing this week bucket and confirm your highest-priority deals have no missing flags.</w:t>
      </w:r>
    </w:p>
    <w:p>
      <w:pPr>
        <w:spacing w:after="120"/>
      </w:pPr>
      <w:r>
        <w:t xml:space="preserve"/>
      </w:r>
    </w:p>
    <w:p>
      <w:pPr>
        <w:pStyle w:val="Heading2"/>
        <w:spacing w:after="140" w:before="280"/>
      </w:pPr>
      <w:r>
        <w:rPr>
          <w:rFonts w:ascii="Arial" w:cs="Arial" w:eastAsia="Arial" w:hAnsi="Arial"/>
          <w:b/>
          <w:bCs/>
          <w:color w:val="2B3644"/>
          <w:sz w:val="28"/>
          <w:szCs w:val="28"/>
        </w:rPr>
        <w:t xml:space="preserve">Weekly (Monday, 5 minutes)</w:t>
      </w:r>
    </w:p>
    <w:p>
      <w:pPr>
        <w:pStyle w:val="ListParagraph"/>
        <w:numPr>
          <w:ilvl w:val="0"/>
          <w:numId w:val="3"/>
        </w:numPr>
        <w:spacing w:after="80"/>
      </w:pPr>
      <w:r>
        <w:rPr>
          <w:rFonts w:ascii="Arial" w:cs="Arial" w:eastAsia="Arial" w:hAnsi="Arial"/>
          <w:sz w:val="22"/>
          <w:szCs w:val="22"/>
        </w:rPr>
        <w:t xml:space="preserve">Click Run cleanup → on the Deal Board.</w:t>
      </w:r>
    </w:p>
    <w:p>
      <w:pPr>
        <w:pStyle w:val="ListParagraph"/>
        <w:numPr>
          <w:ilvl w:val="0"/>
          <w:numId w:val="3"/>
        </w:numPr>
        <w:spacing w:after="80"/>
      </w:pPr>
      <w:r>
        <w:rPr>
          <w:rFonts w:ascii="Arial" w:cs="Arial" w:eastAsia="Arial" w:hAnsi="Arial"/>
          <w:sz w:val="22"/>
          <w:szCs w:val="22"/>
        </w:rPr>
        <w:t xml:space="preserve">Select all actions in the Cleanup Queue and click Apply selected.</w:t>
      </w:r>
    </w:p>
    <w:p>
      <w:pPr>
        <w:pStyle w:val="ListParagraph"/>
        <w:numPr>
          <w:ilvl w:val="0"/>
          <w:numId w:val="3"/>
        </w:numPr>
        <w:spacing w:after="80"/>
      </w:pPr>
      <w:r>
        <w:rPr>
          <w:rFonts w:ascii="Arial" w:cs="Arial" w:eastAsia="Arial" w:hAnsi="Arial"/>
          <w:sz w:val="22"/>
          <w:szCs w:val="22"/>
        </w:rPr>
        <w:t xml:space="preserve">This resets overdue close dates, syncs amounts from line items, and advances stages where prospects have replied.</w:t>
      </w:r>
    </w:p>
    <w:p>
      <w:pPr>
        <w:spacing w:after="120"/>
      </w:pPr>
      <w:r>
        <w:t xml:space="preserve"/>
      </w:r>
    </w:p>
    <w:p>
      <w:pPr>
        <w:pStyle w:val="Heading2"/>
        <w:spacing w:after="140" w:before="280"/>
      </w:pPr>
      <w:r>
        <w:rPr>
          <w:rFonts w:ascii="Arial" w:cs="Arial" w:eastAsia="Arial" w:hAnsi="Arial"/>
          <w:b/>
          <w:bCs/>
          <w:color w:val="2B3644"/>
          <w:sz w:val="28"/>
          <w:szCs w:val="28"/>
        </w:rPr>
        <w:t xml:space="preserve">When a Prospect Replies</w:t>
      </w:r>
    </w:p>
    <w:p>
      <w:pPr>
        <w:pStyle w:val="ListParagraph"/>
        <w:numPr>
          <w:ilvl w:val="0"/>
          <w:numId w:val="3"/>
        </w:numPr>
        <w:spacing w:after="80"/>
      </w:pPr>
      <w:r>
        <w:rPr>
          <w:rFonts w:ascii="Arial" w:cs="Arial" w:eastAsia="Arial" w:hAnsi="Arial"/>
          <w:sz w:val="22"/>
          <w:szCs w:val="22"/>
        </w:rPr>
        <w:t xml:space="preserve">Gmail syncs inbound mail automatically every ~15 minutes.</w:t>
      </w:r>
    </w:p>
    <w:p>
      <w:pPr>
        <w:pStyle w:val="ListParagraph"/>
        <w:numPr>
          <w:ilvl w:val="0"/>
          <w:numId w:val="3"/>
        </w:numPr>
        <w:spacing w:after="80"/>
      </w:pPr>
      <w:r>
        <w:rPr>
          <w:rFonts w:ascii="Arial" w:cs="Arial" w:eastAsia="Arial" w:hAnsi="Arial"/>
          <w:sz w:val="22"/>
          <w:szCs w:val="22"/>
        </w:rPr>
        <w:t xml:space="preserve">The deal’s stale badge clears and the reply appears in the activity timeline.</w:t>
      </w:r>
    </w:p>
    <w:p>
      <w:pPr>
        <w:pStyle w:val="ListParagraph"/>
        <w:numPr>
          <w:ilvl w:val="0"/>
          <w:numId w:val="3"/>
        </w:numPr>
        <w:spacing w:after="80"/>
      </w:pPr>
      <w:r>
        <w:rPr>
          <w:rFonts w:ascii="Arial" w:cs="Arial" w:eastAsia="Arial" w:hAnsi="Arial"/>
          <w:sz w:val="22"/>
          <w:szCs w:val="22"/>
        </w:rPr>
        <w:t xml:space="preserve">If a stage-move action appears on the deal detail, approve it to advance the pipeline.</w:t>
      </w:r>
    </w:p>
    <w:p>
      <w:pPr>
        <w:pStyle w:val="ListParagraph"/>
        <w:numPr>
          <w:ilvl w:val="0"/>
          <w:numId w:val="3"/>
        </w:numPr>
        <w:spacing w:after="80"/>
      </w:pPr>
      <w:r>
        <w:rPr>
          <w:rFonts w:ascii="Arial" w:cs="Arial" w:eastAsia="Arial" w:hAnsi="Arial"/>
          <w:sz w:val="22"/>
          <w:szCs w:val="22"/>
        </w:rPr>
        <w:t xml:space="preserve">Use Draft follow-up to craft and send your response directly from the deal page.</w:t>
      </w:r>
    </w:p>
    <w:p>
      <w:pPr>
        <w:spacing w:after="200"/>
      </w:pPr>
      <w:r>
        <w:t xml:space="preserve"/>
      </w:r>
    </w:p>
    <w:p>
      <w:r>
        <w:br w:type="page"/>
      </w:r>
    </w:p>
    <w:p>
      <w:pPr>
        <w:pStyle w:val="Heading1"/>
        <w:spacing w:after="180" w:before="360"/>
      </w:pPr>
      <w:r>
        <w:rPr>
          <w:rFonts w:ascii="Arial" w:cs="Arial" w:eastAsia="Arial" w:hAnsi="Arial"/>
          <w:b/>
          <w:bCs/>
          <w:color w:val="2B3644"/>
          <w:sz w:val="36"/>
          <w:szCs w:val="36"/>
        </w:rPr>
        <w:t xml:space="preserve">9  Frequently Asked Questions</w:t>
      </w:r>
    </w:p>
    <w:p>
      <w:pPr>
        <w:spacing w:after="80"/>
      </w:pPr>
      <w:r>
        <w:t xml:space="preserve"/>
      </w:r>
    </w:p>
    <w:p>
      <w:pPr>
        <w:pStyle w:val="Heading2"/>
        <w:spacing w:after="140" w:before="280"/>
      </w:pPr>
      <w:r>
        <w:rPr>
          <w:rFonts w:ascii="Arial" w:cs="Arial" w:eastAsia="Arial" w:hAnsi="Arial"/>
          <w:b/>
          <w:bCs/>
          <w:color w:val="2B3644"/>
          <w:sz w:val="28"/>
          <w:szCs w:val="28"/>
        </w:rPr>
        <w:t xml:space="preserve">The board is not showing my latest HubSpot deals.</w:t>
      </w:r>
    </w:p>
    <w:p>
      <w:pPr>
        <w:spacing w:after="120"/>
      </w:pPr>
      <w:r>
        <w:rPr>
          <w:rFonts w:ascii="Arial" w:cs="Arial" w:eastAsia="Arial" w:hAnsi="Arial"/>
          <w:b w:val="false"/>
          <w:bCs w:val="false"/>
          <w:color w:val="2B3644"/>
          <w:sz w:val="22"/>
          <w:szCs w:val="22"/>
        </w:rPr>
        <w:t xml:space="preserve">Click Sync now on the deal board toolbar. The board syncs on page load, but a manual trigger is faster. If deals are still missing after a sync, check that your HUBSPOT_API_TOKEN is set on Render and has the correct CRM read scopes.</w:t>
      </w:r>
    </w:p>
    <w:p>
      <w:pPr>
        <w:spacing w:after="120"/>
      </w:pPr>
      <w:r>
        <w:t xml:space="preserve"/>
      </w:r>
    </w:p>
    <w:p>
      <w:pPr>
        <w:pStyle w:val="Heading2"/>
        <w:spacing w:after="140" w:before="280"/>
      </w:pPr>
      <w:r>
        <w:rPr>
          <w:rFonts w:ascii="Arial" w:cs="Arial" w:eastAsia="Arial" w:hAnsi="Arial"/>
          <w:b/>
          <w:bCs/>
          <w:color w:val="2B3644"/>
          <w:sz w:val="28"/>
          <w:szCs w:val="28"/>
        </w:rPr>
        <w:t xml:space="preserve">I approved an action but the deal still shows the old data.</w:t>
      </w:r>
    </w:p>
    <w:p>
      <w:pPr>
        <w:spacing w:after="120"/>
      </w:pPr>
      <w:r>
        <w:rPr>
          <w:rFonts w:ascii="Arial" w:cs="Arial" w:eastAsia="Arial" w:hAnsi="Arial"/>
          <w:b w:val="false"/>
          <w:bCs w:val="false"/>
          <w:color w:val="2B3644"/>
          <w:sz w:val="22"/>
          <w:szCs w:val="22"/>
        </w:rPr>
        <w:t xml:space="preserve">The approved change was pushed to HubSpot. The Anata mirror updates on the next sync. Wait ~30 seconds and reload the deal board. If the change is not reflected after a manual Sync now, check the deal in HubSpot directly to confirm the write succeeded.</w:t>
      </w:r>
    </w:p>
    <w:p>
      <w:pPr>
        <w:spacing w:after="120"/>
      </w:pPr>
      <w:r>
        <w:t xml:space="preserve"/>
      </w:r>
    </w:p>
    <w:p>
      <w:pPr>
        <w:pStyle w:val="Heading2"/>
        <w:spacing w:after="140" w:before="280"/>
      </w:pPr>
      <w:r>
        <w:rPr>
          <w:rFonts w:ascii="Arial" w:cs="Arial" w:eastAsia="Arial" w:hAnsi="Arial"/>
          <w:b/>
          <w:bCs/>
          <w:color w:val="2B3644"/>
          <w:sz w:val="28"/>
          <w:szCs w:val="28"/>
        </w:rPr>
        <w:t xml:space="preserve">The Send via Anata button is grey / not showing.</w:t>
      </w:r>
    </w:p>
    <w:p>
      <w:pPr>
        <w:spacing w:after="120"/>
      </w:pPr>
      <w:r>
        <w:rPr>
          <w:rFonts w:ascii="Arial" w:cs="Arial" w:eastAsia="Arial" w:hAnsi="Arial"/>
          <w:b w:val="false"/>
          <w:bCs w:val="false"/>
          <w:color w:val="2B3644"/>
          <w:sz w:val="22"/>
          <w:szCs w:val="22"/>
        </w:rPr>
        <w:t xml:space="preserve">Gmail is not configured for your workspace. Contact David to confirm the GMAIL_SERVICE_ACCOUNT_JSON environment variable is set on Render and that domain-wide delegation is enabled for your Google Workspace.</w:t>
      </w:r>
    </w:p>
    <w:p>
      <w:pPr>
        <w:spacing w:after="120"/>
      </w:pPr>
      <w:r>
        <w:t xml:space="preserve"/>
      </w:r>
    </w:p>
    <w:p>
      <w:pPr>
        <w:pStyle w:val="Heading2"/>
        <w:spacing w:after="140" w:before="280"/>
      </w:pPr>
      <w:r>
        <w:rPr>
          <w:rFonts w:ascii="Arial" w:cs="Arial" w:eastAsia="Arial" w:hAnsi="Arial"/>
          <w:b/>
          <w:bCs/>
          <w:color w:val="2B3644"/>
          <w:sz w:val="28"/>
          <w:szCs w:val="28"/>
        </w:rPr>
        <w:t xml:space="preserve">A deal has a ⚠ stale badge but I sent an email last week.</w:t>
      </w:r>
    </w:p>
    <w:p>
      <w:pPr>
        <w:spacing w:after="120"/>
      </w:pPr>
      <w:r>
        <w:rPr>
          <w:rFonts w:ascii="Arial" w:cs="Arial" w:eastAsia="Arial" w:hAnsi="Arial"/>
          <w:b w:val="false"/>
          <w:bCs w:val="false"/>
          <w:color w:val="2B3644"/>
          <w:sz w:val="22"/>
          <w:szCs w:val="22"/>
        </w:rPr>
        <w:t xml:space="preserve">The stale badge is based on inbound replies from the prospect, not outbound emails you send. If you sent mail but have not received a reply yet, the badge is correct. Once the prospect replies and Gmail syncs, the badge will clear automatically.</w:t>
      </w:r>
    </w:p>
    <w:p>
      <w:pPr>
        <w:spacing w:after="120"/>
      </w:pPr>
      <w:r>
        <w:t xml:space="preserve"/>
      </w:r>
    </w:p>
    <w:p>
      <w:pPr>
        <w:pStyle w:val="Heading2"/>
        <w:spacing w:after="140" w:before="280"/>
      </w:pPr>
      <w:r>
        <w:rPr>
          <w:rFonts w:ascii="Arial" w:cs="Arial" w:eastAsia="Arial" w:hAnsi="Arial"/>
          <w:b/>
          <w:bCs/>
          <w:color w:val="2B3644"/>
          <w:sz w:val="28"/>
          <w:szCs w:val="28"/>
        </w:rPr>
        <w:t xml:space="preserve">I can’t see all deals — only mine.</w:t>
      </w:r>
    </w:p>
    <w:p>
      <w:pPr>
        <w:spacing w:after="120"/>
      </w:pPr>
      <w:r>
        <w:rPr>
          <w:rFonts w:ascii="Arial" w:cs="Arial" w:eastAsia="Arial" w:hAnsi="Arial"/>
          <w:b w:val="false"/>
          <w:bCs w:val="false"/>
          <w:color w:val="2B3644"/>
          <w:sz w:val="22"/>
          <w:szCs w:val="22"/>
        </w:rPr>
        <w:t xml:space="preserve">You may have the My deals filter active. Click All deals tab at the top of the board to see the full pipeline.</w:t>
      </w:r>
    </w:p>
    <w:p>
      <w:pPr>
        <w:spacing w:after="120"/>
      </w:pPr>
      <w:r>
        <w:t xml:space="preserve"/>
      </w:r>
    </w:p>
    <w:p>
      <w:pPr>
        <w:pStyle w:val="Heading2"/>
        <w:spacing w:after="140" w:before="280"/>
      </w:pPr>
      <w:r>
        <w:rPr>
          <w:rFonts w:ascii="Arial" w:cs="Arial" w:eastAsia="Arial" w:hAnsi="Arial"/>
          <w:b/>
          <w:bCs/>
          <w:color w:val="2B3644"/>
          <w:sz w:val="28"/>
          <w:szCs w:val="28"/>
        </w:rPr>
        <w:t xml:space="preserve">An action I approved in the Cleanup Queue failed.</w:t>
      </w:r>
    </w:p>
    <w:p>
      <w:pPr>
        <w:spacing w:after="120"/>
      </w:pPr>
      <w:r>
        <w:rPr>
          <w:rFonts w:ascii="Arial" w:cs="Arial" w:eastAsia="Arial" w:hAnsi="Arial"/>
          <w:b w:val="false"/>
          <w:bCs w:val="false"/>
          <w:color w:val="2B3644"/>
          <w:sz w:val="22"/>
          <w:szCs w:val="22"/>
        </w:rPr>
        <w:t xml:space="preserve">The Cleanup Queue shows applied=N and failed=M in the confirmation flash. Failed actions were not applied to HubSpot. The most common cause is a HubSpot API error or an invalid property value. Try approving the action individually from the deal detail page, which shows the full error message.</w:t>
      </w:r>
    </w:p>
    <w:p>
      <w:pPr>
        <w:spacing w:after="200"/>
      </w:pPr>
      <w:r>
        <w:t xml:space="preserve"/>
      </w:r>
    </w:p>
    <w:p>
      <w:r>
        <w:br w:type="page"/>
      </w:r>
    </w:p>
    <w:p>
      <w:pPr>
        <w:pStyle w:val="Heading1"/>
        <w:spacing w:after="180" w:before="360"/>
      </w:pPr>
      <w:r>
        <w:rPr>
          <w:rFonts w:ascii="Arial" w:cs="Arial" w:eastAsia="Arial" w:hAnsi="Arial"/>
          <w:b/>
          <w:bCs/>
          <w:color w:val="2B3644"/>
          <w:sz w:val="36"/>
          <w:szCs w:val="36"/>
        </w:rPr>
        <w:t xml:space="preserve">10  Quick Reference</w:t>
      </w:r>
    </w:p>
    <w:p>
      <w:pPr>
        <w:spacing w:after="80"/>
      </w:pPr>
      <w:r>
        <w:t xml:space="preserve"/>
      </w:r>
    </w:p>
    <w:p>
      <w:pPr>
        <w:pStyle w:val="Heading2"/>
        <w:spacing w:after="140" w:before="280"/>
      </w:pPr>
      <w:r>
        <w:rPr>
          <w:rFonts w:ascii="Arial" w:cs="Arial" w:eastAsia="Arial" w:hAnsi="Arial"/>
          <w:b/>
          <w:bCs/>
          <w:color w:val="2B3644"/>
          <w:sz w:val="28"/>
          <w:szCs w:val="28"/>
        </w:rPr>
        <w:t xml:space="preserve">Page URLs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5E0EE" w:sz="4"/>
              <w:left w:val="single" w:color="D5E0EE" w:sz="4"/>
              <w:bottom w:val="single" w:color="D5E0EE" w:sz="4"/>
              <w:right w:val="single" w:color="D5E0EE" w:sz="4"/>
            </w:tcBorders>
            <w:shd w:fill="2B3644" w:val="clear"/>
            <w:tcMar>
              <w:top w:type="dxa" w:w="80"/>
              <w:left w:type="dxa" w:w="160"/>
              <w:bottom w:type="dxa" w:w="80"/>
              <w:right w:type="dxa" w:w="120"/>
            </w:tcMar>
          </w:tcPr>
          <w:p>
            <w:pPr>
              <w:spacing w:after="0"/>
            </w:pPr>
            <w:r>
              <w:rPr>
                <w:rFonts w:ascii="Arial" w:cs="Arial" w:eastAsia="Arial" w:hAnsi="Arial"/>
                <w:b/>
                <w:bCs/>
                <w:color w:val="FFFFFF"/>
                <w:sz w:val="20"/>
                <w:szCs w:val="20"/>
              </w:rPr>
              <w:t xml:space="preserve">Page</w:t>
            </w:r>
          </w:p>
        </w:tc>
        <w:tc>
          <w:tcPr>
            <w:tcW w:type="dxa" w:w="6960"/>
            <w:tcBorders>
              <w:top w:val="single" w:color="D5E0EE" w:sz="4"/>
              <w:left w:val="single" w:color="D5E0EE" w:sz="4"/>
              <w:bottom w:val="single" w:color="D5E0EE" w:sz="4"/>
              <w:right w:val="single" w:color="D5E0EE" w:sz="4"/>
            </w:tcBorders>
            <w:shd w:fill="F5F8FF" w:val="clear"/>
            <w:tcMar>
              <w:top w:type="dxa" w:w="80"/>
              <w:left w:type="dxa" w:w="160"/>
              <w:bottom w:type="dxa" w:w="80"/>
              <w:right w:type="dxa" w:w="120"/>
            </w:tcMar>
          </w:tcPr>
          <w:p>
            <w:pPr>
              <w:spacing w:after="0"/>
            </w:pPr>
            <w:r>
              <w:rPr>
                <w:rFonts w:ascii="Arial" w:cs="Arial" w:eastAsia="Arial" w:hAnsi="Arial"/>
                <w:color w:val="2B3644"/>
                <w:sz w:val="20"/>
                <w:szCs w:val="20"/>
              </w:rPr>
              <w:t xml:space="preserve">URL</w:t>
            </w:r>
          </w:p>
        </w:tc>
      </w:tr>
      <w:tr>
        <w:tc>
          <w:tcPr>
            <w:tcW w:type="dxa" w:w="2400"/>
            <w:tcBorders>
              <w:top w:val="single" w:color="D5E0EE" w:sz="4"/>
              <w:left w:val="single" w:color="D5E0EE" w:sz="4"/>
              <w:bottom w:val="single" w:color="D5E0EE" w:sz="4"/>
              <w:right w:val="single" w:color="D5E0EE" w:sz="4"/>
            </w:tcBorders>
            <w:shd w:fill="EFF3F9" w:val="clear"/>
            <w:tcMar>
              <w:top w:type="dxa" w:w="80"/>
              <w:left w:type="dxa" w:w="160"/>
              <w:bottom w:type="dxa" w:w="80"/>
              <w:right w:type="dxa" w:w="120"/>
            </w:tcMar>
          </w:tcPr>
          <w:p>
            <w:pPr>
              <w:spacing w:after="0"/>
            </w:pPr>
            <w:r>
              <w:rPr>
                <w:rFonts w:ascii="Arial" w:cs="Arial" w:eastAsia="Arial" w:hAnsi="Arial"/>
                <w:b/>
                <w:bCs/>
                <w:color w:val="2B3644"/>
                <w:sz w:val="20"/>
                <w:szCs w:val="20"/>
              </w:rPr>
              <w:t xml:space="preserve">Deal Board</w:t>
            </w:r>
          </w:p>
        </w:tc>
        <w:tc>
          <w:tcPr>
            <w:tcW w:type="dxa" w:w="6960"/>
            <w:tcBorders>
              <w:top w:val="single" w:color="D5E0EE" w:sz="4"/>
              <w:left w:val="single" w:color="D5E0EE" w:sz="4"/>
              <w:bottom w:val="single" w:color="D5E0EE" w:sz="4"/>
              <w:right w:val="single" w:color="D5E0EE" w:sz="4"/>
            </w:tcBorders>
            <w:shd w:fill="FFFFFF" w:val="clear"/>
            <w:tcMar>
              <w:top w:type="dxa" w:w="80"/>
              <w:left w:type="dxa" w:w="160"/>
              <w:bottom w:type="dxa" w:w="80"/>
              <w:right w:type="dxa" w:w="120"/>
            </w:tcMar>
          </w:tcPr>
          <w:p>
            <w:pPr>
              <w:spacing w:after="0"/>
            </w:pPr>
            <w:r>
              <w:rPr>
                <w:rFonts w:ascii="Arial" w:cs="Arial" w:eastAsia="Arial" w:hAnsi="Arial"/>
                <w:color w:val="2B3644"/>
                <w:sz w:val="20"/>
                <w:szCs w:val="20"/>
              </w:rPr>
              <w:t xml:space="preserve">/admin/sales/deals</w:t>
            </w:r>
          </w:p>
        </w:tc>
      </w:tr>
      <w:tr>
        <w:tc>
          <w:tcPr>
            <w:tcW w:type="dxa" w:w="2400"/>
            <w:tcBorders>
              <w:top w:val="single" w:color="D5E0EE" w:sz="4"/>
              <w:left w:val="single" w:color="D5E0EE" w:sz="4"/>
              <w:bottom w:val="single" w:color="D5E0EE" w:sz="4"/>
              <w:right w:val="single" w:color="D5E0EE" w:sz="4"/>
            </w:tcBorders>
            <w:shd w:fill="EFF3F9" w:val="clear"/>
            <w:tcMar>
              <w:top w:type="dxa" w:w="80"/>
              <w:left w:type="dxa" w:w="160"/>
              <w:bottom w:type="dxa" w:w="80"/>
              <w:right w:type="dxa" w:w="120"/>
            </w:tcMar>
          </w:tcPr>
          <w:p>
            <w:pPr>
              <w:spacing w:after="0"/>
            </w:pPr>
            <w:r>
              <w:rPr>
                <w:rFonts w:ascii="Arial" w:cs="Arial" w:eastAsia="Arial" w:hAnsi="Arial"/>
                <w:b/>
                <w:bCs/>
                <w:color w:val="2B3644"/>
                <w:sz w:val="20"/>
                <w:szCs w:val="20"/>
              </w:rPr>
              <w:t xml:space="preserve">My Deals</w:t>
            </w:r>
          </w:p>
        </w:tc>
        <w:tc>
          <w:tcPr>
            <w:tcW w:type="dxa" w:w="6960"/>
            <w:tcBorders>
              <w:top w:val="single" w:color="D5E0EE" w:sz="4"/>
              <w:left w:val="single" w:color="D5E0EE" w:sz="4"/>
              <w:bottom w:val="single" w:color="D5E0EE" w:sz="4"/>
              <w:right w:val="single" w:color="D5E0EE" w:sz="4"/>
            </w:tcBorders>
            <w:shd w:fill="FFFFFF" w:val="clear"/>
            <w:tcMar>
              <w:top w:type="dxa" w:w="80"/>
              <w:left w:type="dxa" w:w="160"/>
              <w:bottom w:type="dxa" w:w="80"/>
              <w:right w:type="dxa" w:w="120"/>
            </w:tcMar>
          </w:tcPr>
          <w:p>
            <w:pPr>
              <w:spacing w:after="0"/>
            </w:pPr>
            <w:r>
              <w:rPr>
                <w:rFonts w:ascii="Arial" w:cs="Arial" w:eastAsia="Arial" w:hAnsi="Arial"/>
                <w:color w:val="2B3644"/>
                <w:sz w:val="20"/>
                <w:szCs w:val="20"/>
              </w:rPr>
              <w:t xml:space="preserve">/admin/sales/deals?my=1</w:t>
            </w:r>
          </w:p>
        </w:tc>
      </w:tr>
      <w:tr>
        <w:tc>
          <w:tcPr>
            <w:tcW w:type="dxa" w:w="2400"/>
            <w:tcBorders>
              <w:top w:val="single" w:color="D5E0EE" w:sz="4"/>
              <w:left w:val="single" w:color="D5E0EE" w:sz="4"/>
              <w:bottom w:val="single" w:color="D5E0EE" w:sz="4"/>
              <w:right w:val="single" w:color="D5E0EE" w:sz="4"/>
            </w:tcBorders>
            <w:shd w:fill="EFF3F9" w:val="clear"/>
            <w:tcMar>
              <w:top w:type="dxa" w:w="80"/>
              <w:left w:type="dxa" w:w="160"/>
              <w:bottom w:type="dxa" w:w="80"/>
              <w:right w:type="dxa" w:w="120"/>
            </w:tcMar>
          </w:tcPr>
          <w:p>
            <w:pPr>
              <w:spacing w:after="0"/>
            </w:pPr>
            <w:r>
              <w:rPr>
                <w:rFonts w:ascii="Arial" w:cs="Arial" w:eastAsia="Arial" w:hAnsi="Arial"/>
                <w:b/>
                <w:bCs/>
                <w:color w:val="2B3644"/>
                <w:sz w:val="20"/>
                <w:szCs w:val="20"/>
              </w:rPr>
              <w:t xml:space="preserve">Deal Detail</w:t>
            </w:r>
          </w:p>
        </w:tc>
        <w:tc>
          <w:tcPr>
            <w:tcW w:type="dxa" w:w="6960"/>
            <w:tcBorders>
              <w:top w:val="single" w:color="D5E0EE" w:sz="4"/>
              <w:left w:val="single" w:color="D5E0EE" w:sz="4"/>
              <w:bottom w:val="single" w:color="D5E0EE" w:sz="4"/>
              <w:right w:val="single" w:color="D5E0EE" w:sz="4"/>
            </w:tcBorders>
            <w:shd w:fill="FFFFFF" w:val="clear"/>
            <w:tcMar>
              <w:top w:type="dxa" w:w="80"/>
              <w:left w:type="dxa" w:w="160"/>
              <w:bottom w:type="dxa" w:w="80"/>
              <w:right w:type="dxa" w:w="120"/>
            </w:tcMar>
          </w:tcPr>
          <w:p>
            <w:pPr>
              <w:spacing w:after="0"/>
            </w:pPr>
            <w:r>
              <w:rPr>
                <w:rFonts w:ascii="Arial" w:cs="Arial" w:eastAsia="Arial" w:hAnsi="Arial"/>
                <w:color w:val="2B3644"/>
                <w:sz w:val="20"/>
                <w:szCs w:val="20"/>
              </w:rPr>
              <w:t xml:space="preserve">/admin/sales/deals/{deal-id}</w:t>
            </w:r>
          </w:p>
        </w:tc>
      </w:tr>
      <w:tr>
        <w:tc>
          <w:tcPr>
            <w:tcW w:type="dxa" w:w="2400"/>
            <w:tcBorders>
              <w:top w:val="single" w:color="D5E0EE" w:sz="4"/>
              <w:left w:val="single" w:color="D5E0EE" w:sz="4"/>
              <w:bottom w:val="single" w:color="D5E0EE" w:sz="4"/>
              <w:right w:val="single" w:color="D5E0EE" w:sz="4"/>
            </w:tcBorders>
            <w:shd w:fill="EFF3F9" w:val="clear"/>
            <w:tcMar>
              <w:top w:type="dxa" w:w="80"/>
              <w:left w:type="dxa" w:w="160"/>
              <w:bottom w:type="dxa" w:w="80"/>
              <w:right w:type="dxa" w:w="120"/>
            </w:tcMar>
          </w:tcPr>
          <w:p>
            <w:pPr>
              <w:spacing w:after="0"/>
            </w:pPr>
            <w:r>
              <w:rPr>
                <w:rFonts w:ascii="Arial" w:cs="Arial" w:eastAsia="Arial" w:hAnsi="Arial"/>
                <w:b/>
                <w:bCs/>
                <w:color w:val="2B3644"/>
                <w:sz w:val="20"/>
                <w:szCs w:val="20"/>
              </w:rPr>
              <w:t xml:space="preserve">Draft Follow-Up</w:t>
            </w:r>
          </w:p>
        </w:tc>
        <w:tc>
          <w:tcPr>
            <w:tcW w:type="dxa" w:w="6960"/>
            <w:tcBorders>
              <w:top w:val="single" w:color="D5E0EE" w:sz="4"/>
              <w:left w:val="single" w:color="D5E0EE" w:sz="4"/>
              <w:bottom w:val="single" w:color="D5E0EE" w:sz="4"/>
              <w:right w:val="single" w:color="D5E0EE" w:sz="4"/>
            </w:tcBorders>
            <w:shd w:fill="FFFFFF" w:val="clear"/>
            <w:tcMar>
              <w:top w:type="dxa" w:w="80"/>
              <w:left w:type="dxa" w:w="160"/>
              <w:bottom w:type="dxa" w:w="80"/>
              <w:right w:type="dxa" w:w="120"/>
            </w:tcMar>
          </w:tcPr>
          <w:p>
            <w:pPr>
              <w:spacing w:after="0"/>
            </w:pPr>
            <w:r>
              <w:rPr>
                <w:rFonts w:ascii="Arial" w:cs="Arial" w:eastAsia="Arial" w:hAnsi="Arial"/>
                <w:color w:val="2B3644"/>
                <w:sz w:val="20"/>
                <w:szCs w:val="20"/>
              </w:rPr>
              <w:t xml:space="preserve">/admin/sales/deals/{deal-id}/draft-followup</w:t>
            </w:r>
          </w:p>
        </w:tc>
      </w:tr>
      <w:tr>
        <w:tc>
          <w:tcPr>
            <w:tcW w:type="dxa" w:w="2400"/>
            <w:tcBorders>
              <w:top w:val="single" w:color="D5E0EE" w:sz="4"/>
              <w:left w:val="single" w:color="D5E0EE" w:sz="4"/>
              <w:bottom w:val="single" w:color="D5E0EE" w:sz="4"/>
              <w:right w:val="single" w:color="D5E0EE" w:sz="4"/>
            </w:tcBorders>
            <w:shd w:fill="EFF3F9" w:val="clear"/>
            <w:tcMar>
              <w:top w:type="dxa" w:w="80"/>
              <w:left w:type="dxa" w:w="160"/>
              <w:bottom w:type="dxa" w:w="80"/>
              <w:right w:type="dxa" w:w="120"/>
            </w:tcMar>
          </w:tcPr>
          <w:p>
            <w:pPr>
              <w:spacing w:after="0"/>
            </w:pPr>
            <w:r>
              <w:rPr>
                <w:rFonts w:ascii="Arial" w:cs="Arial" w:eastAsia="Arial" w:hAnsi="Arial"/>
                <w:b/>
                <w:bCs/>
                <w:color w:val="2B3644"/>
                <w:sz w:val="20"/>
                <w:szCs w:val="20"/>
              </w:rPr>
              <w:t xml:space="preserve">Cleanup Queue</w:t>
            </w:r>
          </w:p>
        </w:tc>
        <w:tc>
          <w:tcPr>
            <w:tcW w:type="dxa" w:w="6960"/>
            <w:tcBorders>
              <w:top w:val="single" w:color="D5E0EE" w:sz="4"/>
              <w:left w:val="single" w:color="D5E0EE" w:sz="4"/>
              <w:bottom w:val="single" w:color="D5E0EE" w:sz="4"/>
              <w:right w:val="single" w:color="D5E0EE" w:sz="4"/>
            </w:tcBorders>
            <w:shd w:fill="FFFFFF" w:val="clear"/>
            <w:tcMar>
              <w:top w:type="dxa" w:w="80"/>
              <w:left w:type="dxa" w:w="160"/>
              <w:bottom w:type="dxa" w:w="80"/>
              <w:right w:type="dxa" w:w="120"/>
            </w:tcMar>
          </w:tcPr>
          <w:p>
            <w:pPr>
              <w:spacing w:after="0"/>
            </w:pPr>
            <w:r>
              <w:rPr>
                <w:rFonts w:ascii="Arial" w:cs="Arial" w:eastAsia="Arial" w:hAnsi="Arial"/>
                <w:color w:val="2B3644"/>
                <w:sz w:val="20"/>
                <w:szCs w:val="20"/>
              </w:rPr>
              <w:t xml:space="preserve">/admin/sales/deals/cleanup</w:t>
            </w:r>
          </w:p>
        </w:tc>
      </w:tr>
    </w:tbl>
    <w:p>
      <w:pPr>
        <w:spacing w:after="160"/>
      </w:pPr>
      <w:r>
        <w:t xml:space="preserve"/>
      </w:r>
    </w:p>
    <w:p>
      <w:pPr>
        <w:pStyle w:val="Heading2"/>
        <w:spacing w:after="140" w:before="280"/>
      </w:pPr>
      <w:r>
        <w:rPr>
          <w:rFonts w:ascii="Arial" w:cs="Arial" w:eastAsia="Arial" w:hAnsi="Arial"/>
          <w:b/>
          <w:bCs/>
          <w:color w:val="2B3644"/>
          <w:sz w:val="28"/>
          <w:szCs w:val="28"/>
        </w:rPr>
        <w:t xml:space="preserve">Badge &amp; Icon Legend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5E0EE" w:sz="4"/>
              <w:left w:val="single" w:color="D5E0EE" w:sz="4"/>
              <w:bottom w:val="single" w:color="D5E0EE" w:sz="4"/>
              <w:right w:val="single" w:color="D5E0EE" w:sz="4"/>
            </w:tcBorders>
            <w:shd w:fill="2B3644" w:val="clear"/>
            <w:tcMar>
              <w:top w:type="dxa" w:w="80"/>
              <w:left w:type="dxa" w:w="160"/>
              <w:bottom w:type="dxa" w:w="80"/>
              <w:right w:type="dxa" w:w="120"/>
            </w:tcMar>
          </w:tcPr>
          <w:p>
            <w:pPr>
              <w:spacing w:after="0"/>
            </w:pPr>
            <w:r>
              <w:rPr>
                <w:rFonts w:ascii="Arial" w:cs="Arial" w:eastAsia="Arial" w:hAnsi="Arial"/>
                <w:b/>
                <w:bCs/>
                <w:color w:val="FFFFFF"/>
                <w:sz w:val="20"/>
                <w:szCs w:val="20"/>
              </w:rPr>
              <w:t xml:space="preserve">Badge / Text</w:t>
            </w:r>
          </w:p>
        </w:tc>
        <w:tc>
          <w:tcPr>
            <w:tcW w:type="dxa" w:w="6960"/>
            <w:tcBorders>
              <w:top w:val="single" w:color="D5E0EE" w:sz="4"/>
              <w:left w:val="single" w:color="D5E0EE" w:sz="4"/>
              <w:bottom w:val="single" w:color="D5E0EE" w:sz="4"/>
              <w:right w:val="single" w:color="D5E0EE" w:sz="4"/>
            </w:tcBorders>
            <w:shd w:fill="F5F8FF" w:val="clear"/>
            <w:tcMar>
              <w:top w:type="dxa" w:w="80"/>
              <w:left w:type="dxa" w:w="160"/>
              <w:bottom w:type="dxa" w:w="80"/>
              <w:right w:type="dxa" w:w="120"/>
            </w:tcMar>
          </w:tcPr>
          <w:p>
            <w:pPr>
              <w:spacing w:after="0"/>
            </w:pPr>
            <w:r>
              <w:rPr>
                <w:rFonts w:ascii="Arial" w:cs="Arial" w:eastAsia="Arial" w:hAnsi="Arial"/>
                <w:color w:val="2B3644"/>
                <w:sz w:val="20"/>
                <w:szCs w:val="20"/>
              </w:rPr>
              <w:t xml:space="preserve">Meaning</w:t>
            </w:r>
          </w:p>
        </w:tc>
      </w:tr>
      <w:tr>
        <w:tc>
          <w:tcPr>
            <w:tcW w:type="dxa" w:w="2400"/>
            <w:tcBorders>
              <w:top w:val="single" w:color="D5E0EE" w:sz="4"/>
              <w:left w:val="single" w:color="D5E0EE" w:sz="4"/>
              <w:bottom w:val="single" w:color="D5E0EE" w:sz="4"/>
              <w:right w:val="single" w:color="D5E0EE" w:sz="4"/>
            </w:tcBorders>
            <w:shd w:fill="EFF3F9" w:val="clear"/>
            <w:tcMar>
              <w:top w:type="dxa" w:w="80"/>
              <w:left w:type="dxa" w:w="160"/>
              <w:bottom w:type="dxa" w:w="80"/>
              <w:right w:type="dxa" w:w="120"/>
            </w:tcMar>
          </w:tcPr>
          <w:p>
            <w:pPr>
              <w:spacing w:after="0"/>
            </w:pPr>
            <w:r>
              <w:rPr>
                <w:rFonts w:ascii="Arial" w:cs="Arial" w:eastAsia="Arial" w:hAnsi="Arial"/>
                <w:b/>
                <w:bCs/>
                <w:color w:val="2B3644"/>
                <w:sz w:val="20"/>
                <w:szCs w:val="20"/>
              </w:rPr>
              <w:t xml:space="preserve">⚠ (amber)</w:t>
            </w:r>
          </w:p>
        </w:tc>
        <w:tc>
          <w:tcPr>
            <w:tcW w:type="dxa" w:w="6960"/>
            <w:tcBorders>
              <w:top w:val="single" w:color="D5E0EE" w:sz="4"/>
              <w:left w:val="single" w:color="D5E0EE" w:sz="4"/>
              <w:bottom w:val="single" w:color="D5E0EE" w:sz="4"/>
              <w:right w:val="single" w:color="D5E0EE" w:sz="4"/>
            </w:tcBorders>
            <w:shd w:fill="FFFFFF" w:val="clear"/>
            <w:tcMar>
              <w:top w:type="dxa" w:w="80"/>
              <w:left w:type="dxa" w:w="160"/>
              <w:bottom w:type="dxa" w:w="80"/>
              <w:right w:type="dxa" w:w="120"/>
            </w:tcMar>
          </w:tcPr>
          <w:p>
            <w:pPr>
              <w:spacing w:after="0"/>
            </w:pPr>
            <w:r>
              <w:rPr>
                <w:rFonts w:ascii="Arial" w:cs="Arial" w:eastAsia="Arial" w:hAnsi="Arial"/>
                <w:color w:val="2B3644"/>
                <w:sz w:val="20"/>
                <w:szCs w:val="20"/>
              </w:rPr>
              <w:t xml:space="preserve">Stale deal: no inbound reply in 14+ days.</w:t>
            </w:r>
          </w:p>
        </w:tc>
      </w:tr>
      <w:tr>
        <w:tc>
          <w:tcPr>
            <w:tcW w:type="dxa" w:w="2400"/>
            <w:tcBorders>
              <w:top w:val="single" w:color="D5E0EE" w:sz="4"/>
              <w:left w:val="single" w:color="D5E0EE" w:sz="4"/>
              <w:bottom w:val="single" w:color="D5E0EE" w:sz="4"/>
              <w:right w:val="single" w:color="D5E0EE" w:sz="4"/>
            </w:tcBorders>
            <w:shd w:fill="EFF3F9" w:val="clear"/>
            <w:tcMar>
              <w:top w:type="dxa" w:w="80"/>
              <w:left w:type="dxa" w:w="160"/>
              <w:bottom w:type="dxa" w:w="80"/>
              <w:right w:type="dxa" w:w="120"/>
            </w:tcMar>
          </w:tcPr>
          <w:p>
            <w:pPr>
              <w:spacing w:after="0"/>
            </w:pPr>
            <w:r>
              <w:rPr>
                <w:rFonts w:ascii="Arial" w:cs="Arial" w:eastAsia="Arial" w:hAnsi="Arial"/>
                <w:b/>
                <w:bCs/>
                <w:color w:val="2B3644"/>
                <w:sz w:val="20"/>
                <w:szCs w:val="20"/>
              </w:rPr>
              <w:t xml:space="preserve">overdue (red)</w:t>
            </w:r>
          </w:p>
        </w:tc>
        <w:tc>
          <w:tcPr>
            <w:tcW w:type="dxa" w:w="6960"/>
            <w:tcBorders>
              <w:top w:val="single" w:color="D5E0EE" w:sz="4"/>
              <w:left w:val="single" w:color="D5E0EE" w:sz="4"/>
              <w:bottom w:val="single" w:color="D5E0EE" w:sz="4"/>
              <w:right w:val="single" w:color="D5E0EE" w:sz="4"/>
            </w:tcBorders>
            <w:shd w:fill="FFFFFF" w:val="clear"/>
            <w:tcMar>
              <w:top w:type="dxa" w:w="80"/>
              <w:left w:type="dxa" w:w="160"/>
              <w:bottom w:type="dxa" w:w="80"/>
              <w:right w:type="dxa" w:w="120"/>
            </w:tcMar>
          </w:tcPr>
          <w:p>
            <w:pPr>
              <w:spacing w:after="0"/>
            </w:pPr>
            <w:r>
              <w:rPr>
                <w:rFonts w:ascii="Arial" w:cs="Arial" w:eastAsia="Arial" w:hAnsi="Arial"/>
                <w:color w:val="2B3644"/>
                <w:sz w:val="20"/>
                <w:szCs w:val="20"/>
              </w:rPr>
              <w:t xml:space="preserve">Close date has passed.</w:t>
            </w:r>
          </w:p>
        </w:tc>
      </w:tr>
      <w:tr>
        <w:tc>
          <w:tcPr>
            <w:tcW w:type="dxa" w:w="2400"/>
            <w:tcBorders>
              <w:top w:val="single" w:color="D5E0EE" w:sz="4"/>
              <w:left w:val="single" w:color="D5E0EE" w:sz="4"/>
              <w:bottom w:val="single" w:color="D5E0EE" w:sz="4"/>
              <w:right w:val="single" w:color="D5E0EE" w:sz="4"/>
            </w:tcBorders>
            <w:shd w:fill="EFF3F9" w:val="clear"/>
            <w:tcMar>
              <w:top w:type="dxa" w:w="80"/>
              <w:left w:type="dxa" w:w="160"/>
              <w:bottom w:type="dxa" w:w="80"/>
              <w:right w:type="dxa" w:w="120"/>
            </w:tcMar>
          </w:tcPr>
          <w:p>
            <w:pPr>
              <w:spacing w:after="0"/>
            </w:pPr>
            <w:r>
              <w:rPr>
                <w:rFonts w:ascii="Arial" w:cs="Arial" w:eastAsia="Arial" w:hAnsi="Arial"/>
                <w:b/>
                <w:bCs/>
                <w:color w:val="2B3644"/>
                <w:sz w:val="20"/>
                <w:szCs w:val="20"/>
              </w:rPr>
              <w:t xml:space="preserve">✓ ready (green)</w:t>
            </w:r>
          </w:p>
        </w:tc>
        <w:tc>
          <w:tcPr>
            <w:tcW w:type="dxa" w:w="6960"/>
            <w:tcBorders>
              <w:top w:val="single" w:color="D5E0EE" w:sz="4"/>
              <w:left w:val="single" w:color="D5E0EE" w:sz="4"/>
              <w:bottom w:val="single" w:color="D5E0EE" w:sz="4"/>
              <w:right w:val="single" w:color="D5E0EE" w:sz="4"/>
            </w:tcBorders>
            <w:shd w:fill="FFFFFF" w:val="clear"/>
            <w:tcMar>
              <w:top w:type="dxa" w:w="80"/>
              <w:left w:type="dxa" w:w="160"/>
              <w:bottom w:type="dxa" w:w="80"/>
              <w:right w:type="dxa" w:w="120"/>
            </w:tcMar>
          </w:tcPr>
          <w:p>
            <w:pPr>
              <w:spacing w:after="0"/>
            </w:pPr>
            <w:r>
              <w:rPr>
                <w:rFonts w:ascii="Arial" w:cs="Arial" w:eastAsia="Arial" w:hAnsi="Arial"/>
                <w:color w:val="2B3644"/>
                <w:sz w:val="20"/>
                <w:szCs w:val="20"/>
              </w:rPr>
              <w:t xml:space="preserve">Deal has amount, line items, contacts, and close date.</w:t>
            </w:r>
          </w:p>
        </w:tc>
      </w:tr>
      <w:tr>
        <w:tc>
          <w:tcPr>
            <w:tcW w:type="dxa" w:w="2400"/>
            <w:tcBorders>
              <w:top w:val="single" w:color="D5E0EE" w:sz="4"/>
              <w:left w:val="single" w:color="D5E0EE" w:sz="4"/>
              <w:bottom w:val="single" w:color="D5E0EE" w:sz="4"/>
              <w:right w:val="single" w:color="D5E0EE" w:sz="4"/>
            </w:tcBorders>
            <w:shd w:fill="EFF3F9" w:val="clear"/>
            <w:tcMar>
              <w:top w:type="dxa" w:w="80"/>
              <w:left w:type="dxa" w:w="160"/>
              <w:bottom w:type="dxa" w:w="80"/>
              <w:right w:type="dxa" w:w="120"/>
            </w:tcMar>
          </w:tcPr>
          <w:p>
            <w:pPr>
              <w:spacing w:after="0"/>
            </w:pPr>
            <w:r>
              <w:rPr>
                <w:rFonts w:ascii="Arial" w:cs="Arial" w:eastAsia="Arial" w:hAnsi="Arial"/>
                <w:b/>
                <w:bCs/>
                <w:color w:val="2B3644"/>
                <w:sz w:val="20"/>
                <w:szCs w:val="20"/>
              </w:rPr>
              <w:t xml:space="preserve">amount → (flag)</w:t>
            </w:r>
          </w:p>
        </w:tc>
        <w:tc>
          <w:tcPr>
            <w:tcW w:type="dxa" w:w="6960"/>
            <w:tcBorders>
              <w:top w:val="single" w:color="D5E0EE" w:sz="4"/>
              <w:left w:val="single" w:color="D5E0EE" w:sz="4"/>
              <w:bottom w:val="single" w:color="D5E0EE" w:sz="4"/>
              <w:right w:val="single" w:color="D5E0EE" w:sz="4"/>
            </w:tcBorders>
            <w:shd w:fill="FFFFFF" w:val="clear"/>
            <w:tcMar>
              <w:top w:type="dxa" w:w="80"/>
              <w:left w:type="dxa" w:w="160"/>
              <w:bottom w:type="dxa" w:w="80"/>
              <w:right w:type="dxa" w:w="120"/>
            </w:tcMar>
          </w:tcPr>
          <w:p>
            <w:pPr>
              <w:spacing w:after="0"/>
            </w:pPr>
            <w:r>
              <w:rPr>
                <w:rFonts w:ascii="Arial" w:cs="Arial" w:eastAsia="Arial" w:hAnsi="Arial"/>
                <w:color w:val="2B3644"/>
                <w:sz w:val="20"/>
                <w:szCs w:val="20"/>
              </w:rPr>
              <w:t xml:space="preserve">Deal is missing an amount.</w:t>
            </w:r>
          </w:p>
        </w:tc>
      </w:tr>
      <w:tr>
        <w:tc>
          <w:tcPr>
            <w:tcW w:type="dxa" w:w="2400"/>
            <w:tcBorders>
              <w:top w:val="single" w:color="D5E0EE" w:sz="4"/>
              <w:left w:val="single" w:color="D5E0EE" w:sz="4"/>
              <w:bottom w:val="single" w:color="D5E0EE" w:sz="4"/>
              <w:right w:val="single" w:color="D5E0EE" w:sz="4"/>
            </w:tcBorders>
            <w:shd w:fill="EFF3F9" w:val="clear"/>
            <w:tcMar>
              <w:top w:type="dxa" w:w="80"/>
              <w:left w:type="dxa" w:w="160"/>
              <w:bottom w:type="dxa" w:w="80"/>
              <w:right w:type="dxa" w:w="120"/>
            </w:tcMar>
          </w:tcPr>
          <w:p>
            <w:pPr>
              <w:spacing w:after="0"/>
            </w:pPr>
            <w:r>
              <w:rPr>
                <w:rFonts w:ascii="Arial" w:cs="Arial" w:eastAsia="Arial" w:hAnsi="Arial"/>
                <w:b/>
                <w:bCs/>
                <w:color w:val="2B3644"/>
                <w:sz w:val="20"/>
                <w:szCs w:val="20"/>
              </w:rPr>
              <w:t xml:space="preserve">line items → (flag)</w:t>
            </w:r>
          </w:p>
        </w:tc>
        <w:tc>
          <w:tcPr>
            <w:tcW w:type="dxa" w:w="6960"/>
            <w:tcBorders>
              <w:top w:val="single" w:color="D5E0EE" w:sz="4"/>
              <w:left w:val="single" w:color="D5E0EE" w:sz="4"/>
              <w:bottom w:val="single" w:color="D5E0EE" w:sz="4"/>
              <w:right w:val="single" w:color="D5E0EE" w:sz="4"/>
            </w:tcBorders>
            <w:shd w:fill="FFFFFF" w:val="clear"/>
            <w:tcMar>
              <w:top w:type="dxa" w:w="80"/>
              <w:left w:type="dxa" w:w="160"/>
              <w:bottom w:type="dxa" w:w="80"/>
              <w:right w:type="dxa" w:w="120"/>
            </w:tcMar>
          </w:tcPr>
          <w:p>
            <w:pPr>
              <w:spacing w:after="0"/>
            </w:pPr>
            <w:r>
              <w:rPr>
                <w:rFonts w:ascii="Arial" w:cs="Arial" w:eastAsia="Arial" w:hAnsi="Arial"/>
                <w:color w:val="2B3644"/>
                <w:sz w:val="20"/>
                <w:szCs w:val="20"/>
              </w:rPr>
              <w:t xml:space="preserve">No line items on this deal.</w:t>
            </w:r>
          </w:p>
        </w:tc>
      </w:tr>
      <w:tr>
        <w:tc>
          <w:tcPr>
            <w:tcW w:type="dxa" w:w="2400"/>
            <w:tcBorders>
              <w:top w:val="single" w:color="D5E0EE" w:sz="4"/>
              <w:left w:val="single" w:color="D5E0EE" w:sz="4"/>
              <w:bottom w:val="single" w:color="D5E0EE" w:sz="4"/>
              <w:right w:val="single" w:color="D5E0EE" w:sz="4"/>
            </w:tcBorders>
            <w:shd w:fill="EFF3F9" w:val="clear"/>
            <w:tcMar>
              <w:top w:type="dxa" w:w="80"/>
              <w:left w:type="dxa" w:w="160"/>
              <w:bottom w:type="dxa" w:w="80"/>
              <w:right w:type="dxa" w:w="120"/>
            </w:tcMar>
          </w:tcPr>
          <w:p>
            <w:pPr>
              <w:spacing w:after="0"/>
            </w:pPr>
            <w:r>
              <w:rPr>
                <w:rFonts w:ascii="Arial" w:cs="Arial" w:eastAsia="Arial" w:hAnsi="Arial"/>
                <w:b/>
                <w:bCs/>
                <w:color w:val="2B3644"/>
                <w:sz w:val="20"/>
                <w:szCs w:val="20"/>
              </w:rPr>
              <w:t xml:space="preserve">contacts → (flag)</w:t>
            </w:r>
          </w:p>
        </w:tc>
        <w:tc>
          <w:tcPr>
            <w:tcW w:type="dxa" w:w="6960"/>
            <w:tcBorders>
              <w:top w:val="single" w:color="D5E0EE" w:sz="4"/>
              <w:left w:val="single" w:color="D5E0EE" w:sz="4"/>
              <w:bottom w:val="single" w:color="D5E0EE" w:sz="4"/>
              <w:right w:val="single" w:color="D5E0EE" w:sz="4"/>
            </w:tcBorders>
            <w:shd w:fill="FFFFFF" w:val="clear"/>
            <w:tcMar>
              <w:top w:type="dxa" w:w="80"/>
              <w:left w:type="dxa" w:w="160"/>
              <w:bottom w:type="dxa" w:w="80"/>
              <w:right w:type="dxa" w:w="120"/>
            </w:tcMar>
          </w:tcPr>
          <w:p>
            <w:pPr>
              <w:spacing w:after="0"/>
            </w:pPr>
            <w:r>
              <w:rPr>
                <w:rFonts w:ascii="Arial" w:cs="Arial" w:eastAsia="Arial" w:hAnsi="Arial"/>
                <w:color w:val="2B3644"/>
                <w:sz w:val="20"/>
                <w:szCs w:val="20"/>
              </w:rPr>
              <w:t xml:space="preserve">No contacts linked to this deal.</w:t>
            </w:r>
          </w:p>
        </w:tc>
      </w:tr>
      <w:tr>
        <w:tc>
          <w:tcPr>
            <w:tcW w:type="dxa" w:w="2400"/>
            <w:tcBorders>
              <w:top w:val="single" w:color="D5E0EE" w:sz="4"/>
              <w:left w:val="single" w:color="D5E0EE" w:sz="4"/>
              <w:bottom w:val="single" w:color="D5E0EE" w:sz="4"/>
              <w:right w:val="single" w:color="D5E0EE" w:sz="4"/>
            </w:tcBorders>
            <w:shd w:fill="EFF3F9" w:val="clear"/>
            <w:tcMar>
              <w:top w:type="dxa" w:w="80"/>
              <w:left w:type="dxa" w:w="160"/>
              <w:bottom w:type="dxa" w:w="80"/>
              <w:right w:type="dxa" w:w="120"/>
            </w:tcMar>
          </w:tcPr>
          <w:p>
            <w:pPr>
              <w:spacing w:after="0"/>
            </w:pPr>
            <w:r>
              <w:rPr>
                <w:rFonts w:ascii="Arial" w:cs="Arial" w:eastAsia="Arial" w:hAnsi="Arial"/>
                <w:b/>
                <w:bCs/>
                <w:color w:val="2B3644"/>
                <w:sz w:val="20"/>
                <w:szCs w:val="20"/>
              </w:rPr>
              <w:t xml:space="preserve">close date → (flag)</w:t>
            </w:r>
          </w:p>
        </w:tc>
        <w:tc>
          <w:tcPr>
            <w:tcW w:type="dxa" w:w="6960"/>
            <w:tcBorders>
              <w:top w:val="single" w:color="D5E0EE" w:sz="4"/>
              <w:left w:val="single" w:color="D5E0EE" w:sz="4"/>
              <w:bottom w:val="single" w:color="D5E0EE" w:sz="4"/>
              <w:right w:val="single" w:color="D5E0EE" w:sz="4"/>
            </w:tcBorders>
            <w:shd w:fill="FFFFFF" w:val="clear"/>
            <w:tcMar>
              <w:top w:type="dxa" w:w="80"/>
              <w:left w:type="dxa" w:w="160"/>
              <w:bottom w:type="dxa" w:w="80"/>
              <w:right w:type="dxa" w:w="120"/>
            </w:tcMar>
          </w:tcPr>
          <w:p>
            <w:pPr>
              <w:spacing w:after="0"/>
            </w:pPr>
            <w:r>
              <w:rPr>
                <w:rFonts w:ascii="Arial" w:cs="Arial" w:eastAsia="Arial" w:hAnsi="Arial"/>
                <w:color w:val="2B3644"/>
                <w:sz w:val="20"/>
                <w:szCs w:val="20"/>
              </w:rPr>
              <w:t xml:space="preserve">No close date set.</w:t>
            </w:r>
          </w:p>
        </w:tc>
      </w:tr>
    </w:tbl>
    <w:p>
      <w:pPr>
        <w:spacing w:after="160"/>
      </w:pPr>
      <w:r>
        <w:t xml:space="preserve"/>
      </w:r>
    </w:p>
    <w:p>
      <w:pPr>
        <w:pStyle w:val="Heading2"/>
        <w:spacing w:after="140" w:before="280"/>
      </w:pPr>
      <w:r>
        <w:rPr>
          <w:rFonts w:ascii="Arial" w:cs="Arial" w:eastAsia="Arial" w:hAnsi="Arial"/>
          <w:b/>
          <w:bCs/>
          <w:color w:val="2B3644"/>
          <w:sz w:val="28"/>
          <w:szCs w:val="28"/>
        </w:rPr>
        <w:t xml:space="preserve">Confidence Tiers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5E0EE" w:sz="4"/>
              <w:left w:val="single" w:color="D5E0EE" w:sz="4"/>
              <w:bottom w:val="single" w:color="D5E0EE" w:sz="4"/>
              <w:right w:val="single" w:color="D5E0EE" w:sz="4"/>
            </w:tcBorders>
            <w:shd w:fill="2B3644" w:val="clear"/>
            <w:tcMar>
              <w:top w:type="dxa" w:w="80"/>
              <w:left w:type="dxa" w:w="160"/>
              <w:bottom w:type="dxa" w:w="80"/>
              <w:right w:type="dxa" w:w="120"/>
            </w:tcMar>
          </w:tcPr>
          <w:p>
            <w:pPr>
              <w:spacing w:after="0"/>
            </w:pPr>
            <w:r>
              <w:rPr>
                <w:rFonts w:ascii="Arial" w:cs="Arial" w:eastAsia="Arial" w:hAnsi="Arial"/>
                <w:b/>
                <w:bCs/>
                <w:color w:val="FFFFFF"/>
                <w:sz w:val="20"/>
                <w:szCs w:val="20"/>
              </w:rPr>
              <w:t xml:space="preserve">Tier</w:t>
            </w:r>
          </w:p>
        </w:tc>
        <w:tc>
          <w:tcPr>
            <w:tcW w:type="dxa" w:w="6960"/>
            <w:tcBorders>
              <w:top w:val="single" w:color="D5E0EE" w:sz="4"/>
              <w:left w:val="single" w:color="D5E0EE" w:sz="4"/>
              <w:bottom w:val="single" w:color="D5E0EE" w:sz="4"/>
              <w:right w:val="single" w:color="D5E0EE" w:sz="4"/>
            </w:tcBorders>
            <w:shd w:fill="F5F8FF" w:val="clear"/>
            <w:tcMar>
              <w:top w:type="dxa" w:w="80"/>
              <w:left w:type="dxa" w:w="160"/>
              <w:bottom w:type="dxa" w:w="80"/>
              <w:right w:type="dxa" w:w="120"/>
            </w:tcMar>
          </w:tcPr>
          <w:p>
            <w:pPr>
              <w:spacing w:after="0"/>
            </w:pPr>
            <w:r>
              <w:rPr>
                <w:rFonts w:ascii="Arial" w:cs="Arial" w:eastAsia="Arial" w:hAnsi="Arial"/>
                <w:color w:val="2B3644"/>
                <w:sz w:val="20"/>
                <w:szCs w:val="20"/>
              </w:rPr>
              <w:t xml:space="preserve">What it means</w:t>
            </w:r>
          </w:p>
        </w:tc>
      </w:tr>
      <w:tr>
        <w:tc>
          <w:tcPr>
            <w:tcW w:type="dxa" w:w="2400"/>
            <w:tcBorders>
              <w:top w:val="single" w:color="D5E0EE" w:sz="4"/>
              <w:left w:val="single" w:color="D5E0EE" w:sz="4"/>
              <w:bottom w:val="single" w:color="D5E0EE" w:sz="4"/>
              <w:right w:val="single" w:color="D5E0EE" w:sz="4"/>
            </w:tcBorders>
            <w:shd w:fill="EFF3F9" w:val="clear"/>
            <w:tcMar>
              <w:top w:type="dxa" w:w="80"/>
              <w:left w:type="dxa" w:w="160"/>
              <w:bottom w:type="dxa" w:w="80"/>
              <w:right w:type="dxa" w:w="120"/>
            </w:tcMar>
          </w:tcPr>
          <w:p>
            <w:pPr>
              <w:spacing w:after="0"/>
            </w:pPr>
            <w:r>
              <w:rPr>
                <w:rFonts w:ascii="Arial" w:cs="Arial" w:eastAsia="Arial" w:hAnsi="Arial"/>
                <w:b/>
                <w:bCs/>
                <w:color w:val="2B3644"/>
                <w:sz w:val="20"/>
                <w:szCs w:val="20"/>
              </w:rPr>
              <w:t xml:space="preserve">Mid-confidence (approve button)</w:t>
            </w:r>
          </w:p>
        </w:tc>
        <w:tc>
          <w:tcPr>
            <w:tcW w:type="dxa" w:w="6960"/>
            <w:tcBorders>
              <w:top w:val="single" w:color="D5E0EE" w:sz="4"/>
              <w:left w:val="single" w:color="D5E0EE" w:sz="4"/>
              <w:bottom w:val="single" w:color="D5E0EE" w:sz="4"/>
              <w:right w:val="single" w:color="D5E0EE" w:sz="4"/>
            </w:tcBorders>
            <w:shd w:fill="FFFFFF" w:val="clear"/>
            <w:tcMar>
              <w:top w:type="dxa" w:w="80"/>
              <w:left w:type="dxa" w:w="160"/>
              <w:bottom w:type="dxa" w:w="80"/>
              <w:right w:type="dxa" w:w="120"/>
            </w:tcMar>
          </w:tcPr>
          <w:p>
            <w:pPr>
              <w:spacing w:after="0"/>
            </w:pPr>
            <w:r>
              <w:rPr>
                <w:rFonts w:ascii="Arial" w:cs="Arial" w:eastAsia="Arial" w:hAnsi="Arial"/>
                <w:color w:val="2B3644"/>
                <w:sz w:val="20"/>
                <w:szCs w:val="20"/>
              </w:rPr>
              <w:t xml:space="preserve">The system is confident this change is correct. Review and click Approve.</w:t>
            </w:r>
          </w:p>
        </w:tc>
      </w:tr>
      <w:tr>
        <w:tc>
          <w:tcPr>
            <w:tcW w:type="dxa" w:w="2400"/>
            <w:tcBorders>
              <w:top w:val="single" w:color="D5E0EE" w:sz="4"/>
              <w:left w:val="single" w:color="D5E0EE" w:sz="4"/>
              <w:bottom w:val="single" w:color="D5E0EE" w:sz="4"/>
              <w:right w:val="single" w:color="D5E0EE" w:sz="4"/>
            </w:tcBorders>
            <w:shd w:fill="EFF3F9" w:val="clear"/>
            <w:tcMar>
              <w:top w:type="dxa" w:w="80"/>
              <w:left w:type="dxa" w:w="160"/>
              <w:bottom w:type="dxa" w:w="80"/>
              <w:right w:type="dxa" w:w="120"/>
            </w:tcMar>
          </w:tcPr>
          <w:p>
            <w:pPr>
              <w:spacing w:after="0"/>
            </w:pPr>
            <w:r>
              <w:rPr>
                <w:rFonts w:ascii="Arial" w:cs="Arial" w:eastAsia="Arial" w:hAnsi="Arial"/>
                <w:b/>
                <w:bCs/>
                <w:color w:val="2B3644"/>
                <w:sz w:val="20"/>
                <w:szCs w:val="20"/>
              </w:rPr>
              <w:t xml:space="preserve">Low-confidence (Fix in HubSpot link)</w:t>
            </w:r>
          </w:p>
        </w:tc>
        <w:tc>
          <w:tcPr>
            <w:tcW w:type="dxa" w:w="6960"/>
            <w:tcBorders>
              <w:top w:val="single" w:color="D5E0EE" w:sz="4"/>
              <w:left w:val="single" w:color="D5E0EE" w:sz="4"/>
              <w:bottom w:val="single" w:color="D5E0EE" w:sz="4"/>
              <w:right w:val="single" w:color="D5E0EE" w:sz="4"/>
            </w:tcBorders>
            <w:shd w:fill="FFFFFF" w:val="clear"/>
            <w:tcMar>
              <w:top w:type="dxa" w:w="80"/>
              <w:left w:type="dxa" w:w="160"/>
              <w:bottom w:type="dxa" w:w="80"/>
              <w:right w:type="dxa" w:w="120"/>
            </w:tcMar>
          </w:tcPr>
          <w:p>
            <w:pPr>
              <w:spacing w:after="0"/>
            </w:pPr>
            <w:r>
              <w:rPr>
                <w:rFonts w:ascii="Arial" w:cs="Arial" w:eastAsia="Arial" w:hAnsi="Arial"/>
                <w:color w:val="2B3644"/>
                <w:sz w:val="20"/>
                <w:szCs w:val="20"/>
              </w:rPr>
              <w:t xml:space="preserve">The system flagged a gap but cannot auto-fix it. Resolve directly in HubSpot.</w:t>
            </w:r>
          </w:p>
        </w:tc>
      </w:tr>
    </w:tbl>
    <w:p>
      <w:pPr>
        <w:spacing w:after="200"/>
      </w:pPr>
      <w:r>
        <w:t xml:space="preserve"/>
      </w:r>
    </w:p>
    <w:p>
      <w:r>
        <w:br w:type="page"/>
      </w:r>
    </w:p>
    <w:p>
      <w:pPr>
        <w:spacing w:after="360" w:before="2880"/>
      </w:pPr>
      <w:r>
        <w:rPr>
          <w:rFonts w:ascii="Arial" w:cs="Arial" w:eastAsia="Arial" w:hAnsi="Arial"/>
          <w:b/>
          <w:bCs/>
          <w:color w:val="2B3644"/>
          <w:sz w:val="40"/>
          <w:szCs w:val="40"/>
        </w:rPr>
        <w:t xml:space="preserve">Need Help?</w:t>
      </w:r>
    </w:p>
    <w:p>
      <w:pPr>
        <w:pBdr>
          <w:bottom w:val="single" w:color="3B7DD8" w:sz="8"/>
        </w:pBdr>
        <w:spacing w:after="480"/>
      </w:pPr>
      <w:r>
        <w:t xml:space="preserve"/>
      </w:r>
    </w:p>
    <w:p>
      <w:pPr>
        <w:spacing w:after="120"/>
      </w:pPr>
      <w:r>
        <w:rPr>
          <w:rFonts w:ascii="Arial" w:cs="Arial" w:eastAsia="Arial" w:hAnsi="Arial"/>
          <w:b w:val="false"/>
          <w:bCs w:val="false"/>
          <w:color w:val="2B3644"/>
          <w:sz w:val="22"/>
          <w:szCs w:val="22"/>
        </w:rPr>
        <w:t xml:space="preserve">For system issues or feature requests, contact:</w:t>
      </w:r>
    </w:p>
    <w:p>
      <w:pPr>
        <w:spacing w:after="80"/>
      </w:pPr>
      <w:r>
        <w:t xml:space="preserve"/>
      </w:r>
    </w:p>
    <w:p>
      <w:pPr>
        <w:spacing w:after="200"/>
      </w:pPr>
      <w:r>
        <w:rPr>
          <w:rFonts w:ascii="Arial" w:cs="Arial" w:eastAsia="Arial" w:hAnsi="Arial"/>
          <w:b/>
          <w:bCs/>
          <w:color w:val="2B3644"/>
          <w:sz w:val="26"/>
          <w:szCs w:val="26"/>
        </w:rPr>
        <w:t xml:space="preserve">David Narayan  —  david@anatainc.com</w:t>
      </w:r>
    </w:p>
    <w:p>
      <w:pPr>
        <w:spacing w:after="120"/>
      </w:pPr>
      <w:r>
        <w:rPr>
          <w:rFonts w:ascii="Arial" w:cs="Arial" w:eastAsia="Arial" w:hAnsi="Arial"/>
          <w:b w:val="false"/>
          <w:bCs w:val="false"/>
          <w:color w:val="2B3644"/>
          <w:sz w:val="22"/>
          <w:szCs w:val="22"/>
        </w:rPr>
        <w:t xml:space="preserve">For HubSpot data issues (wrong stage, missing deals, incorrect contacts), fix them directly in HubSpot and click Sync now to pull the changes into Anata.</w:t>
      </w:r>
    </w:p>
    <w:p>
      <w:pPr>
        <w:spacing w:after="480"/>
      </w:pPr>
      <w:r>
        <w:t xml:space="preserve"/>
      </w:r>
    </w:p>
    <w:p>
      <w:r>
        <w:rPr>
          <w:rFonts w:ascii="Arial" w:cs="Arial" w:eastAsia="Arial" w:hAnsi="Arial"/>
          <w:i/>
          <w:iCs/>
          <w:color w:val="6B7B8D"/>
          <w:sz w:val="18"/>
          <w:szCs w:val="18"/>
        </w:rPr>
        <w:t xml:space="preserve">Anata Inc. — Internal use only</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5E0EE" w:sz="4"/>
      </w:pBdr>
      <w:tabs>
        <w:tab w:val="right" w:pos="9360"/>
      </w:tabs>
    </w:pPr>
    <w:r>
      <w:rPr>
        <w:rFonts w:ascii="Arial" w:cs="Arial" w:eastAsia="Arial" w:hAnsi="Arial"/>
        <w:color w:val="6B7B8D"/>
        <w:sz w:val="18"/>
        <w:szCs w:val="18"/>
      </w:rPr>
      <w:t xml:space="preserve">Anata Inc. — Confidential</w:t>
    </w:r>
    <w:r>
      <w:rPr>
        <w:rFonts w:ascii="Arial" w:cs="Arial" w:eastAsia="Arial" w:hAnsi="Arial"/>
        <w:sz w:val="18"/>
        <w:szCs w:val="18"/>
      </w:rPr>
      <w:t xml:space="preserve">	</w:t>
    </w:r>
    <w:r>
      <w:rPr>
        <w:rFonts w:ascii="Arial" w:cs="Arial" w:eastAsia="Arial" w:hAnsi="Arial"/>
        <w:color w:val="6B7B8D"/>
        <w:sz w:val="18"/>
        <w:szCs w:val="18"/>
      </w:rPr>
      <w:t xml:space="preserve">Page </w:t>
    </w:r>
    <w:r>
      <w:rPr>
        <w:rFonts w:ascii="Arial" w:cs="Arial" w:eastAsia="Arial" w:hAnsi="Arial"/>
        <w:color w:val="6B7B8D"/>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5E0EE" w:sz="4"/>
      </w:pBdr>
      <w:tabs>
        <w:tab w:val="right" w:pos="9360"/>
      </w:tabs>
    </w:pPr>
    <w:r>
      <w:rPr>
        <w:rFonts w:ascii="Arial" w:cs="Arial" w:eastAsia="Arial" w:hAnsi="Arial"/>
        <w:color w:val="6B7B8D"/>
        <w:sz w:val="18"/>
        <w:szCs w:val="18"/>
      </w:rPr>
      <w:t xml:space="preserve">Anata Sales Operational Director</w:t>
    </w:r>
    <w:r>
      <w:rPr>
        <w:rFonts w:ascii="Arial" w:cs="Arial" w:eastAsia="Arial" w:hAnsi="Arial"/>
        <w:sz w:val="18"/>
        <w:szCs w:val="18"/>
      </w:rPr>
      <w:t xml:space="preserve">	</w:t>
    </w:r>
    <w:r>
      <w:rPr>
        <w:rFonts w:ascii="Arial" w:cs="Arial" w:eastAsia="Arial" w:hAnsi="Arial"/>
        <w:i/>
        <w:iCs/>
        <w:color w:val="6B7B8D"/>
        <w:sz w:val="18"/>
        <w:szCs w:val="18"/>
      </w:rPr>
      <w:t xml:space="preserve">INTERNAL — Sales Team Training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abstractNum w:abstractNumId="3" w15:restartNumberingAfterBreak="0">
    <w:multiLevelType w:val="hybridMultilevel"/>
    <w:lvl w:ilvl="0" w15:tentative="1">
      <w:start w:val="1"/>
      <w:numFmt w:val="bullet"/>
      <w:lvlText w:val="◦"/>
      <w:lvlJc w:val="left"/>
      <w:pPr>
        <w:ind w:left="960" w:hanging="240"/>
      </w:pPr>
    </w:lvl>
  </w:abstractNum>
  <w:abstractNum w:abstractNumId="4" w15:restartNumberingAfterBreak="0">
    <w:multiLevelType w:val="hybridMultilevel"/>
    <w:lvl w:ilvl="0" w15:tentative="1">
      <w:start w:val="1"/>
      <w:numFmt w:val="decimal"/>
      <w:lvlText w:val="%1."/>
      <w:lvlJc w:val="left"/>
      <w:pPr>
        <w:ind w:left="480" w:hanging="24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B3644"/>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2B3644"/>
      <w:sz w:val="36"/>
      <w:szCs w:val="36"/>
    </w:rPr>
  </w:style>
  <w:style w:type="paragraph" w:styleId="Heading2">
    <w:name w:val="Heading 2"/>
    <w:basedOn w:val="Normal"/>
    <w:next w:val="Normal"/>
    <w:qFormat/>
    <w:pPr>
      <w:spacing w:after="140" w:before="280"/>
      <w:outlineLvl w:val="1"/>
    </w:pPr>
    <w:rPr>
      <w:rFonts w:ascii="Arial" w:cs="Arial" w:eastAsia="Arial" w:hAnsi="Arial"/>
      <w:b/>
      <w:bCs/>
      <w:color w:val="2B3644"/>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3B7DD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2026-06-25T16:47:58.272Z</dcterms:created>
  <dcterms:modified xsi:type="dcterms:W3CDTF">2026-06-25T16:47:58.274Z</dcterms:modified>
</cp:coreProperties>
</file>

<file path=docProps/custom.xml><?xml version="1.0" encoding="utf-8"?>
<Properties xmlns="http://schemas.openxmlformats.org/officeDocument/2006/custom-properties" xmlns:vt="http://schemas.openxmlformats.org/officeDocument/2006/docPropsVTypes"/>
</file>