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bookmarkStart w:id="0" w:name="_GoBack"/>
      <w:bookmarkEnd w:id="0"/>
      <w:r>
        <w:rPr>
          <w:b/>
        </w:rPr>
        <w:t>Open Practices Disclosure</w:t>
      </w:r>
    </w:p>
    <w:p>
      <w:pPr>
        <w:pStyle w:val="Normal1"/>
        <w:rPr/>
      </w:pPr>
      <w:r>
        <w:rPr/>
      </w:r>
    </w:p>
    <w:p>
      <w:pPr>
        <w:pStyle w:val="Normal1"/>
        <w:rPr/>
      </w:pPr>
      <w:r>
        <w:rPr>
          <w:b/>
        </w:rPr>
        <w:t xml:space="preserve">Manuscript Title: </w:t>
      </w:r>
      <w:r>
        <w:rPr>
          <w:b/>
        </w:rPr>
        <w:t>On the sensitivity of food webs to multiple stressors</w:t>
      </w:r>
    </w:p>
    <w:p>
      <w:pPr>
        <w:pStyle w:val="Normal1"/>
        <w:rPr/>
      </w:pPr>
      <w:r>
        <w:rPr>
          <w:b/>
        </w:rPr>
        <w:t xml:space="preserve">Corresponding Author: </w:t>
      </w:r>
      <w:r>
        <w:rPr>
          <w:b/>
        </w:rPr>
        <w:t>David Beauchesne</w:t>
      </w:r>
    </w:p>
    <w:p>
      <w:pPr>
        <w:pStyle w:val="Normal1"/>
        <w:rPr/>
      </w:pPr>
      <w:r>
        <w:rPr/>
      </w:r>
    </w:p>
    <w:p>
      <w:pPr>
        <w:pStyle w:val="Normal1"/>
        <w:rPr/>
      </w:pPr>
      <w:r>
        <w:rPr/>
        <w:t xml:space="preserve">Articles accepted to  </w:t>
      </w:r>
      <w:r>
        <w:rPr>
          <w:i/>
          <w:iCs/>
        </w:rPr>
        <w:t>Ecology Letters</w:t>
      </w:r>
      <w:r>
        <w:rPr/>
        <w:t xml:space="preserve"> after 27 May 2020 are eligible to earn badges that recognize open scientific practices: publicly available data, material, or preregistered research plans. Please read more about the badges in our </w:t>
      </w:r>
      <w:hyperlink r:id="rId2">
        <w:r>
          <w:rPr>
            <w:rStyle w:val="InternetLink"/>
          </w:rPr>
          <w:t>author guidelines</w:t>
        </w:r>
      </w:hyperlink>
      <w:r>
        <w:rPr/>
        <w:t>, and you can also find information on the Open Science Framework</w:t>
      </w:r>
      <w:hyperlink r:id="rId3">
        <w:r>
          <w:rPr>
            <w:rStyle w:val="ListLabel20"/>
          </w:rPr>
          <w:t xml:space="preserve"> </w:t>
        </w:r>
      </w:hyperlink>
      <w:hyperlink r:id="rId4">
        <w:r>
          <w:rPr>
            <w:rStyle w:val="ListLabel21"/>
            <w:color w:val="1155CC"/>
            <w:u w:val="single"/>
          </w:rPr>
          <w:t>wiki</w:t>
        </w:r>
      </w:hyperlink>
      <w:r>
        <w:rPr/>
        <w:t xml:space="preserve">. </w:t>
      </w:r>
    </w:p>
    <w:p>
      <w:pPr>
        <w:pStyle w:val="Normal1"/>
        <w:rPr/>
      </w:pPr>
      <w:r>
        <w:rPr/>
      </w:r>
    </w:p>
    <w:p>
      <w:pPr>
        <w:pStyle w:val="Normal1"/>
        <w:rPr/>
      </w:pPr>
      <w:r>
        <w:rPr>
          <w:b/>
        </w:rPr>
        <w:t xml:space="preserve">[x] </w:t>
      </w:r>
      <w:r>
        <w:rPr/>
        <w:t>Please check this box if you are interested in participating.</w:t>
      </w:r>
    </w:p>
    <w:p>
      <w:pPr>
        <w:pStyle w:val="Normal1"/>
        <w:rPr/>
      </w:pPr>
      <w:r>
        <w:rPr/>
      </w:r>
    </w:p>
    <w:p>
      <w:pPr>
        <w:pStyle w:val="Normal1"/>
        <w:rPr/>
      </w:pPr>
      <w:r>
        <w:rPr/>
        <w:t xml:space="preserve">To apply for one or more badges acknowledging open practices, please check the box(es) corresponding to the desired badge(s) below and provide the information requested in the relevant sections. To qualify for a badge, you must provide a URL, doi, or other permanent path for accessing the specified information in a public, open-access repository. </w:t>
      </w:r>
      <w:r>
        <w:rPr>
          <w:b/>
        </w:rPr>
        <w:t>Qualifying public, open-access repositories are committed to preserving data, materials, and/or registered analysis plans and keeping them publicly accessible via the web in perpetuity.</w:t>
      </w:r>
      <w:r>
        <w:rPr/>
        <w:t xml:space="preserve"> Examples include the Open Science Framework (</w:t>
      </w:r>
      <w:hyperlink r:id="rId5">
        <w:r>
          <w:rPr>
            <w:rStyle w:val="ListLabel21"/>
            <w:color w:val="1155CC"/>
            <w:u w:val="single"/>
          </w:rPr>
          <w:t>OSF</w:t>
        </w:r>
      </w:hyperlink>
      <w:r>
        <w:rPr/>
        <w:t>) and the various Dataverse networks. Hundreds of other qualifying data/materials repositories are listed at</w:t>
      </w:r>
      <w:hyperlink r:id="rId6">
        <w:r>
          <w:rPr>
            <w:rStyle w:val="ListLabel20"/>
          </w:rPr>
          <w:t xml:space="preserve"> </w:t>
        </w:r>
      </w:hyperlink>
      <w:hyperlink r:id="rId7">
        <w:r>
          <w:rPr>
            <w:rStyle w:val="ListLabel21"/>
            <w:color w:val="1155CC"/>
            <w:u w:val="single"/>
          </w:rPr>
          <w:t>http://re3data.org/</w:t>
        </w:r>
      </w:hyperlink>
      <w:r>
        <w:rPr/>
        <w:t>. Preregistration of an analysis plan must take place via a publicly accessible registry system (e.g.,</w:t>
      </w:r>
      <w:hyperlink r:id="rId8">
        <w:r>
          <w:rPr>
            <w:rStyle w:val="ListLabel20"/>
          </w:rPr>
          <w:t xml:space="preserve"> </w:t>
        </w:r>
      </w:hyperlink>
      <w:hyperlink r:id="rId9">
        <w:r>
          <w:rPr>
            <w:rStyle w:val="ListLabel21"/>
            <w:color w:val="1155CC"/>
            <w:u w:val="single"/>
          </w:rPr>
          <w:t>OSF</w:t>
        </w:r>
      </w:hyperlink>
      <w:r>
        <w:rPr/>
        <w:t>,</w:t>
      </w:r>
      <w:hyperlink r:id="rId10">
        <w:r>
          <w:rPr>
            <w:rStyle w:val="ListLabel20"/>
          </w:rPr>
          <w:t xml:space="preserve"> </w:t>
        </w:r>
      </w:hyperlink>
      <w:hyperlink r:id="rId11">
        <w:r>
          <w:rPr>
            <w:rStyle w:val="ListLabel21"/>
            <w:color w:val="1155CC"/>
            <w:u w:val="single"/>
          </w:rPr>
          <w:t>ClinicalTrials.gov</w:t>
        </w:r>
      </w:hyperlink>
      <w:r>
        <w:rPr/>
        <w:t xml:space="preserve"> or other trial registries in the</w:t>
      </w:r>
      <w:hyperlink r:id="rId12">
        <w:r>
          <w:rPr>
            <w:rStyle w:val="ListLabel20"/>
          </w:rPr>
          <w:t xml:space="preserve"> </w:t>
        </w:r>
      </w:hyperlink>
      <w:hyperlink r:id="rId13">
        <w:r>
          <w:rPr>
            <w:rStyle w:val="ListLabel21"/>
            <w:color w:val="1155CC"/>
            <w:u w:val="single"/>
          </w:rPr>
          <w:t>WHO Registry Network</w:t>
        </w:r>
      </w:hyperlink>
      <w:r>
        <w:rPr/>
        <w:t xml:space="preserve">, institutional registration systems). </w:t>
      </w:r>
      <w:r>
        <w:rPr>
          <w:b/>
        </w:rPr>
        <w:t>Personal websites and most departmental websites do not qualify as repositories.</w:t>
      </w:r>
    </w:p>
    <w:p>
      <w:pPr>
        <w:pStyle w:val="Normal1"/>
        <w:rPr/>
      </w:pPr>
      <w:r>
        <w:rPr/>
      </w:r>
    </w:p>
    <w:p>
      <w:pPr>
        <w:pStyle w:val="Normal1"/>
        <w:rPr/>
      </w:pPr>
      <w:r>
        <w:rPr/>
        <w:t xml:space="preserve">Authors who wish to publicly post third-party material in their data, materials, or preregistration plan must have the proper authority or permission agreement in order to do so. </w:t>
      </w:r>
    </w:p>
    <w:p>
      <w:pPr>
        <w:pStyle w:val="Normal1"/>
        <w:rPr/>
      </w:pPr>
      <w:r>
        <w:rPr/>
      </w:r>
    </w:p>
    <w:p>
      <w:pPr>
        <w:pStyle w:val="Normal1"/>
        <w:rPr/>
      </w:pPr>
      <w:r>
        <w:rPr/>
        <w:t>There are circumstances in which it is not possible or advisable to share any or all data, materials, or a research plan publicly. For example, there are cases in which sharing participants’ data could violate confidentiality. If you would like your article to include an explanation of such circumstances and/or provide links to any data or materials you have made available—even if not under conditions eligible to earn a badge—you may write an alternative note that will be published in a note in the article</w:t>
      </w:r>
      <w:r>
        <w:rPr>
          <w:b/>
        </w:rPr>
        <w:t xml:space="preserve">. </w:t>
      </w:r>
      <w:r>
        <w:rPr/>
        <w:t>Please check this box if you would like your article to include an alternative note and provide the text of the note below:</w:t>
      </w:r>
      <w:r>
        <w:rPr>
          <w:b/>
        </w:rPr>
        <w:t xml:space="preserve"> </w:t>
      </w:r>
    </w:p>
    <w:p>
      <w:pPr>
        <w:pStyle w:val="Normal1"/>
        <w:rPr/>
      </w:pPr>
      <w:r>
        <w:rPr/>
      </w:r>
    </w:p>
    <w:p>
      <w:pPr>
        <w:pStyle w:val="Normal1"/>
        <w:rPr/>
      </w:pPr>
      <w:r>
        <w:rPr>
          <w:b/>
        </w:rPr>
        <w:t xml:space="preserve">[] Alternative note: </w:t>
      </w:r>
    </w:p>
    <w:p>
      <w:pPr>
        <w:pStyle w:val="Heading1"/>
        <w:spacing w:before="200" w:after="0"/>
        <w:contextualSpacing/>
        <w:rPr/>
      </w:pPr>
      <w:bookmarkStart w:id="1" w:name="h.6ob335dnjf9z"/>
      <w:bookmarkEnd w:id="1"/>
      <w:r>
        <w:rPr/>
        <w:t>[x] Open Data Badge</w:t>
      </w:r>
    </w:p>
    <w:p>
      <w:pPr>
        <w:pStyle w:val="Normal1"/>
        <w:rPr/>
      </w:pPr>
      <w:r>
        <w:rPr/>
        <w:t xml:space="preserve"> </w:t>
      </w:r>
    </w:p>
    <w:p>
      <w:pPr>
        <w:pStyle w:val="Normal1"/>
        <w:rPr/>
      </w:pPr>
      <w:r>
        <w:rPr/>
        <w:t xml:space="preserve">1.  Provide the URL, doi, or other </w:t>
      </w:r>
      <w:r>
        <w:rPr>
          <w:b/>
        </w:rPr>
        <w:t>permanent path</w:t>
      </w:r>
      <w:r>
        <w:rPr/>
        <w:t xml:space="preserve"> for accessing the data in a </w:t>
      </w:r>
      <w:r>
        <w:rPr>
          <w:b/>
        </w:rPr>
        <w:t>public, open-access repository</w:t>
      </w:r>
      <w:r>
        <w:rPr/>
        <w:t>:</w:t>
      </w:r>
    </w:p>
    <w:p>
      <w:pPr>
        <w:pStyle w:val="Normal1"/>
        <w:rPr/>
      </w:pPr>
      <w:r>
        <w:rPr/>
      </w:r>
    </w:p>
    <w:p>
      <w:pPr>
        <w:pStyle w:val="Normal1"/>
        <w:rPr/>
      </w:pPr>
      <w:hyperlink r:id="rId14">
        <w:r>
          <w:rPr>
            <w:rStyle w:val="InternetLink"/>
          </w:rPr>
          <w:t>https://github.com/david-beauchesne/FoodWeb-MultiStressors</w:t>
        </w:r>
      </w:hyperlink>
    </w:p>
    <w:p>
      <w:pPr>
        <w:pStyle w:val="Normal1"/>
        <w:rPr/>
      </w:pPr>
      <w:r>
        <w:rPr/>
      </w:r>
    </w:p>
    <w:p>
      <w:pPr>
        <w:pStyle w:val="Normal1"/>
        <w:ind w:left="720" w:hanging="0"/>
        <w:rPr/>
      </w:pPr>
      <w:r>
        <w:rPr>
          <w:b/>
        </w:rPr>
        <w:t xml:space="preserve">[x] </w:t>
      </w:r>
      <w:r>
        <w:rPr/>
        <w:t xml:space="preserve">Confirm that there is sufficient information for an independent researcher to reproduce </w:t>
      </w:r>
      <w:r>
        <w:rPr>
          <w:b/>
        </w:rPr>
        <w:t>all of the reported results</w:t>
      </w:r>
      <w:r>
        <w:rPr/>
        <w:t>, including codebook if relevant.</w:t>
      </w:r>
    </w:p>
    <w:p>
      <w:pPr>
        <w:pStyle w:val="Normal1"/>
        <w:rPr/>
      </w:pPr>
      <w:r>
        <w:rPr/>
      </w:r>
    </w:p>
    <w:p>
      <w:pPr>
        <w:pStyle w:val="Normal1"/>
        <w:rPr/>
      </w:pPr>
      <w:r>
        <w:rPr/>
      </w:r>
    </w:p>
    <w:p>
      <w:pPr>
        <w:pStyle w:val="Heading1"/>
        <w:spacing w:before="200" w:after="0"/>
        <w:contextualSpacing/>
        <w:rPr/>
      </w:pPr>
      <w:bookmarkStart w:id="2" w:name="h.1bp3vvo2ql53"/>
      <w:bookmarkEnd w:id="2"/>
      <w:r>
        <w:rPr/>
        <w:t>[x] Open Materials Badge</w:t>
      </w:r>
    </w:p>
    <w:p>
      <w:pPr>
        <w:pStyle w:val="Normal1"/>
        <w:rPr/>
      </w:pPr>
      <w:r>
        <w:rPr/>
      </w:r>
    </w:p>
    <w:p>
      <w:pPr>
        <w:pStyle w:val="Normal1"/>
        <w:numPr>
          <w:ilvl w:val="0"/>
          <w:numId w:val="2"/>
        </w:numPr>
        <w:spacing w:before="0" w:after="0"/>
        <w:ind w:left="360" w:firstLine="360"/>
        <w:contextualSpacing/>
        <w:rPr/>
      </w:pPr>
      <w:r>
        <w:rPr/>
        <w:t xml:space="preserve">Provide the URL, doi, or other </w:t>
      </w:r>
      <w:r>
        <w:rPr>
          <w:b/>
        </w:rPr>
        <w:t>permanent path</w:t>
      </w:r>
      <w:r>
        <w:rPr/>
        <w:t xml:space="preserve"> for accessing the materials in a </w:t>
      </w:r>
      <w:r>
        <w:rPr>
          <w:b/>
        </w:rPr>
        <w:t>public, open-access repository</w:t>
      </w:r>
      <w:r>
        <w:rPr/>
        <w:t xml:space="preserve">: </w:t>
      </w:r>
    </w:p>
    <w:p>
      <w:pPr>
        <w:pStyle w:val="Normal1"/>
        <w:numPr>
          <w:ilvl w:val="0"/>
          <w:numId w:val="0"/>
        </w:numPr>
        <w:spacing w:before="0" w:after="0"/>
        <w:ind w:left="1080" w:hanging="0"/>
        <w:contextualSpacing/>
        <w:rPr/>
      </w:pPr>
      <w:r>
        <w:rPr/>
      </w:r>
    </w:p>
    <w:p>
      <w:pPr>
        <w:pStyle w:val="Normal1"/>
        <w:numPr>
          <w:ilvl w:val="0"/>
          <w:numId w:val="0"/>
        </w:numPr>
        <w:spacing w:before="0" w:after="0"/>
        <w:ind w:left="3960" w:hanging="0"/>
        <w:contextualSpacing/>
        <w:rPr/>
      </w:pPr>
      <w:hyperlink r:id="rId15">
        <w:r>
          <w:rPr>
            <w:rStyle w:val="InternetLink"/>
          </w:rPr>
          <w:t>https://github.com/david-beauchesne/FoodWeb-MultiStressors</w:t>
        </w:r>
      </w:hyperlink>
    </w:p>
    <w:p>
      <w:pPr>
        <w:pStyle w:val="Normal1"/>
        <w:rPr/>
      </w:pPr>
      <w:r>
        <w:rPr/>
      </w:r>
    </w:p>
    <w:p>
      <w:pPr>
        <w:pStyle w:val="Normal1"/>
        <w:ind w:left="720" w:hanging="0"/>
        <w:rPr/>
      </w:pPr>
      <w:r>
        <w:rPr>
          <w:b/>
        </w:rPr>
        <w:t>[x]</w:t>
      </w:r>
      <w:r>
        <w:rPr/>
        <w:t xml:space="preserve"> Confirm that there is sufficient information for an independent researcher to reproduce </w:t>
      </w:r>
      <w:r>
        <w:rPr>
          <w:b/>
        </w:rPr>
        <w:t>all of the reported methodology</w:t>
      </w:r>
      <w:r>
        <w:rPr/>
        <w:t>.</w:t>
      </w:r>
    </w:p>
    <w:p>
      <w:pPr>
        <w:pStyle w:val="Normal1"/>
        <w:rPr/>
      </w:pPr>
      <w:r>
        <w:rPr/>
      </w:r>
    </w:p>
    <w:p>
      <w:pPr>
        <w:pStyle w:val="Normal1"/>
        <w:rPr/>
      </w:pPr>
      <w:r>
        <w:rPr/>
        <w:t xml:space="preserve"> </w:t>
      </w:r>
      <w:r>
        <w:rPr>
          <w:rFonts w:eastAsia="Trebuchet MS" w:cs="Trebuchet MS" w:ascii="Trebuchet MS" w:hAnsi="Trebuchet MS"/>
          <w:sz w:val="32"/>
        </w:rPr>
        <w:t>[] Preregistered Badge</w:t>
      </w:r>
    </w:p>
    <w:p>
      <w:pPr>
        <w:pStyle w:val="Normal1"/>
        <w:rPr/>
      </w:pPr>
      <w:r>
        <w:rPr/>
      </w:r>
    </w:p>
    <w:p>
      <w:pPr>
        <w:pStyle w:val="Normal1"/>
        <w:numPr>
          <w:ilvl w:val="0"/>
          <w:numId w:val="1"/>
        </w:numPr>
        <w:spacing w:before="0" w:after="0"/>
        <w:ind w:left="270" w:firstLine="360"/>
        <w:contextualSpacing/>
        <w:rPr/>
      </w:pPr>
      <w:r>
        <w:rPr/>
        <w:t xml:space="preserve">Provide the URL, doi, or other </w:t>
      </w:r>
      <w:r>
        <w:rPr>
          <w:b/>
        </w:rPr>
        <w:t>permanent path</w:t>
      </w:r>
      <w:r>
        <w:rPr/>
        <w:t xml:space="preserve"> to the registration in a </w:t>
      </w:r>
      <w:r>
        <w:rPr>
          <w:b/>
        </w:rPr>
        <w:t>public, open-access repository</w:t>
      </w:r>
      <w:r>
        <w:rPr/>
        <w:t>*:</w:t>
      </w:r>
    </w:p>
    <w:p>
      <w:pPr>
        <w:pStyle w:val="Normal1"/>
        <w:rPr/>
      </w:pPr>
      <w:r>
        <w:rPr/>
        <w:t xml:space="preserve"> </w:t>
      </w:r>
    </w:p>
    <w:p>
      <w:pPr>
        <w:pStyle w:val="Normal1"/>
        <w:rPr/>
      </w:pPr>
      <w:r>
        <w:rPr/>
      </w:r>
    </w:p>
    <w:p>
      <w:pPr>
        <w:pStyle w:val="Normal1"/>
        <w:rPr/>
      </w:pPr>
      <w:r>
        <w:rPr/>
        <w:t>2. Was the analysis plan registered prior to examination of the data or observing the outcomes? If no, explain.**</w:t>
      </w:r>
    </w:p>
    <w:p>
      <w:pPr>
        <w:pStyle w:val="Normal1"/>
        <w:rPr/>
      </w:pPr>
      <w:r>
        <w:rPr/>
      </w:r>
    </w:p>
    <w:p>
      <w:pPr>
        <w:pStyle w:val="Normal1"/>
        <w:rPr/>
      </w:pPr>
      <w:r>
        <w:rPr/>
      </w:r>
    </w:p>
    <w:p>
      <w:pPr>
        <w:pStyle w:val="Normal1"/>
        <w:rPr/>
      </w:pPr>
      <w:r>
        <w:rPr/>
        <w:t>3. Were there additional registrations for the study other than the one reported? If yes, provide links and explain.*</w:t>
      </w:r>
    </w:p>
    <w:p>
      <w:pPr>
        <w:pStyle w:val="Normal1"/>
        <w:rPr/>
      </w:pPr>
      <w:r>
        <w:rPr/>
      </w:r>
    </w:p>
    <w:p>
      <w:pPr>
        <w:pStyle w:val="Normal1"/>
        <w:rPr/>
      </w:pPr>
      <w:r>
        <w:rPr/>
      </w:r>
    </w:p>
    <w:p>
      <w:pPr>
        <w:pStyle w:val="Normal1"/>
        <w:rPr/>
      </w:pPr>
      <w:r>
        <w:rPr/>
        <w:t>4. Were there any changes to the preregistered analysis plan for the primary confirmatory analysis? If yes, explain.**</w:t>
      </w:r>
    </w:p>
    <w:p>
      <w:pPr>
        <w:pStyle w:val="Normal1"/>
        <w:rPr/>
      </w:pPr>
      <w:r>
        <w:rPr/>
      </w:r>
    </w:p>
    <w:p>
      <w:pPr>
        <w:pStyle w:val="Normal1"/>
        <w:rPr/>
      </w:pPr>
      <w:r>
        <w:rPr/>
      </w:r>
    </w:p>
    <w:p>
      <w:pPr>
        <w:pStyle w:val="Normal1"/>
        <w:rPr/>
      </w:pPr>
      <w:r>
        <w:rPr/>
        <w:t>5. Are all of the analyses described in the registered plan reported in the article? If no, explain.*</w:t>
      </w:r>
    </w:p>
    <w:p>
      <w:pPr>
        <w:pStyle w:val="Normal1"/>
        <w:rPr/>
      </w:pPr>
      <w:r>
        <w:rPr/>
      </w:r>
    </w:p>
    <w:p>
      <w:pPr>
        <w:pStyle w:val="Normal1"/>
        <w:rPr/>
      </w:pPr>
      <w:r>
        <w:rPr/>
      </w:r>
    </w:p>
    <w:p>
      <w:pPr>
        <w:pStyle w:val="Normal1"/>
        <w:rPr/>
      </w:pPr>
      <w:r>
        <w:rPr/>
      </w:r>
    </w:p>
    <w:p>
      <w:pPr>
        <w:pStyle w:val="Normal1"/>
        <w:rPr/>
      </w:pPr>
      <w:r>
        <w:rPr/>
        <w:t xml:space="preserve">*No badge will be awarded if (1) is not provided, </w:t>
      </w:r>
      <w:r>
        <w:rPr>
          <w:b/>
        </w:rPr>
        <w:t>or</w:t>
      </w:r>
      <w:r>
        <w:rPr/>
        <w:t xml:space="preserve"> if (3) is answered “yes” without strong justification, </w:t>
      </w:r>
      <w:r>
        <w:rPr>
          <w:b/>
        </w:rPr>
        <w:t>or</w:t>
      </w:r>
      <w:r>
        <w:rPr/>
        <w:t xml:space="preserve"> if (5) is answered “no” without strong justification. </w:t>
      </w:r>
    </w:p>
    <w:p>
      <w:pPr>
        <w:pStyle w:val="Normal1"/>
        <w:rPr/>
      </w:pPr>
      <w:r>
        <w:rPr/>
      </w:r>
    </w:p>
    <w:p>
      <w:pPr>
        <w:pStyle w:val="Normal1"/>
        <w:rPr/>
      </w:pPr>
      <w:r>
        <w:rPr/>
        <w:t>**If the answer to (2) is “no,” the notation DE (Data Exist) will be added to the badge, indicating that registration postdates realization of the outcomes but predates analysis. If the answer to (4) is “yes” with strong justification for changes, the notation TC (Transparent Changes) will be added to the badge, indicating that the analysis plan was altered but the preregistered analyses and rationale for the change are provided.</w:t>
      </w:r>
    </w:p>
    <w:p>
      <w:pPr>
        <w:pStyle w:val="Normal1"/>
        <w:rPr/>
      </w:pPr>
      <w:r>
        <w:rPr/>
      </w:r>
    </w:p>
    <w:p>
      <w:pPr>
        <w:pStyle w:val="Normal1"/>
        <w:rPr/>
      </w:pPr>
      <w:r>
        <w:rP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pPr>
        <w:pStyle w:val="Normal1"/>
        <w:rPr/>
      </w:pPr>
      <w:r>
        <w:drawing>
          <wp:anchor behindDoc="0" distT="0" distB="0" distL="0" distR="0" simplePos="0" locked="0" layoutInCell="1" allowOverlap="1" relativeHeight="2">
            <wp:simplePos x="0" y="0"/>
            <wp:positionH relativeFrom="column">
              <wp:posOffset>798195</wp:posOffset>
            </wp:positionH>
            <wp:positionV relativeFrom="paragraph">
              <wp:posOffset>27940</wp:posOffset>
            </wp:positionV>
            <wp:extent cx="1600835" cy="2851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1600835" cy="285115"/>
                    </a:xfrm>
                    <a:prstGeom prst="rect">
                      <a:avLst/>
                    </a:prstGeom>
                  </pic:spPr>
                </pic:pic>
              </a:graphicData>
            </a:graphic>
          </wp:anchor>
        </w:drawing>
      </w:r>
      <w:r>
        <w:rPr>
          <w:b/>
        </w:rPr>
        <w:t xml:space="preserve"> </w:t>
      </w:r>
    </w:p>
    <w:p>
      <w:pPr>
        <w:pStyle w:val="Normal1"/>
        <w:rPr/>
      </w:pPr>
      <w:r>
        <w:rPr>
          <w:b/>
        </w:rPr>
        <w:t xml:space="preserve">Signature: </w:t>
      </w:r>
    </w:p>
    <w:p>
      <w:pPr>
        <w:pStyle w:val="Normal1"/>
        <w:rPr/>
      </w:pPr>
      <w:r>
        <w:rPr>
          <w:b/>
        </w:rPr>
        <w:t>Name: David Beauchesne</w:t>
      </w:r>
    </w:p>
    <w:p>
      <w:pPr>
        <w:pStyle w:val="Normal1"/>
        <w:rPr/>
      </w:pPr>
      <w:r>
        <w:rPr>
          <w:b/>
        </w:rPr>
        <w:t>Date: 2020-07-27</w:t>
      </w:r>
    </w:p>
    <w:p>
      <w:pPr>
        <w:pStyle w:val="Normal1"/>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ucida Grande">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0"/>
      <w:lang w:val="en-US" w:eastAsia="en-US" w:bidi="ar-SA"/>
    </w:rPr>
  </w:style>
  <w:style w:type="paragraph" w:styleId="Heading1">
    <w:name w:val="Heading 1"/>
    <w:basedOn w:val="Normal"/>
    <w:qFormat/>
    <w:pPr>
      <w:keepNext w:val="true"/>
      <w:keepLines/>
      <w:widowControl w:val="false"/>
      <w:bidi w:val="0"/>
      <w:spacing w:before="200" w:after="0"/>
      <w:contextualSpacing/>
      <w:jc w:val="left"/>
      <w:outlineLvl w:val="0"/>
    </w:pPr>
    <w:rPr>
      <w:rFonts w:ascii="Trebuchet MS" w:hAnsi="Trebuchet MS" w:eastAsia="Trebuchet MS" w:cs="Trebuchet MS"/>
      <w:color w:val="000000"/>
      <w:kern w:val="0"/>
      <w:sz w:val="32"/>
      <w:szCs w:val="20"/>
      <w:lang w:val="en-US" w:eastAsia="en-US" w:bidi="ar-SA"/>
    </w:rPr>
  </w:style>
  <w:style w:type="paragraph" w:styleId="Heading2">
    <w:name w:val="Heading 2"/>
    <w:basedOn w:val="Normal"/>
    <w:qFormat/>
    <w:pPr>
      <w:keepNext w:val="true"/>
      <w:keepLines/>
      <w:widowControl w:val="false"/>
      <w:bidi w:val="0"/>
      <w:spacing w:before="200" w:after="0"/>
      <w:contextualSpacing/>
      <w:jc w:val="left"/>
      <w:outlineLvl w:val="1"/>
    </w:pPr>
    <w:rPr>
      <w:rFonts w:ascii="Trebuchet MS" w:hAnsi="Trebuchet MS" w:eastAsia="Trebuchet MS" w:cs="Trebuchet MS"/>
      <w:b/>
      <w:color w:val="000000"/>
      <w:kern w:val="0"/>
      <w:sz w:val="26"/>
      <w:szCs w:val="20"/>
      <w:lang w:val="en-US" w:eastAsia="en-US" w:bidi="ar-SA"/>
    </w:rPr>
  </w:style>
  <w:style w:type="paragraph" w:styleId="Heading3">
    <w:name w:val="Heading 3"/>
    <w:basedOn w:val="Normal"/>
    <w:qFormat/>
    <w:pPr>
      <w:keepNext w:val="true"/>
      <w:keepLines/>
      <w:widowControl w:val="false"/>
      <w:bidi w:val="0"/>
      <w:spacing w:before="160" w:after="0"/>
      <w:contextualSpacing/>
      <w:jc w:val="left"/>
      <w:outlineLvl w:val="2"/>
    </w:pPr>
    <w:rPr>
      <w:rFonts w:ascii="Trebuchet MS" w:hAnsi="Trebuchet MS" w:eastAsia="Trebuchet MS" w:cs="Trebuchet MS"/>
      <w:b/>
      <w:color w:val="666666"/>
      <w:kern w:val="0"/>
      <w:sz w:val="24"/>
      <w:szCs w:val="20"/>
      <w:lang w:val="en-US" w:eastAsia="en-US" w:bidi="ar-SA"/>
    </w:rPr>
  </w:style>
  <w:style w:type="paragraph" w:styleId="Heading4">
    <w:name w:val="Heading 4"/>
    <w:basedOn w:val="Normal"/>
    <w:qFormat/>
    <w:pPr>
      <w:keepNext w:val="true"/>
      <w:keepLines/>
      <w:widowControl w:val="false"/>
      <w:bidi w:val="0"/>
      <w:spacing w:before="160" w:after="0"/>
      <w:contextualSpacing/>
      <w:jc w:val="left"/>
      <w:outlineLvl w:val="3"/>
    </w:pPr>
    <w:rPr>
      <w:rFonts w:ascii="Trebuchet MS" w:hAnsi="Trebuchet MS" w:eastAsia="Trebuchet MS" w:cs="Trebuchet MS"/>
      <w:color w:val="666666"/>
      <w:kern w:val="0"/>
      <w:sz w:val="22"/>
      <w:szCs w:val="20"/>
      <w:u w:val="single"/>
      <w:lang w:val="en-US" w:eastAsia="en-US" w:bidi="ar-SA"/>
    </w:rPr>
  </w:style>
  <w:style w:type="paragraph" w:styleId="Heading5">
    <w:name w:val="Heading 5"/>
    <w:basedOn w:val="Normal"/>
    <w:qFormat/>
    <w:pPr>
      <w:keepNext w:val="true"/>
      <w:keepLines/>
      <w:widowControl w:val="false"/>
      <w:bidi w:val="0"/>
      <w:spacing w:before="160" w:after="0"/>
      <w:contextualSpacing/>
      <w:jc w:val="left"/>
      <w:outlineLvl w:val="4"/>
    </w:pPr>
    <w:rPr>
      <w:rFonts w:ascii="Trebuchet MS" w:hAnsi="Trebuchet MS" w:eastAsia="Trebuchet MS" w:cs="Trebuchet MS"/>
      <w:color w:val="666666"/>
      <w:kern w:val="0"/>
      <w:sz w:val="22"/>
      <w:szCs w:val="20"/>
      <w:lang w:val="en-US" w:eastAsia="en-US" w:bidi="ar-SA"/>
    </w:rPr>
  </w:style>
  <w:style w:type="paragraph" w:styleId="Heading6">
    <w:name w:val="Heading 6"/>
    <w:basedOn w:val="Normal"/>
    <w:qFormat/>
    <w:pPr>
      <w:keepNext w:val="true"/>
      <w:keepLines/>
      <w:widowControl w:val="false"/>
      <w:bidi w:val="0"/>
      <w:spacing w:before="160" w:after="0"/>
      <w:contextualSpacing/>
      <w:jc w:val="left"/>
      <w:outlineLvl w:val="5"/>
    </w:pPr>
    <w:rPr>
      <w:rFonts w:ascii="Trebuchet MS" w:hAnsi="Trebuchet MS" w:eastAsia="Trebuchet MS" w:cs="Trebuchet MS"/>
      <w:i/>
      <w:color w:val="666666"/>
      <w:kern w:val="0"/>
      <w:sz w:val="22"/>
      <w:szCs w:val="20"/>
      <w:lang w:val="en-US"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4"/>
      <w:szCs w:val="24"/>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9f2689"/>
    <w:rPr>
      <w:rFonts w:ascii="Lucida Grande" w:hAnsi="Lucida Grande"/>
      <w:sz w:val="18"/>
      <w:szCs w:val="18"/>
    </w:rPr>
  </w:style>
  <w:style w:type="character" w:styleId="CommentSubjectChar" w:customStyle="1">
    <w:name w:val="Comment Subject Char"/>
    <w:basedOn w:val="CommentTextChar"/>
    <w:link w:val="CommentSubject"/>
    <w:uiPriority w:val="99"/>
    <w:semiHidden/>
    <w:qFormat/>
    <w:rsid w:val="00423426"/>
    <w:rPr>
      <w:b/>
      <w:bCs/>
      <w:sz w:val="20"/>
      <w:szCs w:val="24"/>
    </w:rPr>
  </w:style>
  <w:style w:type="character" w:styleId="InternetLink">
    <w:name w:val="Internet Link"/>
    <w:basedOn w:val="DefaultParagraphFont"/>
    <w:uiPriority w:val="99"/>
    <w:unhideWhenUsed/>
    <w:rsid w:val="007e754f"/>
    <w:rPr>
      <w:color w:val="0000FF" w:themeColor="hyperlink"/>
      <w:u w:val="single"/>
    </w:rPr>
  </w:style>
  <w:style w:type="character" w:styleId="UnresolvedMention">
    <w:name w:val="Unresolved Mention"/>
    <w:basedOn w:val="DefaultParagraphFont"/>
    <w:uiPriority w:val="99"/>
    <w:semiHidden/>
    <w:unhideWhenUsed/>
    <w:qFormat/>
    <w:rsid w:val="007e754f"/>
    <w:rPr>
      <w:color w:val="605E5C"/>
      <w:shd w:fill="E1DFDD" w:val="clear"/>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tyle>
  <w:style w:type="character" w:styleId="ListLabel20">
    <w:name w:val="ListLabel 20"/>
    <w:qFormat/>
    <w:rPr/>
  </w:style>
  <w:style w:type="character" w:styleId="ListLabel21">
    <w:name w:val="ListLabel 21"/>
    <w:qFormat/>
    <w:rPr>
      <w:color w:val="1155CC"/>
      <w:u w:val="singl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style>
  <w:style w:type="character" w:styleId="ListLabel41">
    <w:name w:val="ListLabel 41"/>
    <w:qFormat/>
    <w:rPr/>
  </w:style>
  <w:style w:type="character" w:styleId="ListLabel42">
    <w:name w:val="ListLabel 42"/>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pPr>
      <w:widowControl/>
      <w:bidi w:val="0"/>
      <w:jc w:val="left"/>
    </w:pPr>
    <w:rPr>
      <w:rFonts w:ascii="Arial" w:hAnsi="Arial" w:eastAsia="Arial" w:cs="Arial"/>
      <w:color w:val="000000"/>
      <w:kern w:val="0"/>
      <w:sz w:val="22"/>
      <w:szCs w:val="20"/>
      <w:lang w:val="en-US" w:eastAsia="en-US" w:bidi="ar-SA"/>
    </w:rPr>
  </w:style>
  <w:style w:type="paragraph" w:styleId="Title">
    <w:name w:val="Title"/>
    <w:basedOn w:val="Normal1"/>
    <w:next w:val="Normal1"/>
    <w:qFormat/>
    <w:pPr>
      <w:keepNext w:val="true"/>
      <w:keepLines/>
      <w:spacing w:before="0" w:after="0"/>
      <w:contextualSpacing/>
    </w:pPr>
    <w:rPr>
      <w:rFonts w:ascii="Trebuchet MS" w:hAnsi="Trebuchet MS" w:eastAsia="Trebuchet MS" w:cs="Trebuchet MS"/>
      <w:sz w:val="42"/>
    </w:rPr>
  </w:style>
  <w:style w:type="paragraph" w:styleId="Subtitle">
    <w:name w:val="Subtitle"/>
    <w:basedOn w:val="Normal1"/>
    <w:next w:val="Normal1"/>
    <w:qFormat/>
    <w:pPr>
      <w:keepNext w:val="true"/>
      <w:keepLines/>
      <w:spacing w:before="0" w:after="200"/>
      <w:contextualSpacing/>
    </w:pPr>
    <w:rPr>
      <w:rFonts w:ascii="Trebuchet MS" w:hAnsi="Trebuchet MS" w:eastAsia="Trebuchet MS" w:cs="Trebuchet MS"/>
      <w:i/>
      <w:color w:val="666666"/>
      <w:sz w:val="26"/>
    </w:rPr>
  </w:style>
  <w:style w:type="paragraph" w:styleId="Annotationtext">
    <w:name w:val="annotation text"/>
    <w:basedOn w:val="Normal"/>
    <w:link w:val="CommentTextChar"/>
    <w:uiPriority w:val="99"/>
    <w:semiHidden/>
    <w:unhideWhenUsed/>
    <w:qFormat/>
    <w:pPr>
      <w:spacing w:lineRule="auto" w:line="240"/>
    </w:pPr>
    <w:rPr>
      <w:sz w:val="24"/>
      <w:szCs w:val="24"/>
    </w:rPr>
  </w:style>
  <w:style w:type="paragraph" w:styleId="BalloonText">
    <w:name w:val="Balloon Text"/>
    <w:basedOn w:val="Normal"/>
    <w:link w:val="BalloonTextChar"/>
    <w:uiPriority w:val="99"/>
    <w:semiHidden/>
    <w:unhideWhenUsed/>
    <w:qFormat/>
    <w:rsid w:val="009f2689"/>
    <w:pPr>
      <w:spacing w:lineRule="auto" w:line="240"/>
    </w:pPr>
    <w:rPr>
      <w:rFonts w:ascii="Lucida Grande" w:hAnsi="Lucida Grande"/>
      <w:sz w:val="18"/>
      <w:szCs w:val="18"/>
    </w:rPr>
  </w:style>
  <w:style w:type="paragraph" w:styleId="Annotationsubject">
    <w:name w:val="annotation subject"/>
    <w:basedOn w:val="Annotationtext"/>
    <w:link w:val="CommentSubjectChar"/>
    <w:uiPriority w:val="99"/>
    <w:semiHidden/>
    <w:unhideWhenUsed/>
    <w:qFormat/>
    <w:rsid w:val="00423426"/>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library.wiley.com/page/journal/14610248/homepage/forauthors.html" TargetMode="External"/><Relationship Id="rId3" Type="http://schemas.openxmlformats.org/officeDocument/2006/relationships/hyperlink" Target="https://osf.io/tvyxz/wiki/home" TargetMode="External"/><Relationship Id="rId4" Type="http://schemas.openxmlformats.org/officeDocument/2006/relationships/hyperlink" Target="https://osf.io/tvyxz/wiki/home" TargetMode="External"/><Relationship Id="rId5" Type="http://schemas.openxmlformats.org/officeDocument/2006/relationships/hyperlink" Target="https://osf.io/" TargetMode="External"/><Relationship Id="rId6" Type="http://schemas.openxmlformats.org/officeDocument/2006/relationships/hyperlink" Target="http://www.re3data.org/" TargetMode="External"/><Relationship Id="rId7" Type="http://schemas.openxmlformats.org/officeDocument/2006/relationships/hyperlink" Target="http://www.re3data.org/" TargetMode="External"/><Relationship Id="rId8" Type="http://schemas.openxmlformats.org/officeDocument/2006/relationships/hyperlink" Target="https://osf.io/" TargetMode="External"/><Relationship Id="rId9" Type="http://schemas.openxmlformats.org/officeDocument/2006/relationships/hyperlink" Target="https://osf.io/" TargetMode="External"/><Relationship Id="rId10" Type="http://schemas.openxmlformats.org/officeDocument/2006/relationships/hyperlink" Target="http://clinicaltrials.gov/" TargetMode="External"/><Relationship Id="rId11" Type="http://schemas.openxmlformats.org/officeDocument/2006/relationships/hyperlink" Target="http://clinicaltrials.gov/" TargetMode="External"/><Relationship Id="rId12" Type="http://schemas.openxmlformats.org/officeDocument/2006/relationships/hyperlink" Target="http://www.who.int/ictrp/network/en/" TargetMode="External"/><Relationship Id="rId13" Type="http://schemas.openxmlformats.org/officeDocument/2006/relationships/hyperlink" Target="http://www.who.int/ictrp/network/en/" TargetMode="External"/><Relationship Id="rId14" Type="http://schemas.openxmlformats.org/officeDocument/2006/relationships/hyperlink" Target="https://github.com/david-beauchesne/FoodWeb-MultiStressors" TargetMode="External"/><Relationship Id="rId15" Type="http://schemas.openxmlformats.org/officeDocument/2006/relationships/hyperlink" Target="https://github.com/david-beauchesne/FoodWeb-MultiStressors" TargetMode="External"/><Relationship Id="rId16" Type="http://schemas.openxmlformats.org/officeDocument/2006/relationships/image" Target="media/image1.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98D4199A564E418D4B3C4B356D6A9E" ma:contentTypeVersion="13" ma:contentTypeDescription="Create a new document." ma:contentTypeScope="" ma:versionID="c9aea92b30629195de3df8e16193ebd0">
  <xsd:schema xmlns:xsd="http://www.w3.org/2001/XMLSchema" xmlns:xs="http://www.w3.org/2001/XMLSchema" xmlns:p="http://schemas.microsoft.com/office/2006/metadata/properties" xmlns:ns3="f95649b7-7e8d-4b7d-acc4-a97ef19bc007" xmlns:ns4="abebd027-d176-4f68-b8a7-e262504f56a2" targetNamespace="http://schemas.microsoft.com/office/2006/metadata/properties" ma:root="true" ma:fieldsID="7ab0563ab6a073ab5b7786a2843c28a6" ns3:_="" ns4:_="">
    <xsd:import namespace="f95649b7-7e8d-4b7d-acc4-a97ef19bc007"/>
    <xsd:import namespace="abebd027-d176-4f68-b8a7-e262504f56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649b7-7e8d-4b7d-acc4-a97ef19bc0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bd027-d176-4f68-b8a7-e262504f56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E3AF-DEAC-4376-83C1-5D2C134C06D8}">
  <ds:schemaRefs>
    <ds:schemaRef ds:uri="http://schemas.microsoft.com/sharepoint/v3/contenttype/forms"/>
  </ds:schemaRefs>
</ds:datastoreItem>
</file>

<file path=customXml/itemProps2.xml><?xml version="1.0" encoding="utf-8"?>
<ds:datastoreItem xmlns:ds="http://schemas.openxmlformats.org/officeDocument/2006/customXml" ds:itemID="{2668E7D5-741C-4EE6-A7F1-B248997E0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649b7-7e8d-4b7d-acc4-a97ef19bc007"/>
    <ds:schemaRef ds:uri="abebd027-d176-4f68-b8a7-e262504f5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1527DF-FE32-492E-B6C8-38DEE74DC6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3D78E4-A2DA-4D23-805A-4FBFF47C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LibreOffice/6.0.4.2$MacOSX_X86_64 LibreOffice_project/9b0d9b32d5dcda91d2f1a96dc04c645c450872bf</Application>
  <Pages>3</Pages>
  <Words>696</Words>
  <Characters>3930</Characters>
  <CharactersWithSpaces>4607</CharactersWithSpaces>
  <Paragraphs>32</Paragraphs>
  <Company>Center for Open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2020-05-18T12:58:00Z</dcterms:created>
  <dc:creator>Smith, Georgina</dc:creator>
  <dc:description/>
  <dc:language>en-CA</dc:language>
  <cp:lastModifiedBy/>
  <dcterms:modified xsi:type="dcterms:W3CDTF">2020-07-27T22:33:22Z</dcterms:modified>
  <cp:revision>7</cp:revision>
  <dc:subject/>
  <dc:title>Badges Disclosure Template.docx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Center for Open Science</vt:lpwstr>
  </property>
  <property fmtid="{D5CDD505-2E9C-101B-9397-08002B2CF9AE}" pid="4" name="ContentTypeId">
    <vt:lpwstr>0x010100D998D4199A564E418D4B3C4B356D6A9E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