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pPr>
    </w:p>
    <w:p>
      <w:pPr>
        <w:spacing w:after="80"/>
      </w:pPr>
      <w:r>
        <w:rPr>
          <w:rFonts w:ascii="Calibri" w:hAnsi="Calibri"/>
          <w:b/>
          <w:color w:val="202D3A"/>
          <w:sz w:val="50"/>
        </w:rPr>
        <w:t>Cramapple Teaching and Pedagogy Design</w:t>
      </w:r>
    </w:p>
    <w:p>
      <w:pPr>
        <w:spacing w:after="320"/>
      </w:pPr>
      <w:r>
        <w:rPr>
          <w:rFonts w:ascii="Calibri" w:hAnsi="Calibri"/>
          <w:color w:val="5A636C"/>
          <w:sz w:val="26"/>
        </w:rPr>
        <w:t>Canonical planning draft | Version 0.2</w:t>
      </w:r>
    </w:p>
    <w:p>
      <w:pPr>
        <w:spacing w:after="40"/>
      </w:pPr>
      <w:r>
        <w:rPr>
          <w:rFonts w:ascii="Calibri" w:hAnsi="Calibri"/>
          <w:b/>
          <w:color w:val="202D3A"/>
          <w:sz w:val="21"/>
        </w:rPr>
        <w:t xml:space="preserve">Product owner: </w:t>
      </w:r>
      <w:r>
        <w:rPr>
          <w:rFonts w:ascii="Calibri" w:hAnsi="Calibri"/>
          <w:color w:val="202D3A"/>
          <w:sz w:val="21"/>
        </w:rPr>
        <w:t>David Bloom</w:t>
      </w:r>
    </w:p>
    <w:p>
      <w:pPr>
        <w:spacing w:after="40"/>
      </w:pPr>
      <w:r>
        <w:rPr>
          <w:rFonts w:ascii="Calibri" w:hAnsi="Calibri"/>
          <w:b/>
          <w:color w:val="202D3A"/>
          <w:sz w:val="21"/>
        </w:rPr>
        <w:t xml:space="preserve">Date: </w:t>
      </w:r>
      <w:r>
        <w:rPr>
          <w:rFonts w:ascii="Calibri" w:hAnsi="Calibri"/>
          <w:color w:val="202D3A"/>
          <w:sz w:val="21"/>
        </w:rPr>
        <w:t>June 10, 2026</w:t>
      </w:r>
    </w:p>
    <w:p>
      <w:pPr>
        <w:spacing w:after="40"/>
      </w:pPr>
      <w:r>
        <w:rPr>
          <w:rFonts w:ascii="Calibri" w:hAnsi="Calibri"/>
          <w:b/>
          <w:color w:val="202D3A"/>
          <w:sz w:val="21"/>
        </w:rPr>
        <w:t xml:space="preserve">Status: </w:t>
      </w:r>
      <w:r>
        <w:rPr>
          <w:rFonts w:ascii="Calibri" w:hAnsi="Calibri"/>
          <w:color w:val="202D3A"/>
          <w:sz w:val="21"/>
        </w:rPr>
        <w:t>Ready for owner review</w:t>
      </w:r>
    </w:p>
    <w:p>
      <w:pPr>
        <w:spacing w:after="40"/>
      </w:pPr>
      <w:r>
        <w:rPr>
          <w:rFonts w:ascii="Calibri" w:hAnsi="Calibri"/>
          <w:b/>
          <w:color w:val="202D3A"/>
          <w:sz w:val="21"/>
        </w:rPr>
        <w:t xml:space="preserve">Scope: </w:t>
      </w:r>
      <w:r>
        <w:rPr>
          <w:rFonts w:ascii="Calibri" w:hAnsi="Calibri"/>
          <w:color w:val="202D3A"/>
          <w:sz w:val="21"/>
        </w:rPr>
        <w:t>Planning and teaching design only; no implementation</w:t>
      </w:r>
    </w:p>
    <w:p>
      <w:pPr>
        <w:spacing w:after="160"/>
      </w:pPr>
    </w:p>
    <w:p>
      <w:pPr>
        <w:pStyle w:val="Heading1"/>
      </w:pPr>
      <w:r>
        <w:t>1. Document Status</w:t>
      </w:r>
    </w:p>
    <w:p>
      <w:pPr>
        <w:widowControl/>
      </w:pPr>
      <w:r>
        <w:t>This document defines the proposed teaching behavior of Cramapple. It translates the ten-day AP-exam preparation constraint into a pedagogical contract, diagnostic model, next-best-action policy, and validation framework.</w:t>
      </w:r>
    </w:p>
    <w:p>
      <w:pPr>
        <w:widowControl/>
      </w:pPr>
      <w:r>
        <w:t>It is a planning artifact. It does not contain final prompts, algorithms, database schemas, lesson content, or production score claims. Teaching and grading remain separate systems: grading produces structured evidence; teaching decides what the learner should do next.</w:t>
      </w:r>
    </w:p>
    <w:p>
      <w:pPr>
        <w:pStyle w:val="Heading1"/>
      </w:pPr>
      <w:r>
        <w:t>2. Central Reframe</w:t>
      </w:r>
    </w:p>
    <w:p>
      <w:pPr>
        <w:widowControl/>
      </w:pPr>
      <w:r>
        <w:t>Cramapple is not a conventional year-long course and should not imitate one badly. Its initial use case is a learner with approximately ten days remaining before an AP exam.</w:t>
      </w:r>
    </w:p>
    <w:p>
      <w:pPr>
        <w:widowControl/>
      </w:pPr>
      <w:r>
        <w:t>The product objective is therefore:</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120" w:type="dxa"/>
              <w:start w:w="180" w:type="dxa"/>
              <w:bottom w:w="120" w:type="dxa"/>
              <w:end w:w="180" w:type="dxa"/>
            </w:tcMar>
            <w:shd w:fill="F4F6F9"/>
          </w:tcPr>
          <w:p>
            <w:pPr>
              <w:spacing w:after="0"/>
            </w:pPr>
            <w:r>
              <w:rPr>
                <w:rFonts w:ascii="Calibri" w:hAnsi="Calibri"/>
                <w:i/>
                <w:color w:val="202D3A"/>
                <w:sz w:val="21"/>
              </w:rPr>
              <w:t>Improve the learner's ability to retrieve and apply exam-relevant knowledge and skills independently through exam day.</w:t>
            </w:r>
          </w:p>
        </w:tc>
      </w:tr>
    </w:tbl>
    <w:p>
      <w:pPr>
        <w:widowControl/>
      </w:pPr>
      <w:r>
        <w:t>The product does not promise durable long-term mastery from ten days of study. It uses the short window deliberately by prioritizing retrieval, distributed return visits, interleaving, transfer, metacognitive calibration, and exam-value-aware allocation.</w:t>
      </w:r>
    </w:p>
    <w:p>
      <w:pPr>
        <w:pStyle w:val="Heading1"/>
      </w:pPr>
      <w:r>
        <w:t>3. Pedagogical Contract</w:t>
      </w:r>
    </w:p>
    <w:p>
      <w:pPr>
        <w:pStyle w:val="Heading2"/>
      </w:pPr>
      <w:r>
        <w:t>3.1 Required Teaching Behaviors</w:t>
      </w:r>
    </w:p>
    <w:p>
      <w:pPr>
        <w:numPr>
          <w:ilvl w:val="0"/>
          <w:numId w:val="11"/>
        </w:numPr>
        <w:spacing w:after="160" w:line="280" w:lineRule="auto"/>
      </w:pPr>
      <w:r>
        <w:rPr>
          <w:b/>
        </w:rPr>
        <w:t>Elicit an attempt before substantial explanation.</w:t>
      </w:r>
    </w:p>
    <w:p>
      <w:pPr>
        <w:widowControl/>
      </w:pPr>
      <w:r>
        <w:t xml:space="preserve">   The default first move is a question, prediction, interpretation, calculation, or response component. The system captures the answer and confidence before teaching.</w:t>
      </w:r>
    </w:p>
    <w:p>
      <w:pPr>
        <w:numPr>
          <w:ilvl w:val="0"/>
          <w:numId w:val="12"/>
        </w:numPr>
        <w:spacing w:after="160" w:line="280" w:lineRule="auto"/>
      </w:pPr>
      <w:r>
        <w:rPr>
          <w:b/>
        </w:rPr>
        <w:t>Diagnose before remediating.</w:t>
      </w:r>
    </w:p>
    <w:p>
      <w:pPr>
        <w:widowControl/>
      </w:pPr>
      <w:r>
        <w:t xml:space="preserve">   A wrong answer is evidence of failure on one task, not proof of a specific misconception. Follow-up tasks must discriminate among knowledge, prerequisite, reading, representation, calculation, task-language, and expression gaps.</w:t>
      </w:r>
    </w:p>
    <w:p>
      <w:pPr>
        <w:numPr>
          <w:ilvl w:val="0"/>
          <w:numId w:val="13"/>
        </w:numPr>
        <w:spacing w:after="160" w:line="280" w:lineRule="auto"/>
      </w:pPr>
      <w:r>
        <w:rPr>
          <w:b/>
        </w:rPr>
        <w:t>Teach the smallest missing element.</w:t>
      </w:r>
    </w:p>
    <w:p>
      <w:pPr>
        <w:widowControl/>
      </w:pPr>
      <w:r>
        <w:t xml:space="preserve">   Interventions should address the diagnosed gap rather than replaying a full chapter.</w:t>
      </w:r>
    </w:p>
    <w:p>
      <w:pPr>
        <w:numPr>
          <w:ilvl w:val="0"/>
          <w:numId w:val="14"/>
        </w:numPr>
        <w:spacing w:after="160" w:line="280" w:lineRule="auto"/>
      </w:pPr>
      <w:r>
        <w:rPr>
          <w:b/>
        </w:rPr>
        <w:t>Require retrieval after teaching.</w:t>
      </w:r>
    </w:p>
    <w:p>
      <w:pPr>
        <w:widowControl/>
      </w:pPr>
      <w:r>
        <w:t xml:space="preserve">   Explanations are followed by a new attempt. Reading an explanation is not accepted as evidence of learning.</w:t>
      </w:r>
    </w:p>
    <w:p>
      <w:pPr>
        <w:numPr>
          <w:ilvl w:val="0"/>
          <w:numId w:val="15"/>
        </w:numPr>
        <w:spacing w:after="160" w:line="280" w:lineRule="auto"/>
      </w:pPr>
      <w:r>
        <w:rPr>
          <w:b/>
        </w:rPr>
        <w:t>Test transfer, not recognition alone.</w:t>
      </w:r>
    </w:p>
    <w:p>
      <w:pPr>
        <w:widowControl/>
      </w:pPr>
      <w:r>
        <w:t xml:space="preserve">   The immediate retry should use a new but structurally related item when possible.</w:t>
      </w:r>
    </w:p>
    <w:p>
      <w:pPr>
        <w:numPr>
          <w:ilvl w:val="0"/>
          <w:numId w:val="16"/>
        </w:numPr>
        <w:spacing w:after="160" w:line="280" w:lineRule="auto"/>
      </w:pPr>
      <w:r>
        <w:rPr>
          <w:b/>
        </w:rPr>
        <w:t>Return to prior material before the exam.</w:t>
      </w:r>
    </w:p>
    <w:p>
      <w:pPr>
        <w:widowControl/>
      </w:pPr>
      <w:r>
        <w:t xml:space="preserve">   The system schedules delayed retrieval and prevents new material from displacing all due review.</w:t>
      </w:r>
    </w:p>
    <w:p>
      <w:pPr>
        <w:numPr>
          <w:ilvl w:val="0"/>
          <w:numId w:val="17"/>
        </w:numPr>
        <w:spacing w:after="160" w:line="280" w:lineRule="auto"/>
      </w:pPr>
      <w:r>
        <w:rPr>
          <w:b/>
        </w:rPr>
        <w:t>Interleave content and skills deliberately.</w:t>
      </w:r>
    </w:p>
    <w:p>
      <w:pPr>
        <w:widowControl/>
      </w:pPr>
      <w:r>
        <w:t xml:space="preserve">   Learners practice selecting the applicable concept or method, not merely repeating a blocked procedure.</w:t>
      </w:r>
    </w:p>
    <w:p>
      <w:pPr>
        <w:numPr>
          <w:ilvl w:val="0"/>
          <w:numId w:val="18"/>
        </w:numPr>
        <w:spacing w:after="160" w:line="280" w:lineRule="auto"/>
      </w:pPr>
      <w:r>
        <w:rPr>
          <w:b/>
        </w:rPr>
        <w:t>Explain desirable difficulty.</w:t>
      </w:r>
    </w:p>
    <w:p>
      <w:pPr>
        <w:widowControl/>
      </w:pPr>
      <w:r>
        <w:t xml:space="preserve">   The system tells learners that mixed retrieval can feel harder and produce more mistakes during practice even when it improves later discrimination and transfer.</w:t>
      </w:r>
    </w:p>
    <w:p>
      <w:pPr>
        <w:numPr>
          <w:ilvl w:val="0"/>
          <w:numId w:val="19"/>
        </w:numPr>
        <w:spacing w:after="160" w:line="280" w:lineRule="auto"/>
      </w:pPr>
      <w:r>
        <w:rPr>
          <w:b/>
        </w:rPr>
        <w:t>Build metacognitive calibration.</w:t>
      </w:r>
    </w:p>
    <w:p>
      <w:pPr>
        <w:widowControl/>
      </w:pPr>
      <w:r>
        <w:t xml:space="preserve">   Confidence is compared with performance. Recommendations disclose why an action was selected and what evidence would change the recommendation.</w:t>
      </w:r>
    </w:p>
    <w:p>
      <w:pPr>
        <w:numPr>
          <w:ilvl w:val="0"/>
          <w:numId w:val="20"/>
        </w:numPr>
        <w:spacing w:after="160" w:line="280" w:lineRule="auto"/>
      </w:pPr>
      <w:r>
        <w:rPr>
          <w:b/>
        </w:rPr>
        <w:t>Optimize expected exam contribution, not equal curriculum coverage.</w:t>
      </w:r>
    </w:p>
    <w:p>
      <w:pPr>
        <w:widowControl/>
      </w:pPr>
      <w:r>
        <w:t xml:space="preserve">    Exam weight matters, but it is combined with current deficit, teachability, retention, transfer, prerequisites, time cost, and days remaining.</w:t>
      </w:r>
    </w:p>
    <w:p>
      <w:pPr>
        <w:numPr>
          <w:ilvl w:val="0"/>
          <w:numId w:val="21"/>
        </w:numPr>
        <w:spacing w:after="160" w:line="280" w:lineRule="auto"/>
      </w:pPr>
      <w:r>
        <w:rPr>
          <w:b/>
        </w:rPr>
        <w:t>Teach FRQ points criterion by criterion.</w:t>
      </w:r>
    </w:p>
    <w:p>
      <w:pPr>
        <w:widowControl/>
      </w:pPr>
      <w:r>
        <w:t xml:space="preserve">    The system teaches students to satisfy the exact task and scoring opportunity. Claim-evidence-reasoning is a major argumentation structure, not a universal substitute for every AP Biology task.</w:t>
      </w:r>
    </w:p>
    <w:p>
      <w:pPr>
        <w:numPr>
          <w:ilvl w:val="0"/>
          <w:numId w:val="22"/>
        </w:numPr>
        <w:spacing w:after="160" w:line="280" w:lineRule="auto"/>
      </w:pPr>
      <w:r>
        <w:rPr>
          <w:b/>
        </w:rPr>
        <w:t>Represent uncertainty honestly.</w:t>
      </w:r>
    </w:p>
    <w:p>
      <w:pPr>
        <w:widowControl/>
      </w:pPr>
      <w:r>
        <w:t xml:space="preserve">    Diagnosis, improvability, mastery, and projected scores are estimates. The system qualifies them and improves them through evidence.</w:t>
      </w:r>
    </w:p>
    <w:p>
      <w:pPr>
        <w:pStyle w:val="Heading2"/>
      </w:pPr>
      <w:r>
        <w:t>3.2 Exceptions to Attempt First</w:t>
      </w:r>
    </w:p>
    <w:p>
      <w:pPr>
        <w:widowControl/>
      </w:pPr>
      <w:r>
        <w:t>Attempt-first is a default, not an absolute rule. A brief scaffold may precede an attempt when:</w:t>
      </w:r>
    </w:p>
    <w:p>
      <w:pPr>
        <w:numPr>
          <w:ilvl w:val="0"/>
          <w:numId w:val="10"/>
        </w:numPr>
        <w:spacing w:after="160" w:line="280" w:lineRule="auto"/>
      </w:pPr>
      <w:r>
        <w:t>The learner reports no exposure and cannot parse the task.</w:t>
      </w:r>
    </w:p>
    <w:p>
      <w:pPr>
        <w:numPr>
          <w:ilvl w:val="0"/>
          <w:numId w:val="10"/>
        </w:numPr>
        <w:spacing w:after="160" w:line="280" w:lineRule="auto"/>
      </w:pPr>
      <w:r>
        <w:t>Accessibility needs require orientation.</w:t>
      </w:r>
    </w:p>
    <w:p>
      <w:pPr>
        <w:numPr>
          <w:ilvl w:val="0"/>
          <w:numId w:val="10"/>
        </w:numPr>
        <w:spacing w:after="160" w:line="280" w:lineRule="auto"/>
      </w:pPr>
      <w:r>
        <w:t>The question depends on missing notation or interface instructions.</w:t>
      </w:r>
    </w:p>
    <w:p>
      <w:pPr>
        <w:numPr>
          <w:ilvl w:val="0"/>
          <w:numId w:val="10"/>
        </w:numPr>
        <w:spacing w:after="160" w:line="280" w:lineRule="auto"/>
      </w:pPr>
      <w:r>
        <w:t>The content is sensitive or safety-related.</w:t>
      </w:r>
    </w:p>
    <w:p>
      <w:pPr>
        <w:numPr>
          <w:ilvl w:val="0"/>
          <w:numId w:val="10"/>
        </w:numPr>
        <w:spacing w:after="160" w:line="280" w:lineRule="auto"/>
      </w:pPr>
      <w:r>
        <w:t>Repeated failure indicates the current task is above the learner's prerequisite level.</w:t>
      </w:r>
    </w:p>
    <w:p>
      <w:pPr>
        <w:widowControl/>
      </w:pPr>
      <w:r>
        <w:t>Even then, the scaffold should be followed promptly by retrieval.</w:t>
      </w:r>
    </w:p>
    <w:p>
      <w:pPr>
        <w:pStyle w:val="Heading1"/>
      </w:pPr>
      <w:r>
        <w:t>4. Learning-Science Foundation</w:t>
      </w:r>
    </w:p>
    <w:p>
      <w:pPr>
        <w:pStyle w:val="Heading2"/>
      </w:pPr>
      <w:r>
        <w:t>4.1 Retrieval Practice</w:t>
      </w:r>
    </w:p>
    <w:p>
      <w:pPr>
        <w:widowControl/>
      </w:pPr>
      <w:r>
        <w:t>Retrieving information strengthens later access more effectively than additional passive review in many learning contexts. Cramapple therefore treats attempted recall and application as the primary learning event.</w:t>
      </w:r>
    </w:p>
    <w:p>
      <w:pPr>
        <w:widowControl/>
      </w:pPr>
      <w:r>
        <w:t>Product implications:</w:t>
      </w:r>
    </w:p>
    <w:p>
      <w:pPr>
        <w:numPr>
          <w:ilvl w:val="0"/>
          <w:numId w:val="10"/>
        </w:numPr>
        <w:spacing w:after="160" w:line="280" w:lineRule="auto"/>
      </w:pPr>
      <w:r>
        <w:t>Questions precede substantial explanations by default.</w:t>
      </w:r>
    </w:p>
    <w:p>
      <w:pPr>
        <w:numPr>
          <w:ilvl w:val="0"/>
          <w:numId w:val="10"/>
        </w:numPr>
        <w:spacing w:after="160" w:line="280" w:lineRule="auto"/>
      </w:pPr>
      <w:r>
        <w:t>Every intervention ends with another attempt.</w:t>
      </w:r>
    </w:p>
    <w:p>
      <w:pPr>
        <w:numPr>
          <w:ilvl w:val="0"/>
          <w:numId w:val="10"/>
        </w:numPr>
        <w:spacing w:after="160" w:line="280" w:lineRule="auto"/>
      </w:pPr>
      <w:r>
        <w:t>Progress depends more on independent retrieval than content viewed.</w:t>
      </w:r>
    </w:p>
    <w:p>
      <w:pPr>
        <w:numPr>
          <w:ilvl w:val="0"/>
          <w:numId w:val="10"/>
        </w:numPr>
        <w:spacing w:after="160" w:line="280" w:lineRule="auto"/>
      </w:pPr>
      <w:r>
        <w:t>Repeated exposure without retrieval is not counted as mastery evidence.</w:t>
      </w:r>
    </w:p>
    <w:p>
      <w:pPr>
        <w:pStyle w:val="Heading2"/>
      </w:pPr>
      <w:r>
        <w:t>4.2 Distributed Practice</w:t>
      </w:r>
    </w:p>
    <w:p>
      <w:pPr>
        <w:widowControl/>
      </w:pPr>
      <w:r>
        <w:t>Learning benefits when retrieval is distributed rather than compressed into one uninterrupted block. The exact optimal interval depends on the retention horizon and material.</w:t>
      </w:r>
    </w:p>
    <w:p>
      <w:pPr>
        <w:widowControl/>
      </w:pPr>
      <w:r>
        <w:t>Product implications:</w:t>
      </w:r>
    </w:p>
    <w:p>
      <w:pPr>
        <w:numPr>
          <w:ilvl w:val="0"/>
          <w:numId w:val="10"/>
        </w:numPr>
        <w:spacing w:after="160" w:line="280" w:lineRule="auto"/>
      </w:pPr>
      <w:r>
        <w:t>Cramapple schedules return visits within the remaining exam horizon.</w:t>
      </w:r>
    </w:p>
    <w:p>
      <w:pPr>
        <w:numPr>
          <w:ilvl w:val="0"/>
          <w:numId w:val="10"/>
        </w:numPr>
        <w:spacing w:after="160" w:line="280" w:lineRule="auto"/>
      </w:pPr>
      <w:r>
        <w:t>The initial 24-72 hour interval is a product policy to test, not a universal research constant.</w:t>
      </w:r>
    </w:p>
    <w:p>
      <w:pPr>
        <w:numPr>
          <w:ilvl w:val="0"/>
          <w:numId w:val="10"/>
        </w:numPr>
        <w:spacing w:after="160" w:line="280" w:lineRule="auto"/>
      </w:pPr>
      <w:r>
        <w:t>The final schedule depends on days remaining, difficulty, assistance, confidence, prior success, and available study opportunities.</w:t>
      </w:r>
    </w:p>
    <w:p>
      <w:pPr>
        <w:pStyle w:val="Heading2"/>
      </w:pPr>
      <w:r>
        <w:t>4.3 Interleaving</w:t>
      </w:r>
    </w:p>
    <w:p>
      <w:pPr>
        <w:widowControl/>
      </w:pPr>
      <w:r>
        <w:t>Interleaving can improve the learner's ability to discriminate among problem types and select the correct approach. It can also reduce immediate fluency and make practice feel less successful.</w:t>
      </w:r>
    </w:p>
    <w:p>
      <w:pPr>
        <w:widowControl/>
      </w:pPr>
      <w:r>
        <w:t>Product implications:</w:t>
      </w:r>
    </w:p>
    <w:p>
      <w:pPr>
        <w:numPr>
          <w:ilvl w:val="0"/>
          <w:numId w:val="10"/>
        </w:numPr>
        <w:spacing w:after="160" w:line="280" w:lineRule="auto"/>
      </w:pPr>
      <w:r>
        <w:t>Mix units, science practices, representations, and question forms after initial acquisition.</w:t>
      </w:r>
    </w:p>
    <w:p>
      <w:pPr>
        <w:numPr>
          <w:ilvl w:val="0"/>
          <w:numId w:val="10"/>
        </w:numPr>
        <w:spacing w:after="160" w:line="280" w:lineRule="auto"/>
      </w:pPr>
      <w:r>
        <w:t>Compare blocked and mixed performance separately.</w:t>
      </w:r>
    </w:p>
    <w:p>
      <w:pPr>
        <w:numPr>
          <w:ilvl w:val="0"/>
          <w:numId w:val="10"/>
        </w:numPr>
        <w:spacing w:after="160" w:line="280" w:lineRule="auto"/>
      </w:pPr>
      <w:r>
        <w:t>Explain why mixed practice feels harder.</w:t>
      </w:r>
    </w:p>
    <w:p>
      <w:pPr>
        <w:numPr>
          <w:ilvl w:val="0"/>
          <w:numId w:val="10"/>
        </w:numPr>
        <w:spacing w:after="160" w:line="280" w:lineRule="auto"/>
      </w:pPr>
      <w:r>
        <w:t>Do not interpret a temporary session-score decline as automatic regression.</w:t>
      </w:r>
    </w:p>
    <w:p>
      <w:pPr>
        <w:pStyle w:val="Heading2"/>
      </w:pPr>
      <w:r>
        <w:t>4.4 Metacognitive Calibration</w:t>
      </w:r>
    </w:p>
    <w:p>
      <w:pPr>
        <w:widowControl/>
      </w:pPr>
      <w:r>
        <w:t>Learners benefit from more accurate judgments about what they know and can do. Confidence is therefore evidence in its own right, not decoration.</w:t>
      </w:r>
    </w:p>
    <w:p>
      <w:pPr>
        <w:widowControl/>
      </w:pPr>
      <w:r>
        <w:t>Product implications:</w:t>
      </w:r>
    </w:p>
    <w:p>
      <w:pPr>
        <w:numPr>
          <w:ilvl w:val="0"/>
          <w:numId w:val="10"/>
        </w:numPr>
        <w:spacing w:after="160" w:line="280" w:lineRule="auto"/>
      </w:pPr>
      <w:r>
        <w:t>Capture confidence before feedback.</w:t>
      </w:r>
    </w:p>
    <w:p>
      <w:pPr>
        <w:numPr>
          <w:ilvl w:val="0"/>
          <w:numId w:val="10"/>
        </w:numPr>
        <w:spacing w:after="160" w:line="280" w:lineRule="auto"/>
      </w:pPr>
      <w:r>
        <w:t>Track overconfidence and underconfidence by skill and question form.</w:t>
      </w:r>
    </w:p>
    <w:p>
      <w:pPr>
        <w:numPr>
          <w:ilvl w:val="0"/>
          <w:numId w:val="10"/>
        </w:numPr>
        <w:spacing w:after="160" w:line="280" w:lineRule="auto"/>
      </w:pPr>
      <w:r>
        <w:t>Show recommendation reasoning.</w:t>
      </w:r>
    </w:p>
    <w:p>
      <w:pPr>
        <w:numPr>
          <w:ilvl w:val="0"/>
          <w:numId w:val="10"/>
        </w:numPr>
        <w:spacing w:after="160" w:line="280" w:lineRule="auto"/>
      </w:pPr>
      <w:r>
        <w:t>Ask learners to predict performance periodically.</w:t>
      </w:r>
    </w:p>
    <w:p>
      <w:pPr>
        <w:numPr>
          <w:ilvl w:val="0"/>
          <w:numId w:val="10"/>
        </w:numPr>
        <w:spacing w:after="160" w:line="280" w:lineRule="auto"/>
      </w:pPr>
      <w:r>
        <w:t>Reward accurate calibration and help-seeking, not confidence alone.</w:t>
      </w:r>
    </w:p>
    <w:p>
      <w:pPr>
        <w:pStyle w:val="Heading2"/>
      </w:pPr>
      <w:r>
        <w:t>4.5 Evidence Status</w:t>
      </w:r>
    </w:p>
    <w:p>
      <w:pPr>
        <w:widowControl/>
      </w:pPr>
      <w:r>
        <w:t>These foundations are supported by broad learning-science literature, but Cramapple-specific choices must be validated experimentally. The product must not claim that one published effect size applies uniformly to AP Biology, all learners, or a ten-day intervention.</w:t>
      </w:r>
    </w:p>
    <w:p>
      <w:pPr>
        <w:pStyle w:val="Heading1"/>
      </w:pPr>
      <w:r>
        <w:t>5. Ten-Day Learning Model</w:t>
      </w:r>
    </w:p>
    <w:p>
      <w:pPr>
        <w:pStyle w:val="Heading2"/>
      </w:pPr>
      <w:r>
        <w:t>5.1 Unified Learning-State Model</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vAlign w:val="center"/>
            <w:tcMar>
              <w:top w:w="100" w:type="dxa"/>
              <w:start w:w="180" w:type="dxa"/>
              <w:bottom w:w="100" w:type="dxa"/>
              <w:end w:w="180" w:type="dxa"/>
            </w:tcMar>
            <w:shd w:fill="F4F6F9"/>
          </w:tcPr>
          <w:p>
            <w:pPr>
              <w:spacing w:after="0" w:line="240" w:lineRule="auto"/>
            </w:pPr>
            <w:r>
              <w:rPr>
                <w:rFonts w:ascii="Consolas" w:hAnsi="Consolas"/>
                <w:color w:val="202D3A"/>
                <w:sz w:val="16"/>
              </w:rPr>
              <w:t>flowchart LR</w:t>
              <w:br/>
              <w:t xml:space="preserve">    Orient["Mode-appropriate orientation"]</w:t>
              <w:br/>
              <w:t xml:space="preserve">    Attempt["Cold attempt + confidence"]</w:t>
              <w:br/>
              <w:t xml:space="preserve">    Evaluate["Evaluate response"]</w:t>
              <w:br/>
              <w:t xml:space="preserve">    Diagnose["Diagnose competing hypotheses"]</w:t>
              <w:br/>
              <w:t xml:space="preserve">    Teach["Minimal targeted intervention"]</w:t>
              <w:br/>
              <w:t xml:space="preserve">    Retry["Independent transfer retry"]</w:t>
              <w:br/>
              <w:t xml:space="preserve">    Confirm["Confirm immediate or delayed transfer"]</w:t>
              <w:br/>
              <w:t xml:space="preserve">    Schedule["Schedule retrieval or return"]</w:t>
              <w:br/>
              <w:br/>
              <w:t xml:space="preserve">    Orient --&gt; Attempt --&gt; Evaluate --&gt; Diagnose --&gt; Teach --&gt; Retry --&gt; Confirm --&gt; Schedule</w:t>
              <w:br/>
              <w:t xml:space="preserve">    Schedule --&gt; Orient</w:t>
            </w:r>
          </w:p>
        </w:tc>
      </w:tr>
    </w:tbl>
    <w:p>
      <w:pPr>
        <w:spacing w:after="0"/>
      </w:pPr>
    </w:p>
    <w:p>
      <w:pPr>
        <w:widowControl/>
      </w:pPr>
      <w:r>
        <w:t>The same model governs ordinary learning and stuck-state escalation. Stuck is a state for a skill-and-task key, not a separate teaching system or a learner label.</w:t>
      </w:r>
    </w:p>
    <w:p>
      <w:pPr>
        <w:widowControl/>
      </w:pPr>
      <w:r>
        <w:t>Three modes preserve the meaning of performance evidence:</w:t>
      </w:r>
    </w:p>
    <w:tbl>
      <w:tblPr>
        <w:tblStyle w:val="TableGrid"/>
        <w:tblW w:type="dxa" w:w="9360"/>
        <w:jc w:val="left"/>
        <w:tblLayout w:type="fixed"/>
        <w:tblLook w:firstColumn="1" w:firstRow="1" w:lastColumn="0" w:lastRow="0" w:noHBand="0" w:noVBand="1" w:val="04A0"/>
        <w:tblInd w:w="120" w:type="dxa"/>
      </w:tblPr>
      <w:tblGrid>
        <w:gridCol w:w="2600"/>
        <w:gridCol w:w="4200"/>
        <w:gridCol w:w="2560"/>
      </w:tblGrid>
      <w:tr>
        <w:trPr>
          <w:tblHeader w:val="true"/>
          <w:cantSplit/>
        </w:trPr>
        <w:tc>
          <w:tcPr>
            <w:tcW w:type="dxa" w:w="2600"/>
            <w:vAlign w:val="center"/>
            <w:tcMar>
              <w:top w:w="80" w:type="dxa"/>
              <w:start w:w="120" w:type="dxa"/>
              <w:bottom w:w="80" w:type="dxa"/>
              <w:end w:w="120" w:type="dxa"/>
            </w:tcMar>
            <w:shd w:fill="F2F4F7"/>
          </w:tcPr>
          <w:p>
            <w:pPr>
              <w:spacing w:after="0" w:line="252" w:lineRule="auto"/>
            </w:pPr>
            <w:r>
              <w:rPr>
                <w:rFonts w:ascii="Calibri" w:hAnsi="Calibri"/>
                <w:b/>
                <w:color w:val="202D3A"/>
                <w:sz w:val="18"/>
              </w:rPr>
              <w:t>Mode</w:t>
            </w:r>
          </w:p>
        </w:tc>
        <w:tc>
          <w:tcPr>
            <w:tcW w:type="dxa" w:w="4200"/>
            <w:vAlign w:val="center"/>
            <w:tcMar>
              <w:top w:w="80" w:type="dxa"/>
              <w:start w:w="120" w:type="dxa"/>
              <w:bottom w:w="80" w:type="dxa"/>
              <w:end w:w="120" w:type="dxa"/>
            </w:tcMar>
            <w:shd w:fill="F2F4F7"/>
          </w:tcPr>
          <w:p>
            <w:pPr>
              <w:spacing w:after="0" w:line="252" w:lineRule="auto"/>
            </w:pPr>
            <w:r>
              <w:rPr>
                <w:rFonts w:ascii="Calibri" w:hAnsi="Calibri"/>
                <w:b/>
                <w:color w:val="202D3A"/>
                <w:sz w:val="18"/>
              </w:rPr>
              <w:t>Answer-bearing support before attempt</w:t>
            </w:r>
          </w:p>
        </w:tc>
        <w:tc>
          <w:tcPr>
            <w:tcW w:type="dxa" w:w="2560"/>
            <w:vAlign w:val="center"/>
            <w:tcMar>
              <w:top w:w="80" w:type="dxa"/>
              <w:start w:w="120" w:type="dxa"/>
              <w:bottom w:w="80" w:type="dxa"/>
              <w:end w:w="120" w:type="dxa"/>
            </w:tcMar>
            <w:shd w:fill="F2F4F7"/>
          </w:tcPr>
          <w:p>
            <w:pPr>
              <w:spacing w:after="0" w:line="252" w:lineRule="auto"/>
            </w:pPr>
            <w:r>
              <w:rPr>
                <w:rFonts w:ascii="Calibri" w:hAnsi="Calibri"/>
                <w:b/>
                <w:color w:val="202D3A"/>
                <w:sz w:val="18"/>
              </w:rPr>
              <w:t>Evidence use</w:t>
            </w:r>
          </w:p>
        </w:tc>
      </w:tr>
      <w:tr>
        <w:trPr>
          <w:cantSplit/>
        </w:trPr>
        <w:tc>
          <w:tcPr>
            <w:tcW w:type="dxa" w:w="2600"/>
            <w:vAlign w:val="center"/>
            <w:tcMar>
              <w:top w:w="80" w:type="dxa"/>
              <w:start w:w="120" w:type="dxa"/>
              <w:bottom w:w="80" w:type="dxa"/>
              <w:end w:w="120" w:type="dxa"/>
            </w:tcMar>
          </w:tcPr>
          <w:p>
            <w:pPr>
              <w:spacing w:after="0" w:line="252" w:lineRule="auto"/>
            </w:pPr>
            <w:r>
              <w:rPr>
                <w:rFonts w:ascii="Calibri" w:hAnsi="Calibri"/>
                <w:b w:val="0"/>
                <w:color w:val="202D3A"/>
                <w:sz w:val="18"/>
              </w:rPr>
              <w:t>Cold</w:t>
            </w:r>
          </w:p>
        </w:tc>
        <w:tc>
          <w:tcPr>
            <w:tcW w:type="dxa" w:w="4200"/>
            <w:vAlign w:val="center"/>
            <w:tcMar>
              <w:top w:w="80" w:type="dxa"/>
              <w:start w:w="120" w:type="dxa"/>
              <w:bottom w:w="80" w:type="dxa"/>
              <w:end w:w="120" w:type="dxa"/>
            </w:tcMar>
          </w:tcPr>
          <w:p>
            <w:pPr>
              <w:spacing w:after="0" w:line="252" w:lineRule="auto"/>
            </w:pPr>
            <w:r>
              <w:rPr>
                <w:rFonts w:ascii="Calibri" w:hAnsi="Calibri"/>
                <w:b w:val="0"/>
                <w:color w:val="202D3A"/>
                <w:sz w:val="18"/>
              </w:rPr>
              <w:t>None beyond mechanics and accessibility</w:t>
            </w:r>
          </w:p>
        </w:tc>
        <w:tc>
          <w:tcPr>
            <w:tcW w:type="dxa" w:w="2560"/>
            <w:vAlign w:val="center"/>
            <w:tcMar>
              <w:top w:w="80" w:type="dxa"/>
              <w:start w:w="120" w:type="dxa"/>
              <w:bottom w:w="80" w:type="dxa"/>
              <w:end w:w="120" w:type="dxa"/>
            </w:tcMar>
          </w:tcPr>
          <w:p>
            <w:pPr>
              <w:spacing w:after="0" w:line="252" w:lineRule="auto"/>
            </w:pPr>
            <w:r>
              <w:rPr>
                <w:rFonts w:ascii="Calibri" w:hAnsi="Calibri"/>
                <w:b w:val="0"/>
                <w:color w:val="202D3A"/>
                <w:sz w:val="18"/>
              </w:rPr>
              <w:t>Eligible for proficiency and progress evidence</w:t>
            </w:r>
          </w:p>
        </w:tc>
      </w:tr>
      <w:tr>
        <w:trPr>
          <w:cantSplit/>
        </w:trPr>
        <w:tc>
          <w:tcPr>
            <w:tcW w:type="dxa" w:w="2600"/>
            <w:vAlign w:val="center"/>
            <w:tcMar>
              <w:top w:w="80" w:type="dxa"/>
              <w:start w:w="120" w:type="dxa"/>
              <w:bottom w:w="80" w:type="dxa"/>
              <w:end w:w="120" w:type="dxa"/>
            </w:tcMar>
          </w:tcPr>
          <w:p>
            <w:pPr>
              <w:spacing w:after="0" w:line="252" w:lineRule="auto"/>
            </w:pPr>
            <w:r>
              <w:rPr>
                <w:rFonts w:ascii="Calibri" w:hAnsi="Calibri"/>
                <w:b w:val="0"/>
                <w:color w:val="202D3A"/>
                <w:sz w:val="18"/>
              </w:rPr>
              <w:t>Coached</w:t>
            </w:r>
          </w:p>
        </w:tc>
        <w:tc>
          <w:tcPr>
            <w:tcW w:type="dxa" w:w="4200"/>
            <w:vAlign w:val="center"/>
            <w:tcMar>
              <w:top w:w="80" w:type="dxa"/>
              <w:start w:w="120" w:type="dxa"/>
              <w:bottom w:w="80" w:type="dxa"/>
              <w:end w:w="120" w:type="dxa"/>
            </w:tcMar>
          </w:tcPr>
          <w:p>
            <w:pPr>
              <w:spacing w:after="0" w:line="252" w:lineRule="auto"/>
            </w:pPr>
            <w:r>
              <w:rPr>
                <w:rFonts w:ascii="Calibri" w:hAnsi="Calibri"/>
                <w:b w:val="0"/>
                <w:color w:val="202D3A"/>
                <w:sz w:val="18"/>
              </w:rPr>
              <w:t>Hints, criteria, concepts, or partial structure</w:t>
            </w:r>
          </w:p>
        </w:tc>
        <w:tc>
          <w:tcPr>
            <w:tcW w:type="dxa" w:w="2560"/>
            <w:vAlign w:val="center"/>
            <w:tcMar>
              <w:top w:w="80" w:type="dxa"/>
              <w:start w:w="120" w:type="dxa"/>
              <w:bottom w:w="80" w:type="dxa"/>
              <w:end w:w="120" w:type="dxa"/>
            </w:tcMar>
          </w:tcPr>
          <w:p>
            <w:pPr>
              <w:spacing w:after="0" w:line="252" w:lineRule="auto"/>
            </w:pPr>
            <w:r>
              <w:rPr>
                <w:rFonts w:ascii="Calibri" w:hAnsi="Calibri"/>
                <w:b w:val="0"/>
                <w:color w:val="202D3A"/>
                <w:sz w:val="18"/>
              </w:rPr>
              <w:t>Measures supported performance; requires a fresh cold retry</w:t>
            </w:r>
          </w:p>
        </w:tc>
      </w:tr>
      <w:tr>
        <w:trPr>
          <w:cantSplit/>
        </w:trPr>
        <w:tc>
          <w:tcPr>
            <w:tcW w:type="dxa" w:w="2600"/>
            <w:vAlign w:val="center"/>
            <w:tcMar>
              <w:top w:w="80" w:type="dxa"/>
              <w:start w:w="120" w:type="dxa"/>
              <w:bottom w:w="80" w:type="dxa"/>
              <w:end w:w="120" w:type="dxa"/>
            </w:tcMar>
          </w:tcPr>
          <w:p>
            <w:pPr>
              <w:spacing w:after="0" w:line="252" w:lineRule="auto"/>
            </w:pPr>
            <w:r>
              <w:rPr>
                <w:rFonts w:ascii="Calibri" w:hAnsi="Calibri"/>
                <w:b w:val="0"/>
                <w:color w:val="202D3A"/>
                <w:sz w:val="18"/>
              </w:rPr>
              <w:t>Exam simulation</w:t>
            </w:r>
          </w:p>
        </w:tc>
        <w:tc>
          <w:tcPr>
            <w:tcW w:type="dxa" w:w="4200"/>
            <w:vAlign w:val="center"/>
            <w:tcMar>
              <w:top w:w="80" w:type="dxa"/>
              <w:start w:w="120" w:type="dxa"/>
              <w:bottom w:w="80" w:type="dxa"/>
              <w:end w:w="120" w:type="dxa"/>
            </w:tcMar>
          </w:tcPr>
          <w:p>
            <w:pPr>
              <w:spacing w:after="0" w:line="252" w:lineRule="auto"/>
            </w:pPr>
            <w:r>
              <w:rPr>
                <w:rFonts w:ascii="Calibri" w:hAnsi="Calibri"/>
                <w:b w:val="0"/>
                <w:color w:val="202D3A"/>
                <w:sz w:val="18"/>
              </w:rPr>
              <w:t>Only support allowed by the exam conditions</w:t>
            </w:r>
          </w:p>
        </w:tc>
        <w:tc>
          <w:tcPr>
            <w:tcW w:type="dxa" w:w="2560"/>
            <w:vAlign w:val="center"/>
            <w:tcMar>
              <w:top w:w="80" w:type="dxa"/>
              <w:start w:w="120" w:type="dxa"/>
              <w:bottom w:w="80" w:type="dxa"/>
              <w:end w:w="120" w:type="dxa"/>
            </w:tcMar>
          </w:tcPr>
          <w:p>
            <w:pPr>
              <w:spacing w:after="0" w:line="252" w:lineRule="auto"/>
            </w:pPr>
            <w:r>
              <w:rPr>
                <w:rFonts w:ascii="Calibri" w:hAnsi="Calibri"/>
                <w:b w:val="0"/>
                <w:color w:val="202D3A"/>
                <w:sz w:val="18"/>
              </w:rPr>
              <w:t>Measures execution under the configured simulation</w:t>
            </w:r>
          </w:p>
        </w:tc>
      </w:tr>
    </w:tbl>
    <w:p>
      <w:pPr>
        <w:spacing w:after="0"/>
      </w:pPr>
    </w:p>
    <w:p>
      <w:pPr>
        <w:widowControl/>
      </w:pPr>
      <w:r>
        <w:t>The system distinguishes supported success, immediate independent transfer, and confirmed delayed retention. It does not convert a repaired answer directly into mastery.</w:t>
      </w:r>
    </w:p>
    <w:p>
      <w:pPr>
        <w:pStyle w:val="Heading2"/>
      </w:pPr>
      <w:r>
        <w:t>5.2 Horizon Phases</w:t>
      </w:r>
    </w:p>
    <w:tbl>
      <w:tblPr>
        <w:tblStyle w:val="TableGrid"/>
        <w:tblW w:type="dxa" w:w="9360"/>
        <w:jc w:val="left"/>
        <w:tblLayout w:type="fixed"/>
        <w:tblLook w:firstColumn="1" w:firstRow="1" w:lastColumn="0" w:lastRow="0" w:noHBand="0" w:noVBand="1" w:val="04A0"/>
        <w:tblInd w:w="120" w:type="dxa"/>
      </w:tblPr>
      <w:tblGrid>
        <w:gridCol w:w="2600"/>
        <w:gridCol w:w="4200"/>
        <w:gridCol w:w="2560"/>
      </w:tblGrid>
      <w:tr>
        <w:trPr>
          <w:tblHeader w:val="true"/>
          <w:cantSplit/>
        </w:trPr>
        <w:tc>
          <w:tcPr>
            <w:tcW w:type="dxa" w:w="2600"/>
            <w:vAlign w:val="center"/>
            <w:tcMar>
              <w:top w:w="80" w:type="dxa"/>
              <w:start w:w="120" w:type="dxa"/>
              <w:bottom w:w="80" w:type="dxa"/>
              <w:end w:w="120" w:type="dxa"/>
            </w:tcMar>
            <w:shd w:fill="F2F4F7"/>
          </w:tcPr>
          <w:p>
            <w:pPr>
              <w:spacing w:after="0" w:line="252" w:lineRule="auto"/>
            </w:pPr>
            <w:r>
              <w:rPr>
                <w:rFonts w:ascii="Calibri" w:hAnsi="Calibri"/>
                <w:b/>
                <w:color w:val="202D3A"/>
                <w:sz w:val="18"/>
              </w:rPr>
              <w:t>Days Remaining</w:t>
            </w:r>
          </w:p>
        </w:tc>
        <w:tc>
          <w:tcPr>
            <w:tcW w:type="dxa" w:w="4200"/>
            <w:vAlign w:val="center"/>
            <w:tcMar>
              <w:top w:w="80" w:type="dxa"/>
              <w:start w:w="120" w:type="dxa"/>
              <w:bottom w:w="80" w:type="dxa"/>
              <w:end w:w="120" w:type="dxa"/>
            </w:tcMar>
            <w:shd w:fill="F2F4F7"/>
          </w:tcPr>
          <w:p>
            <w:pPr>
              <w:spacing w:after="0" w:line="252" w:lineRule="auto"/>
            </w:pPr>
            <w:r>
              <w:rPr>
                <w:rFonts w:ascii="Calibri" w:hAnsi="Calibri"/>
                <w:b/>
                <w:color w:val="202D3A"/>
                <w:sz w:val="18"/>
              </w:rPr>
              <w:t>Primary Objective</w:t>
            </w:r>
          </w:p>
        </w:tc>
        <w:tc>
          <w:tcPr>
            <w:tcW w:type="dxa" w:w="2560"/>
            <w:vAlign w:val="center"/>
            <w:tcMar>
              <w:top w:w="80" w:type="dxa"/>
              <w:start w:w="120" w:type="dxa"/>
              <w:bottom w:w="80" w:type="dxa"/>
              <w:end w:w="120" w:type="dxa"/>
            </w:tcMar>
            <w:shd w:fill="F2F4F7"/>
          </w:tcPr>
          <w:p>
            <w:pPr>
              <w:spacing w:after="0" w:line="252" w:lineRule="auto"/>
            </w:pPr>
            <w:r>
              <w:rPr>
                <w:rFonts w:ascii="Calibri" w:hAnsi="Calibri"/>
                <w:b/>
                <w:color w:val="202D3A"/>
                <w:sz w:val="18"/>
              </w:rPr>
              <w:t>Typical Balance</w:t>
            </w:r>
          </w:p>
        </w:tc>
      </w:tr>
      <w:tr>
        <w:trPr>
          <w:cantSplit/>
        </w:trPr>
        <w:tc>
          <w:tcPr>
            <w:tcW w:type="dxa" w:w="2600"/>
            <w:vAlign w:val="center"/>
            <w:tcMar>
              <w:top w:w="80" w:type="dxa"/>
              <w:start w:w="120" w:type="dxa"/>
              <w:bottom w:w="80" w:type="dxa"/>
              <w:end w:w="120" w:type="dxa"/>
            </w:tcMar>
          </w:tcPr>
          <w:p>
            <w:pPr>
              <w:spacing w:after="0" w:line="252" w:lineRule="auto"/>
            </w:pPr>
            <w:r>
              <w:rPr>
                <w:rFonts w:ascii="Calibri" w:hAnsi="Calibri"/>
                <w:b w:val="0"/>
                <w:color w:val="202D3A"/>
                <w:sz w:val="18"/>
              </w:rPr>
              <w:t>10-8</w:t>
            </w:r>
          </w:p>
        </w:tc>
        <w:tc>
          <w:tcPr>
            <w:tcW w:type="dxa" w:w="4200"/>
            <w:vAlign w:val="center"/>
            <w:tcMar>
              <w:top w:w="80" w:type="dxa"/>
              <w:start w:w="120" w:type="dxa"/>
              <w:bottom w:w="80" w:type="dxa"/>
              <w:end w:w="120" w:type="dxa"/>
            </w:tcMar>
          </w:tcPr>
          <w:p>
            <w:pPr>
              <w:spacing w:after="0" w:line="252" w:lineRule="auto"/>
            </w:pPr>
            <w:r>
              <w:rPr>
                <w:rFonts w:ascii="Calibri" w:hAnsi="Calibri"/>
                <w:b w:val="0"/>
                <w:color w:val="202D3A"/>
                <w:sz w:val="18"/>
              </w:rPr>
              <w:t>Establish baseline and find high-value gaps</w:t>
            </w:r>
          </w:p>
        </w:tc>
        <w:tc>
          <w:tcPr>
            <w:tcW w:type="dxa" w:w="2560"/>
            <w:vAlign w:val="center"/>
            <w:tcMar>
              <w:top w:w="80" w:type="dxa"/>
              <w:start w:w="120" w:type="dxa"/>
              <w:bottom w:w="80" w:type="dxa"/>
              <w:end w:w="120" w:type="dxa"/>
            </w:tcMar>
          </w:tcPr>
          <w:p>
            <w:pPr>
              <w:spacing w:after="0" w:line="252" w:lineRule="auto"/>
            </w:pPr>
            <w:r>
              <w:rPr>
                <w:rFonts w:ascii="Calibri" w:hAnsi="Calibri"/>
                <w:b w:val="0"/>
                <w:color w:val="202D3A"/>
                <w:sz w:val="18"/>
              </w:rPr>
              <w:t>Broad sampling, short interventions, first retrieval obligations</w:t>
            </w:r>
          </w:p>
        </w:tc>
      </w:tr>
      <w:tr>
        <w:trPr>
          <w:cantSplit/>
        </w:trPr>
        <w:tc>
          <w:tcPr>
            <w:tcW w:type="dxa" w:w="2600"/>
            <w:vAlign w:val="center"/>
            <w:tcMar>
              <w:top w:w="80" w:type="dxa"/>
              <w:start w:w="120" w:type="dxa"/>
              <w:bottom w:w="80" w:type="dxa"/>
              <w:end w:w="120" w:type="dxa"/>
            </w:tcMar>
          </w:tcPr>
          <w:p>
            <w:pPr>
              <w:spacing w:after="0" w:line="252" w:lineRule="auto"/>
            </w:pPr>
            <w:r>
              <w:rPr>
                <w:rFonts w:ascii="Calibri" w:hAnsi="Calibri"/>
                <w:b w:val="0"/>
                <w:color w:val="202D3A"/>
                <w:sz w:val="18"/>
              </w:rPr>
              <w:t>7-5</w:t>
            </w:r>
          </w:p>
        </w:tc>
        <w:tc>
          <w:tcPr>
            <w:tcW w:type="dxa" w:w="4200"/>
            <w:vAlign w:val="center"/>
            <w:tcMar>
              <w:top w:w="80" w:type="dxa"/>
              <w:start w:w="120" w:type="dxa"/>
              <w:bottom w:w="80" w:type="dxa"/>
              <w:end w:w="120" w:type="dxa"/>
            </w:tcMar>
          </w:tcPr>
          <w:p>
            <w:pPr>
              <w:spacing w:after="0" w:line="252" w:lineRule="auto"/>
            </w:pPr>
            <w:r>
              <w:rPr>
                <w:rFonts w:ascii="Calibri" w:hAnsi="Calibri"/>
                <w:b w:val="0"/>
                <w:color w:val="202D3A"/>
                <w:sz w:val="18"/>
              </w:rPr>
              <w:t>Exploit responsive gaps and build transfer</w:t>
            </w:r>
          </w:p>
        </w:tc>
        <w:tc>
          <w:tcPr>
            <w:tcW w:type="dxa" w:w="2560"/>
            <w:vAlign w:val="center"/>
            <w:tcMar>
              <w:top w:w="80" w:type="dxa"/>
              <w:start w:w="120" w:type="dxa"/>
              <w:bottom w:w="80" w:type="dxa"/>
              <w:end w:w="120" w:type="dxa"/>
            </w:tcMar>
          </w:tcPr>
          <w:p>
            <w:pPr>
              <w:spacing w:after="0" w:line="252" w:lineRule="auto"/>
            </w:pPr>
            <w:r>
              <w:rPr>
                <w:rFonts w:ascii="Calibri" w:hAnsi="Calibri"/>
                <w:b w:val="0"/>
                <w:color w:val="202D3A"/>
                <w:sz w:val="18"/>
              </w:rPr>
              <w:t>Targeted teaching, interleaved practice, first delayed checks</w:t>
            </w:r>
          </w:p>
        </w:tc>
      </w:tr>
      <w:tr>
        <w:trPr>
          <w:cantSplit/>
        </w:trPr>
        <w:tc>
          <w:tcPr>
            <w:tcW w:type="dxa" w:w="2600"/>
            <w:vAlign w:val="center"/>
            <w:tcMar>
              <w:top w:w="80" w:type="dxa"/>
              <w:start w:w="120" w:type="dxa"/>
              <w:bottom w:w="80" w:type="dxa"/>
              <w:end w:w="120" w:type="dxa"/>
            </w:tcMar>
          </w:tcPr>
          <w:p>
            <w:pPr>
              <w:spacing w:after="0" w:line="252" w:lineRule="auto"/>
            </w:pPr>
            <w:r>
              <w:rPr>
                <w:rFonts w:ascii="Calibri" w:hAnsi="Calibri"/>
                <w:b w:val="0"/>
                <w:color w:val="202D3A"/>
                <w:sz w:val="18"/>
              </w:rPr>
              <w:t>4-3</w:t>
            </w:r>
          </w:p>
        </w:tc>
        <w:tc>
          <w:tcPr>
            <w:tcW w:type="dxa" w:w="4200"/>
            <w:vAlign w:val="center"/>
            <w:tcMar>
              <w:top w:w="80" w:type="dxa"/>
              <w:start w:w="120" w:type="dxa"/>
              <w:bottom w:w="80" w:type="dxa"/>
              <w:end w:w="120" w:type="dxa"/>
            </w:tcMar>
          </w:tcPr>
          <w:p>
            <w:pPr>
              <w:spacing w:after="0" w:line="252" w:lineRule="auto"/>
            </w:pPr>
            <w:r>
              <w:rPr>
                <w:rFonts w:ascii="Calibri" w:hAnsi="Calibri"/>
                <w:b w:val="0"/>
                <w:color w:val="202D3A"/>
                <w:sz w:val="18"/>
              </w:rPr>
              <w:t>Consolidate exam-relevant performance</w:t>
            </w:r>
          </w:p>
        </w:tc>
        <w:tc>
          <w:tcPr>
            <w:tcW w:type="dxa" w:w="2560"/>
            <w:vAlign w:val="center"/>
            <w:tcMar>
              <w:top w:w="80" w:type="dxa"/>
              <w:start w:w="120" w:type="dxa"/>
              <w:bottom w:w="80" w:type="dxa"/>
              <w:end w:w="120" w:type="dxa"/>
            </w:tcMar>
          </w:tcPr>
          <w:p>
            <w:pPr>
              <w:spacing w:after="0" w:line="252" w:lineRule="auto"/>
            </w:pPr>
            <w:r>
              <w:rPr>
                <w:rFonts w:ascii="Calibri" w:hAnsi="Calibri"/>
                <w:b w:val="0"/>
                <w:color w:val="202D3A"/>
                <w:sz w:val="18"/>
              </w:rPr>
              <w:t>Due retrieval, FRQ criteria, mixed sets, timing</w:t>
            </w:r>
          </w:p>
        </w:tc>
      </w:tr>
      <w:tr>
        <w:trPr>
          <w:cantSplit/>
        </w:trPr>
        <w:tc>
          <w:tcPr>
            <w:tcW w:type="dxa" w:w="2600"/>
            <w:vAlign w:val="center"/>
            <w:tcMar>
              <w:top w:w="80" w:type="dxa"/>
              <w:start w:w="120" w:type="dxa"/>
              <w:bottom w:w="80" w:type="dxa"/>
              <w:end w:w="120" w:type="dxa"/>
            </w:tcMar>
          </w:tcPr>
          <w:p>
            <w:pPr>
              <w:spacing w:after="0" w:line="252" w:lineRule="auto"/>
            </w:pPr>
            <w:r>
              <w:rPr>
                <w:rFonts w:ascii="Calibri" w:hAnsi="Calibri"/>
                <w:b w:val="0"/>
                <w:color w:val="202D3A"/>
                <w:sz w:val="18"/>
              </w:rPr>
              <w:t>2</w:t>
            </w:r>
          </w:p>
        </w:tc>
        <w:tc>
          <w:tcPr>
            <w:tcW w:type="dxa" w:w="4200"/>
            <w:vAlign w:val="center"/>
            <w:tcMar>
              <w:top w:w="80" w:type="dxa"/>
              <w:start w:w="120" w:type="dxa"/>
              <w:bottom w:w="80" w:type="dxa"/>
              <w:end w:w="120" w:type="dxa"/>
            </w:tcMar>
          </w:tcPr>
          <w:p>
            <w:pPr>
              <w:spacing w:after="0" w:line="252" w:lineRule="auto"/>
            </w:pPr>
            <w:r>
              <w:rPr>
                <w:rFonts w:ascii="Calibri" w:hAnsi="Calibri"/>
                <w:b w:val="0"/>
                <w:color w:val="202D3A"/>
                <w:sz w:val="18"/>
              </w:rPr>
              <w:t>Rehearse under realistic conditions</w:t>
            </w:r>
          </w:p>
        </w:tc>
        <w:tc>
          <w:tcPr>
            <w:tcW w:type="dxa" w:w="2560"/>
            <w:vAlign w:val="center"/>
            <w:tcMar>
              <w:top w:w="80" w:type="dxa"/>
              <w:start w:w="120" w:type="dxa"/>
              <w:bottom w:w="80" w:type="dxa"/>
              <w:end w:w="120" w:type="dxa"/>
            </w:tcMar>
          </w:tcPr>
          <w:p>
            <w:pPr>
              <w:spacing w:after="0" w:line="252" w:lineRule="auto"/>
            </w:pPr>
            <w:r>
              <w:rPr>
                <w:rFonts w:ascii="Calibri" w:hAnsi="Calibri"/>
                <w:b w:val="0"/>
                <w:color w:val="202D3A"/>
                <w:sz w:val="18"/>
              </w:rPr>
              <w:t>Timed mixed practice, selective repair, confidence calibration</w:t>
            </w:r>
          </w:p>
        </w:tc>
      </w:tr>
      <w:tr>
        <w:trPr>
          <w:cantSplit/>
        </w:trPr>
        <w:tc>
          <w:tcPr>
            <w:tcW w:type="dxa" w:w="2600"/>
            <w:vAlign w:val="center"/>
            <w:tcMar>
              <w:top w:w="80" w:type="dxa"/>
              <w:start w:w="120" w:type="dxa"/>
              <w:bottom w:w="80" w:type="dxa"/>
              <w:end w:w="120" w:type="dxa"/>
            </w:tcMar>
          </w:tcPr>
          <w:p>
            <w:pPr>
              <w:spacing w:after="0" w:line="252" w:lineRule="auto"/>
            </w:pPr>
            <w:r>
              <w:rPr>
                <w:rFonts w:ascii="Calibri" w:hAnsi="Calibri"/>
                <w:b w:val="0"/>
                <w:color w:val="202D3A"/>
                <w:sz w:val="18"/>
              </w:rPr>
              <w:t>1</w:t>
            </w:r>
          </w:p>
        </w:tc>
        <w:tc>
          <w:tcPr>
            <w:tcW w:type="dxa" w:w="4200"/>
            <w:vAlign w:val="center"/>
            <w:tcMar>
              <w:top w:w="80" w:type="dxa"/>
              <w:start w:w="120" w:type="dxa"/>
              <w:bottom w:w="80" w:type="dxa"/>
              <w:end w:w="120" w:type="dxa"/>
            </w:tcMar>
          </w:tcPr>
          <w:p>
            <w:pPr>
              <w:spacing w:after="0" w:line="252" w:lineRule="auto"/>
            </w:pPr>
            <w:r>
              <w:rPr>
                <w:rFonts w:ascii="Calibri" w:hAnsi="Calibri"/>
                <w:b w:val="0"/>
                <w:color w:val="202D3A"/>
                <w:sz w:val="18"/>
              </w:rPr>
              <w:t>Protect accessible knowledge and execution</w:t>
            </w:r>
          </w:p>
        </w:tc>
        <w:tc>
          <w:tcPr>
            <w:tcW w:type="dxa" w:w="2560"/>
            <w:vAlign w:val="center"/>
            <w:tcMar>
              <w:top w:w="80" w:type="dxa"/>
              <w:start w:w="120" w:type="dxa"/>
              <w:bottom w:w="80" w:type="dxa"/>
              <w:end w:w="120" w:type="dxa"/>
            </w:tcMar>
          </w:tcPr>
          <w:p>
            <w:pPr>
              <w:spacing w:after="0" w:line="252" w:lineRule="auto"/>
            </w:pPr>
            <w:r>
              <w:rPr>
                <w:rFonts w:ascii="Calibri" w:hAnsi="Calibri"/>
                <w:b w:val="0"/>
                <w:color w:val="202D3A"/>
                <w:sz w:val="18"/>
              </w:rPr>
              <w:t>Light retrieval, task-language review, exam logistics; avoid broad new coverage</w:t>
            </w:r>
          </w:p>
        </w:tc>
      </w:tr>
      <w:tr>
        <w:trPr>
          <w:cantSplit/>
        </w:trPr>
        <w:tc>
          <w:tcPr>
            <w:tcW w:type="dxa" w:w="2600"/>
            <w:vAlign w:val="center"/>
            <w:tcMar>
              <w:top w:w="80" w:type="dxa"/>
              <w:start w:w="120" w:type="dxa"/>
              <w:bottom w:w="80" w:type="dxa"/>
              <w:end w:w="120" w:type="dxa"/>
            </w:tcMar>
          </w:tcPr>
          <w:p>
            <w:pPr>
              <w:spacing w:after="0" w:line="252" w:lineRule="auto"/>
            </w:pPr>
            <w:r>
              <w:rPr>
                <w:rFonts w:ascii="Calibri" w:hAnsi="Calibri"/>
                <w:b w:val="0"/>
                <w:color w:val="202D3A"/>
                <w:sz w:val="18"/>
              </w:rPr>
              <w:t>Exam day</w:t>
            </w:r>
          </w:p>
        </w:tc>
        <w:tc>
          <w:tcPr>
            <w:tcW w:type="dxa" w:w="4200"/>
            <w:vAlign w:val="center"/>
            <w:tcMar>
              <w:top w:w="80" w:type="dxa"/>
              <w:start w:w="120" w:type="dxa"/>
              <w:bottom w:w="80" w:type="dxa"/>
              <w:end w:w="120" w:type="dxa"/>
            </w:tcMar>
          </w:tcPr>
          <w:p>
            <w:pPr>
              <w:spacing w:after="0" w:line="252" w:lineRule="auto"/>
            </w:pPr>
            <w:r>
              <w:rPr>
                <w:rFonts w:ascii="Calibri" w:hAnsi="Calibri"/>
                <w:b w:val="0"/>
                <w:color w:val="202D3A"/>
                <w:sz w:val="18"/>
              </w:rPr>
              <w:t>Execute</w:t>
            </w:r>
          </w:p>
        </w:tc>
        <w:tc>
          <w:tcPr>
            <w:tcW w:type="dxa" w:w="2560"/>
            <w:vAlign w:val="center"/>
            <w:tcMar>
              <w:top w:w="80" w:type="dxa"/>
              <w:start w:w="120" w:type="dxa"/>
              <w:bottom w:w="80" w:type="dxa"/>
              <w:end w:w="120" w:type="dxa"/>
            </w:tcMar>
          </w:tcPr>
          <w:p>
            <w:pPr>
              <w:spacing w:after="0" w:line="252" w:lineRule="auto"/>
            </w:pPr>
            <w:r>
              <w:rPr>
                <w:rFonts w:ascii="Calibri" w:hAnsi="Calibri"/>
                <w:b w:val="0"/>
                <w:color w:val="202D3A"/>
                <w:sz w:val="18"/>
              </w:rPr>
              <w:t>No new diagnostic burden; concise reminders only</w:t>
            </w:r>
          </w:p>
        </w:tc>
      </w:tr>
    </w:tbl>
    <w:p>
      <w:pPr>
        <w:spacing w:after="0"/>
      </w:pPr>
    </w:p>
    <w:p>
      <w:pPr>
        <w:widowControl/>
      </w:pPr>
      <w:r>
        <w:t>This is a starting policy for validator review and product testing. It is not an immutable schedule.</w:t>
      </w:r>
    </w:p>
    <w:p>
      <w:pPr>
        <w:pStyle w:val="Heading2"/>
      </w:pPr>
      <w:r>
        <w:t>5.3 Initial Retrieval Schedule</w:t>
      </w:r>
    </w:p>
    <w:p>
      <w:pPr>
        <w:widowControl/>
      </w:pPr>
      <w:r>
        <w:t>When ten days remain and evidence supports continued work:</w:t>
      </w:r>
    </w:p>
    <w:p>
      <w:pPr>
        <w:numPr>
          <w:ilvl w:val="0"/>
          <w:numId w:val="23"/>
        </w:numPr>
        <w:spacing w:after="160" w:line="280" w:lineRule="auto"/>
      </w:pPr>
      <w:r>
        <w:t>Immediate transfer retry after instruction.</w:t>
      </w:r>
    </w:p>
    <w:p>
      <w:pPr>
        <w:numPr>
          <w:ilvl w:val="0"/>
          <w:numId w:val="23"/>
        </w:numPr>
        <w:spacing w:after="160" w:line="280" w:lineRule="auto"/>
      </w:pPr>
      <w:r>
        <w:t>First delayed retrieval around 24 hours.</w:t>
      </w:r>
    </w:p>
    <w:p>
      <w:pPr>
        <w:numPr>
          <w:ilvl w:val="0"/>
          <w:numId w:val="23"/>
        </w:numPr>
        <w:spacing w:after="160" w:line="280" w:lineRule="auto"/>
      </w:pPr>
      <w:r>
        <w:t>Second delayed retrieval around 72 hours.</w:t>
      </w:r>
    </w:p>
    <w:p>
      <w:pPr>
        <w:numPr>
          <w:ilvl w:val="0"/>
          <w:numId w:val="23"/>
        </w:numPr>
        <w:spacing w:after="160" w:line="280" w:lineRule="auto"/>
      </w:pPr>
      <w:r>
        <w:t>Final retrieval around 6-8 days after initial learning when the exam date permits.</w:t>
      </w:r>
    </w:p>
    <w:p>
      <w:pPr>
        <w:widowControl/>
      </w:pPr>
      <w:r>
        <w:t>The scheduler compresses or omits intervals when fewer days remain. Failed or heavily assisted retrieval returns sooner; independent successful retrieval returns later.</w:t>
      </w:r>
    </w:p>
    <w:p>
      <w:pPr>
        <w:pStyle w:val="Heading1"/>
      </w:pPr>
      <w:r>
        <w:t>6. AP Biology Exam Specification</w:t>
      </w:r>
    </w:p>
    <w:p>
      <w:pPr>
        <w:pStyle w:val="Heading2"/>
      </w:pPr>
      <w:r>
        <w:t>6.1 Source Authority</w:t>
      </w:r>
    </w:p>
    <w:p>
      <w:pPr>
        <w:widowControl/>
      </w:pPr>
      <w:r>
        <w:t>The current initial specification is based on College Board's AP Biology Course and Exam Description effective fall 2025, the AP Biology exam page for the May 4, 2026 exam, and released exam materials available through AP Central.</w:t>
      </w:r>
    </w:p>
    <w:p>
      <w:pPr>
        <w:widowControl/>
      </w:pPr>
      <w:r>
        <w:t>Every exam fact used by teaching must be stored in the Exam Specification Registry with source, scope, effective date, retrieval date, validator, and supersession status.</w:t>
      </w:r>
    </w:p>
    <w:p>
      <w:pPr>
        <w:pStyle w:val="Heading2"/>
      </w:pPr>
      <w:r>
        <w:t>6.2 Section and Raw-Point Distribution</w:t>
      </w:r>
    </w:p>
    <w:tbl>
      <w:tblPr>
        <w:tblStyle w:val="TableGrid"/>
        <w:tblW w:type="dxa" w:w="9360"/>
        <w:jc w:val="left"/>
        <w:tblLayout w:type="fixed"/>
        <w:tblLook w:firstColumn="1" w:firstRow="1" w:lastColumn="0" w:lastRow="0" w:noHBand="0" w:noVBand="1" w:val="04A0"/>
        <w:tblInd w:w="120" w:type="dxa"/>
      </w:tblPr>
      <w:tblGrid>
        <w:gridCol w:w="2200"/>
        <w:gridCol w:w="1200"/>
        <w:gridCol w:w="1200"/>
        <w:gridCol w:w="1700"/>
        <w:gridCol w:w="3060"/>
      </w:tblGrid>
      <w:tr>
        <w:trPr>
          <w:tblHeader w:val="true"/>
          <w:cantSplit/>
        </w:trPr>
        <w:tc>
          <w:tcPr>
            <w:tcW w:type="dxa" w:w="2200"/>
            <w:vAlign w:val="center"/>
            <w:tcMar>
              <w:top w:w="80" w:type="dxa"/>
              <w:start w:w="120" w:type="dxa"/>
              <w:bottom w:w="80" w:type="dxa"/>
              <w:end w:w="120" w:type="dxa"/>
            </w:tcMar>
            <w:shd w:fill="F2F4F7"/>
          </w:tcPr>
          <w:p>
            <w:pPr>
              <w:spacing w:after="0" w:line="252" w:lineRule="auto"/>
            </w:pPr>
            <w:r>
              <w:rPr>
                <w:rFonts w:ascii="Calibri" w:hAnsi="Calibri"/>
                <w:b/>
                <w:color w:val="202D3A"/>
                <w:sz w:val="18"/>
              </w:rPr>
              <w:t>Component</w:t>
            </w:r>
          </w:p>
        </w:tc>
        <w:tc>
          <w:tcPr>
            <w:tcW w:type="dxa" w:w="1200"/>
            <w:vAlign w:val="center"/>
            <w:tcMar>
              <w:top w:w="80" w:type="dxa"/>
              <w:start w:w="120" w:type="dxa"/>
              <w:bottom w:w="80" w:type="dxa"/>
              <w:end w:w="120" w:type="dxa"/>
            </w:tcMar>
            <w:shd w:fill="F2F4F7"/>
          </w:tcPr>
          <w:p>
            <w:pPr>
              <w:spacing w:after="0" w:line="252" w:lineRule="auto"/>
            </w:pPr>
            <w:r>
              <w:rPr>
                <w:rFonts w:ascii="Calibri" w:hAnsi="Calibri"/>
                <w:b/>
                <w:color w:val="202D3A"/>
                <w:sz w:val="18"/>
              </w:rPr>
              <w:t>Questions</w:t>
            </w:r>
          </w:p>
        </w:tc>
        <w:tc>
          <w:tcPr>
            <w:tcW w:type="dxa" w:w="1200"/>
            <w:vAlign w:val="center"/>
            <w:tcMar>
              <w:top w:w="80" w:type="dxa"/>
              <w:start w:w="120" w:type="dxa"/>
              <w:bottom w:w="80" w:type="dxa"/>
              <w:end w:w="120" w:type="dxa"/>
            </w:tcMar>
            <w:shd w:fill="F2F4F7"/>
          </w:tcPr>
          <w:p>
            <w:pPr>
              <w:spacing w:after="0" w:line="252" w:lineRule="auto"/>
            </w:pPr>
            <w:r>
              <w:rPr>
                <w:rFonts w:ascii="Calibri" w:hAnsi="Calibri"/>
                <w:b/>
                <w:color w:val="202D3A"/>
                <w:sz w:val="18"/>
              </w:rPr>
              <w:t>Raw Points</w:t>
            </w:r>
          </w:p>
        </w:tc>
        <w:tc>
          <w:tcPr>
            <w:tcW w:type="dxa" w:w="1700"/>
            <w:vAlign w:val="center"/>
            <w:tcMar>
              <w:top w:w="80" w:type="dxa"/>
              <w:start w:w="120" w:type="dxa"/>
              <w:bottom w:w="80" w:type="dxa"/>
              <w:end w:w="120" w:type="dxa"/>
            </w:tcMar>
            <w:shd w:fill="F2F4F7"/>
          </w:tcPr>
          <w:p>
            <w:pPr>
              <w:spacing w:after="0" w:line="252" w:lineRule="auto"/>
            </w:pPr>
            <w:r>
              <w:rPr>
                <w:rFonts w:ascii="Calibri" w:hAnsi="Calibri"/>
                <w:b/>
                <w:color w:val="202D3A"/>
                <w:sz w:val="18"/>
              </w:rPr>
              <w:t>Time</w:t>
            </w:r>
          </w:p>
        </w:tc>
        <w:tc>
          <w:tcPr>
            <w:tcW w:type="dxa" w:w="3060"/>
            <w:vAlign w:val="center"/>
            <w:tcMar>
              <w:top w:w="80" w:type="dxa"/>
              <w:start w:w="120" w:type="dxa"/>
              <w:bottom w:w="80" w:type="dxa"/>
              <w:end w:w="120" w:type="dxa"/>
            </w:tcMar>
            <w:shd w:fill="F2F4F7"/>
          </w:tcPr>
          <w:p>
            <w:pPr>
              <w:spacing w:after="0" w:line="252" w:lineRule="auto"/>
            </w:pPr>
            <w:r>
              <w:rPr>
                <w:rFonts w:ascii="Calibri" w:hAnsi="Calibri"/>
                <w:b/>
                <w:color w:val="202D3A"/>
                <w:sz w:val="18"/>
              </w:rPr>
              <w:t>Official Exam Weight</w:t>
            </w:r>
          </w:p>
        </w:tc>
      </w:tr>
      <w:tr>
        <w:trPr>
          <w:cantSplit/>
        </w:trPr>
        <w:tc>
          <w:tcPr>
            <w:tcW w:type="dxa" w:w="2200"/>
            <w:vAlign w:val="center"/>
            <w:tcMar>
              <w:top w:w="80" w:type="dxa"/>
              <w:start w:w="120" w:type="dxa"/>
              <w:bottom w:w="80" w:type="dxa"/>
              <w:end w:w="120" w:type="dxa"/>
            </w:tcMar>
          </w:tcPr>
          <w:p>
            <w:pPr>
              <w:spacing w:after="0" w:line="252" w:lineRule="auto"/>
            </w:pPr>
            <w:r>
              <w:rPr>
                <w:rFonts w:ascii="Calibri" w:hAnsi="Calibri"/>
                <w:b w:val="0"/>
                <w:color w:val="202D3A"/>
                <w:sz w:val="18"/>
              </w:rPr>
              <w:t>Multiple-choice section</w:t>
            </w:r>
          </w:p>
        </w:tc>
        <w:tc>
          <w:tcPr>
            <w:tcW w:type="dxa" w:w="1200"/>
            <w:vAlign w:val="center"/>
            <w:tcMar>
              <w:top w:w="80" w:type="dxa"/>
              <w:start w:w="120" w:type="dxa"/>
              <w:bottom w:w="80" w:type="dxa"/>
              <w:end w:w="120" w:type="dxa"/>
            </w:tcMar>
          </w:tcPr>
          <w:p>
            <w:pPr>
              <w:spacing w:after="0" w:line="252" w:lineRule="auto"/>
            </w:pPr>
            <w:r>
              <w:rPr>
                <w:rFonts w:ascii="Calibri" w:hAnsi="Calibri"/>
                <w:b w:val="0"/>
                <w:color w:val="202D3A"/>
                <w:sz w:val="18"/>
              </w:rPr>
              <w:t>60</w:t>
            </w:r>
          </w:p>
        </w:tc>
        <w:tc>
          <w:tcPr>
            <w:tcW w:type="dxa" w:w="1200"/>
            <w:vAlign w:val="center"/>
            <w:tcMar>
              <w:top w:w="80" w:type="dxa"/>
              <w:start w:w="120" w:type="dxa"/>
              <w:bottom w:w="80" w:type="dxa"/>
              <w:end w:w="120" w:type="dxa"/>
            </w:tcMar>
          </w:tcPr>
          <w:p>
            <w:pPr>
              <w:spacing w:after="0" w:line="252" w:lineRule="auto"/>
            </w:pPr>
            <w:r>
              <w:rPr>
                <w:rFonts w:ascii="Calibri" w:hAnsi="Calibri"/>
                <w:b w:val="0"/>
                <w:color w:val="202D3A"/>
                <w:sz w:val="18"/>
              </w:rPr>
              <w:t>60</w:t>
            </w:r>
          </w:p>
        </w:tc>
        <w:tc>
          <w:tcPr>
            <w:tcW w:type="dxa" w:w="1700"/>
            <w:vAlign w:val="center"/>
            <w:tcMar>
              <w:top w:w="80" w:type="dxa"/>
              <w:start w:w="120" w:type="dxa"/>
              <w:bottom w:w="80" w:type="dxa"/>
              <w:end w:w="120" w:type="dxa"/>
            </w:tcMar>
          </w:tcPr>
          <w:p>
            <w:pPr>
              <w:spacing w:after="0" w:line="252" w:lineRule="auto"/>
            </w:pPr>
            <w:r>
              <w:rPr>
                <w:rFonts w:ascii="Calibri" w:hAnsi="Calibri"/>
                <w:b w:val="0"/>
                <w:color w:val="202D3A"/>
                <w:sz w:val="18"/>
              </w:rPr>
              <w:t>90 minutes</w:t>
            </w:r>
          </w:p>
        </w:tc>
        <w:tc>
          <w:tcPr>
            <w:tcW w:type="dxa" w:w="3060"/>
            <w:vAlign w:val="center"/>
            <w:tcMar>
              <w:top w:w="80" w:type="dxa"/>
              <w:start w:w="120" w:type="dxa"/>
              <w:bottom w:w="80" w:type="dxa"/>
              <w:end w:w="120" w:type="dxa"/>
            </w:tcMar>
          </w:tcPr>
          <w:p>
            <w:pPr>
              <w:spacing w:after="0" w:line="252" w:lineRule="auto"/>
            </w:pPr>
            <w:r>
              <w:rPr>
                <w:rFonts w:ascii="Calibri" w:hAnsi="Calibri"/>
                <w:b w:val="0"/>
                <w:color w:val="202D3A"/>
                <w:sz w:val="18"/>
              </w:rPr>
              <w:t>50%</w:t>
            </w:r>
          </w:p>
        </w:tc>
      </w:tr>
      <w:tr>
        <w:trPr>
          <w:cantSplit/>
        </w:trPr>
        <w:tc>
          <w:tcPr>
            <w:tcW w:type="dxa" w:w="2200"/>
            <w:vAlign w:val="center"/>
            <w:tcMar>
              <w:top w:w="80" w:type="dxa"/>
              <w:start w:w="120" w:type="dxa"/>
              <w:bottom w:w="80" w:type="dxa"/>
              <w:end w:w="120" w:type="dxa"/>
            </w:tcMar>
          </w:tcPr>
          <w:p>
            <w:pPr>
              <w:spacing w:after="0" w:line="252" w:lineRule="auto"/>
            </w:pPr>
            <w:r>
              <w:rPr>
                <w:rFonts w:ascii="Calibri" w:hAnsi="Calibri"/>
                <w:b w:val="0"/>
                <w:color w:val="202D3A"/>
                <w:sz w:val="18"/>
              </w:rPr>
              <w:t>Free-response section</w:t>
            </w:r>
          </w:p>
        </w:tc>
        <w:tc>
          <w:tcPr>
            <w:tcW w:type="dxa" w:w="1200"/>
            <w:vAlign w:val="center"/>
            <w:tcMar>
              <w:top w:w="80" w:type="dxa"/>
              <w:start w:w="120" w:type="dxa"/>
              <w:bottom w:w="80" w:type="dxa"/>
              <w:end w:w="120" w:type="dxa"/>
            </w:tcMar>
          </w:tcPr>
          <w:p>
            <w:pPr>
              <w:spacing w:after="0" w:line="252" w:lineRule="auto"/>
            </w:pPr>
            <w:r>
              <w:rPr>
                <w:rFonts w:ascii="Calibri" w:hAnsi="Calibri"/>
                <w:b w:val="0"/>
                <w:color w:val="202D3A"/>
                <w:sz w:val="18"/>
              </w:rPr>
              <w:t>6</w:t>
            </w:r>
          </w:p>
        </w:tc>
        <w:tc>
          <w:tcPr>
            <w:tcW w:type="dxa" w:w="1200"/>
            <w:vAlign w:val="center"/>
            <w:tcMar>
              <w:top w:w="80" w:type="dxa"/>
              <w:start w:w="120" w:type="dxa"/>
              <w:bottom w:w="80" w:type="dxa"/>
              <w:end w:w="120" w:type="dxa"/>
            </w:tcMar>
          </w:tcPr>
          <w:p>
            <w:pPr>
              <w:spacing w:after="0" w:line="252" w:lineRule="auto"/>
            </w:pPr>
            <w:r>
              <w:rPr>
                <w:rFonts w:ascii="Calibri" w:hAnsi="Calibri"/>
                <w:b w:val="0"/>
                <w:color w:val="202D3A"/>
                <w:sz w:val="18"/>
              </w:rPr>
              <w:t>34</w:t>
            </w:r>
          </w:p>
        </w:tc>
        <w:tc>
          <w:tcPr>
            <w:tcW w:type="dxa" w:w="1700"/>
            <w:vAlign w:val="center"/>
            <w:tcMar>
              <w:top w:w="80" w:type="dxa"/>
              <w:start w:w="120" w:type="dxa"/>
              <w:bottom w:w="80" w:type="dxa"/>
              <w:end w:w="120" w:type="dxa"/>
            </w:tcMar>
          </w:tcPr>
          <w:p>
            <w:pPr>
              <w:spacing w:after="0" w:line="252" w:lineRule="auto"/>
            </w:pPr>
            <w:r>
              <w:rPr>
                <w:rFonts w:ascii="Calibri" w:hAnsi="Calibri"/>
                <w:b w:val="0"/>
                <w:color w:val="202D3A"/>
                <w:sz w:val="18"/>
              </w:rPr>
              <w:t>90 minutes</w:t>
            </w:r>
          </w:p>
        </w:tc>
        <w:tc>
          <w:tcPr>
            <w:tcW w:type="dxa" w:w="3060"/>
            <w:vAlign w:val="center"/>
            <w:tcMar>
              <w:top w:w="80" w:type="dxa"/>
              <w:start w:w="120" w:type="dxa"/>
              <w:bottom w:w="80" w:type="dxa"/>
              <w:end w:w="120" w:type="dxa"/>
            </w:tcMar>
          </w:tcPr>
          <w:p>
            <w:pPr>
              <w:spacing w:after="0" w:line="252" w:lineRule="auto"/>
            </w:pPr>
            <w:r>
              <w:rPr>
                <w:rFonts w:ascii="Calibri" w:hAnsi="Calibri"/>
                <w:b w:val="0"/>
                <w:color w:val="202D3A"/>
                <w:sz w:val="18"/>
              </w:rPr>
              <w:t>50%</w:t>
            </w:r>
          </w:p>
        </w:tc>
      </w:tr>
      <w:tr>
        <w:trPr>
          <w:cantSplit/>
        </w:trPr>
        <w:tc>
          <w:tcPr>
            <w:tcW w:type="dxa" w:w="2200"/>
            <w:vAlign w:val="center"/>
            <w:tcMar>
              <w:top w:w="80" w:type="dxa"/>
              <w:start w:w="120" w:type="dxa"/>
              <w:bottom w:w="80" w:type="dxa"/>
              <w:end w:w="120" w:type="dxa"/>
            </w:tcMar>
          </w:tcPr>
          <w:p>
            <w:pPr>
              <w:spacing w:after="0" w:line="252" w:lineRule="auto"/>
            </w:pPr>
            <w:r>
              <w:rPr>
                <w:rFonts w:ascii="Calibri" w:hAnsi="Calibri"/>
                <w:b w:val="0"/>
                <w:color w:val="202D3A"/>
                <w:sz w:val="18"/>
              </w:rPr>
              <w:t>FRQ 1: Experimental results</w:t>
            </w:r>
          </w:p>
        </w:tc>
        <w:tc>
          <w:tcPr>
            <w:tcW w:type="dxa" w:w="1200"/>
            <w:vAlign w:val="center"/>
            <w:tcMar>
              <w:top w:w="80" w:type="dxa"/>
              <w:start w:w="120" w:type="dxa"/>
              <w:bottom w:w="80" w:type="dxa"/>
              <w:end w:w="120" w:type="dxa"/>
            </w:tcMar>
          </w:tcPr>
          <w:p>
            <w:pPr>
              <w:spacing w:after="0" w:line="252" w:lineRule="auto"/>
            </w:pPr>
            <w:r>
              <w:rPr>
                <w:rFonts w:ascii="Calibri" w:hAnsi="Calibri"/>
                <w:b w:val="0"/>
                <w:color w:val="202D3A"/>
                <w:sz w:val="18"/>
              </w:rPr>
              <w:t>1</w:t>
            </w:r>
          </w:p>
        </w:tc>
        <w:tc>
          <w:tcPr>
            <w:tcW w:type="dxa" w:w="1200"/>
            <w:vAlign w:val="center"/>
            <w:tcMar>
              <w:top w:w="80" w:type="dxa"/>
              <w:start w:w="120" w:type="dxa"/>
              <w:bottom w:w="80" w:type="dxa"/>
              <w:end w:w="120" w:type="dxa"/>
            </w:tcMar>
          </w:tcPr>
          <w:p>
            <w:pPr>
              <w:spacing w:after="0" w:line="252" w:lineRule="auto"/>
            </w:pPr>
            <w:r>
              <w:rPr>
                <w:rFonts w:ascii="Calibri" w:hAnsi="Calibri"/>
                <w:b w:val="0"/>
                <w:color w:val="202D3A"/>
                <w:sz w:val="18"/>
              </w:rPr>
              <w:t>9</w:t>
            </w:r>
          </w:p>
        </w:tc>
        <w:tc>
          <w:tcPr>
            <w:tcW w:type="dxa" w:w="1700"/>
            <w:vAlign w:val="center"/>
            <w:tcMar>
              <w:top w:w="80" w:type="dxa"/>
              <w:start w:w="120" w:type="dxa"/>
              <w:bottom w:w="80" w:type="dxa"/>
              <w:end w:w="120" w:type="dxa"/>
            </w:tcMar>
          </w:tcPr>
          <w:p>
            <w:pPr>
              <w:spacing w:after="0" w:line="252" w:lineRule="auto"/>
            </w:pPr>
            <w:r>
              <w:rPr>
                <w:rFonts w:ascii="Calibri" w:hAnsi="Calibri"/>
                <w:b w:val="0"/>
                <w:color w:val="202D3A"/>
                <w:sz w:val="18"/>
              </w:rPr>
              <w:t>Within FRQ section</w:t>
            </w:r>
          </w:p>
        </w:tc>
        <w:tc>
          <w:tcPr>
            <w:tcW w:type="dxa" w:w="3060"/>
            <w:vAlign w:val="center"/>
            <w:tcMar>
              <w:top w:w="80" w:type="dxa"/>
              <w:start w:w="120" w:type="dxa"/>
              <w:bottom w:w="80" w:type="dxa"/>
              <w:end w:w="120" w:type="dxa"/>
            </w:tcMar>
          </w:tcPr>
          <w:p>
            <w:pPr>
              <w:spacing w:after="0" w:line="252" w:lineRule="auto"/>
            </w:pPr>
            <w:r>
              <w:rPr>
                <w:rFonts w:ascii="Calibri" w:hAnsi="Calibri"/>
                <w:b w:val="0"/>
                <w:color w:val="202D3A"/>
                <w:sz w:val="18"/>
              </w:rPr>
              <w:t>Part of FRQ 50%</w:t>
            </w:r>
          </w:p>
        </w:tc>
      </w:tr>
      <w:tr>
        <w:trPr>
          <w:cantSplit/>
        </w:trPr>
        <w:tc>
          <w:tcPr>
            <w:tcW w:type="dxa" w:w="2200"/>
            <w:vAlign w:val="center"/>
            <w:tcMar>
              <w:top w:w="80" w:type="dxa"/>
              <w:start w:w="120" w:type="dxa"/>
              <w:bottom w:w="80" w:type="dxa"/>
              <w:end w:w="120" w:type="dxa"/>
            </w:tcMar>
          </w:tcPr>
          <w:p>
            <w:pPr>
              <w:spacing w:after="0" w:line="252" w:lineRule="auto"/>
            </w:pPr>
            <w:r>
              <w:rPr>
                <w:rFonts w:ascii="Calibri" w:hAnsi="Calibri"/>
                <w:b w:val="0"/>
                <w:color w:val="202D3A"/>
                <w:sz w:val="18"/>
              </w:rPr>
              <w:t>FRQ 2: Experimental results with graphing</w:t>
            </w:r>
          </w:p>
        </w:tc>
        <w:tc>
          <w:tcPr>
            <w:tcW w:type="dxa" w:w="1200"/>
            <w:vAlign w:val="center"/>
            <w:tcMar>
              <w:top w:w="80" w:type="dxa"/>
              <w:start w:w="120" w:type="dxa"/>
              <w:bottom w:w="80" w:type="dxa"/>
              <w:end w:w="120" w:type="dxa"/>
            </w:tcMar>
          </w:tcPr>
          <w:p>
            <w:pPr>
              <w:spacing w:after="0" w:line="252" w:lineRule="auto"/>
            </w:pPr>
            <w:r>
              <w:rPr>
                <w:rFonts w:ascii="Calibri" w:hAnsi="Calibri"/>
                <w:b w:val="0"/>
                <w:color w:val="202D3A"/>
                <w:sz w:val="18"/>
              </w:rPr>
              <w:t>1</w:t>
            </w:r>
          </w:p>
        </w:tc>
        <w:tc>
          <w:tcPr>
            <w:tcW w:type="dxa" w:w="1200"/>
            <w:vAlign w:val="center"/>
            <w:tcMar>
              <w:top w:w="80" w:type="dxa"/>
              <w:start w:w="120" w:type="dxa"/>
              <w:bottom w:w="80" w:type="dxa"/>
              <w:end w:w="120" w:type="dxa"/>
            </w:tcMar>
          </w:tcPr>
          <w:p>
            <w:pPr>
              <w:spacing w:after="0" w:line="252" w:lineRule="auto"/>
            </w:pPr>
            <w:r>
              <w:rPr>
                <w:rFonts w:ascii="Calibri" w:hAnsi="Calibri"/>
                <w:b w:val="0"/>
                <w:color w:val="202D3A"/>
                <w:sz w:val="18"/>
              </w:rPr>
              <w:t>9</w:t>
            </w:r>
          </w:p>
        </w:tc>
        <w:tc>
          <w:tcPr>
            <w:tcW w:type="dxa" w:w="1700"/>
            <w:vAlign w:val="center"/>
            <w:tcMar>
              <w:top w:w="80" w:type="dxa"/>
              <w:start w:w="120" w:type="dxa"/>
              <w:bottom w:w="80" w:type="dxa"/>
              <w:end w:w="120" w:type="dxa"/>
            </w:tcMar>
          </w:tcPr>
          <w:p>
            <w:pPr>
              <w:spacing w:after="0" w:line="252" w:lineRule="auto"/>
            </w:pPr>
            <w:r>
              <w:rPr>
                <w:rFonts w:ascii="Calibri" w:hAnsi="Calibri"/>
                <w:b w:val="0"/>
                <w:color w:val="202D3A"/>
                <w:sz w:val="18"/>
              </w:rPr>
              <w:t>Within FRQ section</w:t>
            </w:r>
          </w:p>
        </w:tc>
        <w:tc>
          <w:tcPr>
            <w:tcW w:type="dxa" w:w="3060"/>
            <w:vAlign w:val="center"/>
            <w:tcMar>
              <w:top w:w="80" w:type="dxa"/>
              <w:start w:w="120" w:type="dxa"/>
              <w:bottom w:w="80" w:type="dxa"/>
              <w:end w:w="120" w:type="dxa"/>
            </w:tcMar>
          </w:tcPr>
          <w:p>
            <w:pPr>
              <w:spacing w:after="0" w:line="252" w:lineRule="auto"/>
            </w:pPr>
            <w:r>
              <w:rPr>
                <w:rFonts w:ascii="Calibri" w:hAnsi="Calibri"/>
                <w:b w:val="0"/>
                <w:color w:val="202D3A"/>
                <w:sz w:val="18"/>
              </w:rPr>
              <w:t>Part of FRQ 50%</w:t>
            </w:r>
          </w:p>
        </w:tc>
      </w:tr>
      <w:tr>
        <w:trPr>
          <w:cantSplit/>
        </w:trPr>
        <w:tc>
          <w:tcPr>
            <w:tcW w:type="dxa" w:w="2200"/>
            <w:vAlign w:val="center"/>
            <w:tcMar>
              <w:top w:w="80" w:type="dxa"/>
              <w:start w:w="120" w:type="dxa"/>
              <w:bottom w:w="80" w:type="dxa"/>
              <w:end w:w="120" w:type="dxa"/>
            </w:tcMar>
          </w:tcPr>
          <w:p>
            <w:pPr>
              <w:spacing w:after="0" w:line="252" w:lineRule="auto"/>
            </w:pPr>
            <w:r>
              <w:rPr>
                <w:rFonts w:ascii="Calibri" w:hAnsi="Calibri"/>
                <w:b w:val="0"/>
                <w:color w:val="202D3A"/>
                <w:sz w:val="18"/>
              </w:rPr>
              <w:t>FRQs 3-6: Short response</w:t>
            </w:r>
          </w:p>
        </w:tc>
        <w:tc>
          <w:tcPr>
            <w:tcW w:type="dxa" w:w="1200"/>
            <w:vAlign w:val="center"/>
            <w:tcMar>
              <w:top w:w="80" w:type="dxa"/>
              <w:start w:w="120" w:type="dxa"/>
              <w:bottom w:w="80" w:type="dxa"/>
              <w:end w:w="120" w:type="dxa"/>
            </w:tcMar>
          </w:tcPr>
          <w:p>
            <w:pPr>
              <w:spacing w:after="0" w:line="252" w:lineRule="auto"/>
            </w:pPr>
            <w:r>
              <w:rPr>
                <w:rFonts w:ascii="Calibri" w:hAnsi="Calibri"/>
                <w:b w:val="0"/>
                <w:color w:val="202D3A"/>
                <w:sz w:val="18"/>
              </w:rPr>
              <w:t>4</w:t>
            </w:r>
          </w:p>
        </w:tc>
        <w:tc>
          <w:tcPr>
            <w:tcW w:type="dxa" w:w="1200"/>
            <w:vAlign w:val="center"/>
            <w:tcMar>
              <w:top w:w="80" w:type="dxa"/>
              <w:start w:w="120" w:type="dxa"/>
              <w:bottom w:w="80" w:type="dxa"/>
              <w:end w:w="120" w:type="dxa"/>
            </w:tcMar>
          </w:tcPr>
          <w:p>
            <w:pPr>
              <w:spacing w:after="0" w:line="252" w:lineRule="auto"/>
            </w:pPr>
            <w:r>
              <w:rPr>
                <w:rFonts w:ascii="Calibri" w:hAnsi="Calibri"/>
                <w:b w:val="0"/>
                <w:color w:val="202D3A"/>
                <w:sz w:val="18"/>
              </w:rPr>
              <w:t>4 each</w:t>
            </w:r>
          </w:p>
        </w:tc>
        <w:tc>
          <w:tcPr>
            <w:tcW w:type="dxa" w:w="1700"/>
            <w:vAlign w:val="center"/>
            <w:tcMar>
              <w:top w:w="80" w:type="dxa"/>
              <w:start w:w="120" w:type="dxa"/>
              <w:bottom w:w="80" w:type="dxa"/>
              <w:end w:w="120" w:type="dxa"/>
            </w:tcMar>
          </w:tcPr>
          <w:p>
            <w:pPr>
              <w:spacing w:after="0" w:line="252" w:lineRule="auto"/>
            </w:pPr>
            <w:r>
              <w:rPr>
                <w:rFonts w:ascii="Calibri" w:hAnsi="Calibri"/>
                <w:b w:val="0"/>
                <w:color w:val="202D3A"/>
                <w:sz w:val="18"/>
              </w:rPr>
              <w:t>Within FRQ section</w:t>
            </w:r>
          </w:p>
        </w:tc>
        <w:tc>
          <w:tcPr>
            <w:tcW w:type="dxa" w:w="3060"/>
            <w:vAlign w:val="center"/>
            <w:tcMar>
              <w:top w:w="80" w:type="dxa"/>
              <w:start w:w="120" w:type="dxa"/>
              <w:bottom w:w="80" w:type="dxa"/>
              <w:end w:w="120" w:type="dxa"/>
            </w:tcMar>
          </w:tcPr>
          <w:p>
            <w:pPr>
              <w:spacing w:after="0" w:line="252" w:lineRule="auto"/>
            </w:pPr>
            <w:r>
              <w:rPr>
                <w:rFonts w:ascii="Calibri" w:hAnsi="Calibri"/>
                <w:b w:val="0"/>
                <w:color w:val="202D3A"/>
                <w:sz w:val="18"/>
              </w:rPr>
              <w:t>Part of FRQ 50%</w:t>
            </w:r>
          </w:p>
        </w:tc>
      </w:tr>
    </w:tbl>
    <w:p>
      <w:pPr>
        <w:spacing w:after="0"/>
      </w:pPr>
    </w:p>
    <w:p>
      <w:pPr>
        <w:pStyle w:val="Heading2"/>
      </w:pPr>
      <w:r>
        <w:t>6.3 Cramapple Planning Values</w:t>
      </w:r>
    </w:p>
    <w:p>
      <w:pPr>
        <w:widowControl/>
      </w:pPr>
      <w:r>
        <w:t>The following are derived planning approximations, not College Board score-conversion statements:</w:t>
      </w:r>
    </w:p>
    <w:tbl>
      <w:tblPr>
        <w:tblStyle w:val="TableGrid"/>
        <w:tblW w:type="dxa" w:w="9360"/>
        <w:jc w:val="left"/>
        <w:tblLayout w:type="fixed"/>
        <w:tblLook w:firstColumn="1" w:firstRow="1" w:lastColumn="0" w:lastRow="0" w:noHBand="0" w:noVBand="1" w:val="04A0"/>
        <w:tblInd w:w="120" w:type="dxa"/>
      </w:tblPr>
      <w:tblGrid>
        <w:gridCol w:w="3000"/>
        <w:gridCol w:w="6360"/>
      </w:tblGrid>
      <w:tr>
        <w:trPr>
          <w:tblHeader w:val="true"/>
          <w:cantSplit/>
        </w:trPr>
        <w:tc>
          <w:tcPr>
            <w:tcW w:type="dxa" w:w="3000"/>
            <w:vAlign w:val="center"/>
            <w:tcMar>
              <w:top w:w="80" w:type="dxa"/>
              <w:start w:w="120" w:type="dxa"/>
              <w:bottom w:w="80" w:type="dxa"/>
              <w:end w:w="120" w:type="dxa"/>
            </w:tcMar>
            <w:shd w:fill="F2F4F7"/>
          </w:tcPr>
          <w:p>
            <w:pPr>
              <w:spacing w:after="0" w:line="252" w:lineRule="auto"/>
            </w:pPr>
            <w:r>
              <w:rPr>
                <w:rFonts w:ascii="Calibri" w:hAnsi="Calibri"/>
                <w:b/>
                <w:color w:val="202D3A"/>
                <w:sz w:val="18"/>
              </w:rPr>
              <w:t>Raw Opportunity</w:t>
            </w:r>
          </w:p>
        </w:tc>
        <w:tc>
          <w:tcPr>
            <w:tcW w:type="dxa" w:w="6360"/>
            <w:vAlign w:val="center"/>
            <w:tcMar>
              <w:top w:w="80" w:type="dxa"/>
              <w:start w:w="120" w:type="dxa"/>
              <w:bottom w:w="80" w:type="dxa"/>
              <w:end w:w="120" w:type="dxa"/>
            </w:tcMar>
            <w:shd w:fill="F2F4F7"/>
          </w:tcPr>
          <w:p>
            <w:pPr>
              <w:spacing w:after="0" w:line="252" w:lineRule="auto"/>
            </w:pPr>
            <w:r>
              <w:rPr>
                <w:rFonts w:ascii="Calibri" w:hAnsi="Calibri"/>
                <w:b/>
                <w:color w:val="202D3A"/>
                <w:sz w:val="18"/>
              </w:rPr>
              <w:t>Approximate Share of Weighted Exam</w:t>
            </w:r>
          </w:p>
        </w:tc>
      </w:tr>
      <w:tr>
        <w:trPr>
          <w:cantSplit/>
        </w:trPr>
        <w:tc>
          <w:tcPr>
            <w:tcW w:type="dxa" w:w="3000"/>
            <w:vAlign w:val="center"/>
            <w:tcMar>
              <w:top w:w="80" w:type="dxa"/>
              <w:start w:w="120" w:type="dxa"/>
              <w:bottom w:w="80" w:type="dxa"/>
              <w:end w:w="120" w:type="dxa"/>
            </w:tcMar>
          </w:tcPr>
          <w:p>
            <w:pPr>
              <w:spacing w:after="0" w:line="252" w:lineRule="auto"/>
            </w:pPr>
            <w:r>
              <w:rPr>
                <w:rFonts w:ascii="Calibri" w:hAnsi="Calibri"/>
                <w:b w:val="0"/>
                <w:color w:val="202D3A"/>
                <w:sz w:val="18"/>
              </w:rPr>
              <w:t>One MCQ</w:t>
            </w:r>
          </w:p>
        </w:tc>
        <w:tc>
          <w:tcPr>
            <w:tcW w:type="dxa" w:w="6360"/>
            <w:vAlign w:val="center"/>
            <w:tcMar>
              <w:top w:w="80" w:type="dxa"/>
              <w:start w:w="120" w:type="dxa"/>
              <w:bottom w:w="80" w:type="dxa"/>
              <w:end w:w="120" w:type="dxa"/>
            </w:tcMar>
          </w:tcPr>
          <w:p>
            <w:pPr>
              <w:spacing w:after="0" w:line="252" w:lineRule="auto"/>
            </w:pPr>
            <w:r>
              <w:rPr>
                <w:rFonts w:ascii="Calibri" w:hAnsi="Calibri"/>
                <w:b w:val="0"/>
                <w:color w:val="202D3A"/>
                <w:sz w:val="18"/>
              </w:rPr>
              <w:t>50 / 60 = 0.83 percentage point</w:t>
            </w:r>
          </w:p>
        </w:tc>
      </w:tr>
      <w:tr>
        <w:trPr>
          <w:cantSplit/>
        </w:trPr>
        <w:tc>
          <w:tcPr>
            <w:tcW w:type="dxa" w:w="3000"/>
            <w:vAlign w:val="center"/>
            <w:tcMar>
              <w:top w:w="80" w:type="dxa"/>
              <w:start w:w="120" w:type="dxa"/>
              <w:bottom w:w="80" w:type="dxa"/>
              <w:end w:w="120" w:type="dxa"/>
            </w:tcMar>
          </w:tcPr>
          <w:p>
            <w:pPr>
              <w:spacing w:after="0" w:line="252" w:lineRule="auto"/>
            </w:pPr>
            <w:r>
              <w:rPr>
                <w:rFonts w:ascii="Calibri" w:hAnsi="Calibri"/>
                <w:b w:val="0"/>
                <w:color w:val="202D3A"/>
                <w:sz w:val="18"/>
              </w:rPr>
              <w:t>One FRQ rubric point</w:t>
            </w:r>
          </w:p>
        </w:tc>
        <w:tc>
          <w:tcPr>
            <w:tcW w:type="dxa" w:w="6360"/>
            <w:vAlign w:val="center"/>
            <w:tcMar>
              <w:top w:w="80" w:type="dxa"/>
              <w:start w:w="120" w:type="dxa"/>
              <w:bottom w:w="80" w:type="dxa"/>
              <w:end w:w="120" w:type="dxa"/>
            </w:tcMar>
          </w:tcPr>
          <w:p>
            <w:pPr>
              <w:spacing w:after="0" w:line="252" w:lineRule="auto"/>
            </w:pPr>
            <w:r>
              <w:rPr>
                <w:rFonts w:ascii="Calibri" w:hAnsi="Calibri"/>
                <w:b w:val="0"/>
                <w:color w:val="202D3A"/>
                <w:sz w:val="18"/>
              </w:rPr>
              <w:t>50 / 34 = 1.47 percentage points</w:t>
            </w:r>
          </w:p>
        </w:tc>
      </w:tr>
      <w:tr>
        <w:trPr>
          <w:cantSplit/>
        </w:trPr>
        <w:tc>
          <w:tcPr>
            <w:tcW w:type="dxa" w:w="3000"/>
            <w:vAlign w:val="center"/>
            <w:tcMar>
              <w:top w:w="80" w:type="dxa"/>
              <w:start w:w="120" w:type="dxa"/>
              <w:bottom w:w="80" w:type="dxa"/>
              <w:end w:w="120" w:type="dxa"/>
            </w:tcMar>
          </w:tcPr>
          <w:p>
            <w:pPr>
              <w:spacing w:after="0" w:line="252" w:lineRule="auto"/>
            </w:pPr>
            <w:r>
              <w:rPr>
                <w:rFonts w:ascii="Calibri" w:hAnsi="Calibri"/>
                <w:b w:val="0"/>
                <w:color w:val="202D3A"/>
                <w:sz w:val="18"/>
              </w:rPr>
              <w:t>One 9-point long FRQ</w:t>
            </w:r>
          </w:p>
        </w:tc>
        <w:tc>
          <w:tcPr>
            <w:tcW w:type="dxa" w:w="6360"/>
            <w:vAlign w:val="center"/>
            <w:tcMar>
              <w:top w:w="80" w:type="dxa"/>
              <w:start w:w="120" w:type="dxa"/>
              <w:bottom w:w="80" w:type="dxa"/>
              <w:end w:w="120" w:type="dxa"/>
            </w:tcMar>
          </w:tcPr>
          <w:p>
            <w:pPr>
              <w:spacing w:after="0" w:line="252" w:lineRule="auto"/>
            </w:pPr>
            <w:r>
              <w:rPr>
                <w:rFonts w:ascii="Calibri" w:hAnsi="Calibri"/>
                <w:b w:val="0"/>
                <w:color w:val="202D3A"/>
                <w:sz w:val="18"/>
              </w:rPr>
              <w:t>13.24 percentage points</w:t>
            </w:r>
          </w:p>
        </w:tc>
      </w:tr>
      <w:tr>
        <w:trPr>
          <w:cantSplit/>
        </w:trPr>
        <w:tc>
          <w:tcPr>
            <w:tcW w:type="dxa" w:w="3000"/>
            <w:vAlign w:val="center"/>
            <w:tcMar>
              <w:top w:w="80" w:type="dxa"/>
              <w:start w:w="120" w:type="dxa"/>
              <w:bottom w:w="80" w:type="dxa"/>
              <w:end w:w="120" w:type="dxa"/>
            </w:tcMar>
          </w:tcPr>
          <w:p>
            <w:pPr>
              <w:spacing w:after="0" w:line="252" w:lineRule="auto"/>
            </w:pPr>
            <w:r>
              <w:rPr>
                <w:rFonts w:ascii="Calibri" w:hAnsi="Calibri"/>
                <w:b w:val="0"/>
                <w:color w:val="202D3A"/>
                <w:sz w:val="18"/>
              </w:rPr>
              <w:t>Both long FRQs</w:t>
            </w:r>
          </w:p>
        </w:tc>
        <w:tc>
          <w:tcPr>
            <w:tcW w:type="dxa" w:w="6360"/>
            <w:vAlign w:val="center"/>
            <w:tcMar>
              <w:top w:w="80" w:type="dxa"/>
              <w:start w:w="120" w:type="dxa"/>
              <w:bottom w:w="80" w:type="dxa"/>
              <w:end w:w="120" w:type="dxa"/>
            </w:tcMar>
          </w:tcPr>
          <w:p>
            <w:pPr>
              <w:spacing w:after="0" w:line="252" w:lineRule="auto"/>
            </w:pPr>
            <w:r>
              <w:rPr>
                <w:rFonts w:ascii="Calibri" w:hAnsi="Calibri"/>
                <w:b w:val="0"/>
                <w:color w:val="202D3A"/>
                <w:sz w:val="18"/>
              </w:rPr>
              <w:t>26.47 percentage points</w:t>
            </w:r>
          </w:p>
        </w:tc>
      </w:tr>
      <w:tr>
        <w:trPr>
          <w:cantSplit/>
        </w:trPr>
        <w:tc>
          <w:tcPr>
            <w:tcW w:type="dxa" w:w="3000"/>
            <w:vAlign w:val="center"/>
            <w:tcMar>
              <w:top w:w="80" w:type="dxa"/>
              <w:start w:w="120" w:type="dxa"/>
              <w:bottom w:w="80" w:type="dxa"/>
              <w:end w:w="120" w:type="dxa"/>
            </w:tcMar>
          </w:tcPr>
          <w:p>
            <w:pPr>
              <w:spacing w:after="0" w:line="252" w:lineRule="auto"/>
            </w:pPr>
            <w:r>
              <w:rPr>
                <w:rFonts w:ascii="Calibri" w:hAnsi="Calibri"/>
                <w:b w:val="0"/>
                <w:color w:val="202D3A"/>
                <w:sz w:val="18"/>
              </w:rPr>
              <w:t>One 4-point short FRQ</w:t>
            </w:r>
          </w:p>
        </w:tc>
        <w:tc>
          <w:tcPr>
            <w:tcW w:type="dxa" w:w="6360"/>
            <w:vAlign w:val="center"/>
            <w:tcMar>
              <w:top w:w="80" w:type="dxa"/>
              <w:start w:w="120" w:type="dxa"/>
              <w:bottom w:w="80" w:type="dxa"/>
              <w:end w:w="120" w:type="dxa"/>
            </w:tcMar>
          </w:tcPr>
          <w:p>
            <w:pPr>
              <w:spacing w:after="0" w:line="252" w:lineRule="auto"/>
            </w:pPr>
            <w:r>
              <w:rPr>
                <w:rFonts w:ascii="Calibri" w:hAnsi="Calibri"/>
                <w:b w:val="0"/>
                <w:color w:val="202D3A"/>
                <w:sz w:val="18"/>
              </w:rPr>
              <w:t>5.88 percentage points</w:t>
            </w:r>
          </w:p>
        </w:tc>
      </w:tr>
      <w:tr>
        <w:trPr>
          <w:cantSplit/>
        </w:trPr>
        <w:tc>
          <w:tcPr>
            <w:tcW w:type="dxa" w:w="3000"/>
            <w:vAlign w:val="center"/>
            <w:tcMar>
              <w:top w:w="80" w:type="dxa"/>
              <w:start w:w="120" w:type="dxa"/>
              <w:bottom w:w="80" w:type="dxa"/>
              <w:end w:w="120" w:type="dxa"/>
            </w:tcMar>
          </w:tcPr>
          <w:p>
            <w:pPr>
              <w:spacing w:after="0" w:line="252" w:lineRule="auto"/>
            </w:pPr>
            <w:r>
              <w:rPr>
                <w:rFonts w:ascii="Calibri" w:hAnsi="Calibri"/>
                <w:b w:val="0"/>
                <w:color w:val="202D3A"/>
                <w:sz w:val="18"/>
              </w:rPr>
              <w:t>All four short FRQs</w:t>
            </w:r>
          </w:p>
        </w:tc>
        <w:tc>
          <w:tcPr>
            <w:tcW w:type="dxa" w:w="6360"/>
            <w:vAlign w:val="center"/>
            <w:tcMar>
              <w:top w:w="80" w:type="dxa"/>
              <w:start w:w="120" w:type="dxa"/>
              <w:bottom w:w="80" w:type="dxa"/>
              <w:end w:w="120" w:type="dxa"/>
            </w:tcMar>
          </w:tcPr>
          <w:p>
            <w:pPr>
              <w:spacing w:after="0" w:line="252" w:lineRule="auto"/>
            </w:pPr>
            <w:r>
              <w:rPr>
                <w:rFonts w:ascii="Calibri" w:hAnsi="Calibri"/>
                <w:b w:val="0"/>
                <w:color w:val="202D3A"/>
                <w:sz w:val="18"/>
              </w:rPr>
              <w:t>23.53 percentage points</w:t>
            </w:r>
          </w:p>
        </w:tc>
      </w:tr>
    </w:tbl>
    <w:p>
      <w:pPr>
        <w:spacing w:after="0"/>
      </w:pPr>
    </w:p>
    <w:p>
      <w:pPr>
        <w:widowControl/>
      </w:pPr>
      <w:r>
        <w:t>These values are useful for relative practice allocation only. College Board combines weighted section results and converts the composite to an AP score. Cramapple must not imply that stable raw-score cutoffs or a precise linear 1-5 conversion are official or guaranteed.</w:t>
      </w:r>
    </w:p>
    <w:p>
      <w:pPr>
        <w:pStyle w:val="Heading2"/>
      </w:pPr>
      <w:r>
        <w:t>6.4 Multiple-Choice Unit Distribution</w:t>
      </w:r>
    </w:p>
    <w:p>
      <w:pPr>
        <w:widowControl/>
      </w:pPr>
      <w:r>
        <w:t>These ranges apply specifically to the multiple-choice section:</w:t>
      </w:r>
    </w:p>
    <w:tbl>
      <w:tblPr>
        <w:tblStyle w:val="TableGrid"/>
        <w:tblW w:type="dxa" w:w="9360"/>
        <w:jc w:val="left"/>
        <w:tblLayout w:type="fixed"/>
        <w:tblLook w:firstColumn="1" w:firstRow="1" w:lastColumn="0" w:lastRow="0" w:noHBand="0" w:noVBand="1" w:val="04A0"/>
        <w:tblInd w:w="120" w:type="dxa"/>
      </w:tblPr>
      <w:tblGrid>
        <w:gridCol w:w="3000"/>
        <w:gridCol w:w="6360"/>
      </w:tblGrid>
      <w:tr>
        <w:trPr>
          <w:tblHeader w:val="true"/>
          <w:cantSplit/>
        </w:trPr>
        <w:tc>
          <w:tcPr>
            <w:tcW w:type="dxa" w:w="3000"/>
            <w:vAlign w:val="center"/>
            <w:tcMar>
              <w:top w:w="80" w:type="dxa"/>
              <w:start w:w="120" w:type="dxa"/>
              <w:bottom w:w="80" w:type="dxa"/>
              <w:end w:w="120" w:type="dxa"/>
            </w:tcMar>
            <w:shd w:fill="F2F4F7"/>
          </w:tcPr>
          <w:p>
            <w:pPr>
              <w:spacing w:after="0" w:line="252" w:lineRule="auto"/>
            </w:pPr>
            <w:r>
              <w:rPr>
                <w:rFonts w:ascii="Calibri" w:hAnsi="Calibri"/>
                <w:b/>
                <w:color w:val="202D3A"/>
                <w:sz w:val="18"/>
              </w:rPr>
              <w:t>Unit</w:t>
            </w:r>
          </w:p>
        </w:tc>
        <w:tc>
          <w:tcPr>
            <w:tcW w:type="dxa" w:w="6360"/>
            <w:vAlign w:val="center"/>
            <w:tcMar>
              <w:top w:w="80" w:type="dxa"/>
              <w:start w:w="120" w:type="dxa"/>
              <w:bottom w:w="80" w:type="dxa"/>
              <w:end w:w="120" w:type="dxa"/>
            </w:tcMar>
            <w:shd w:fill="F2F4F7"/>
          </w:tcPr>
          <w:p>
            <w:pPr>
              <w:spacing w:after="0" w:line="252" w:lineRule="auto"/>
            </w:pPr>
            <w:r>
              <w:rPr>
                <w:rFonts w:ascii="Calibri" w:hAnsi="Calibri"/>
                <w:b/>
                <w:color w:val="202D3A"/>
                <w:sz w:val="18"/>
              </w:rPr>
              <w:t>Official MCQ Weight Range</w:t>
            </w:r>
          </w:p>
        </w:tc>
      </w:tr>
      <w:tr>
        <w:trPr>
          <w:cantSplit/>
        </w:trPr>
        <w:tc>
          <w:tcPr>
            <w:tcW w:type="dxa" w:w="3000"/>
            <w:vAlign w:val="center"/>
            <w:tcMar>
              <w:top w:w="80" w:type="dxa"/>
              <w:start w:w="120" w:type="dxa"/>
              <w:bottom w:w="80" w:type="dxa"/>
              <w:end w:w="120" w:type="dxa"/>
            </w:tcMar>
          </w:tcPr>
          <w:p>
            <w:pPr>
              <w:spacing w:after="0" w:line="252" w:lineRule="auto"/>
            </w:pPr>
            <w:r>
              <w:rPr>
                <w:rFonts w:ascii="Calibri" w:hAnsi="Calibri"/>
                <w:b w:val="0"/>
                <w:color w:val="202D3A"/>
                <w:sz w:val="18"/>
              </w:rPr>
              <w:t>1. Chemistry of Life</w:t>
            </w:r>
          </w:p>
        </w:tc>
        <w:tc>
          <w:tcPr>
            <w:tcW w:type="dxa" w:w="6360"/>
            <w:vAlign w:val="center"/>
            <w:tcMar>
              <w:top w:w="80" w:type="dxa"/>
              <w:start w:w="120" w:type="dxa"/>
              <w:bottom w:w="80" w:type="dxa"/>
              <w:end w:w="120" w:type="dxa"/>
            </w:tcMar>
          </w:tcPr>
          <w:p>
            <w:pPr>
              <w:spacing w:after="0" w:line="252" w:lineRule="auto"/>
            </w:pPr>
            <w:r>
              <w:rPr>
                <w:rFonts w:ascii="Calibri" w:hAnsi="Calibri"/>
                <w:b w:val="0"/>
                <w:color w:val="202D3A"/>
                <w:sz w:val="18"/>
              </w:rPr>
              <w:t>8-11%</w:t>
            </w:r>
          </w:p>
        </w:tc>
      </w:tr>
      <w:tr>
        <w:trPr>
          <w:cantSplit/>
        </w:trPr>
        <w:tc>
          <w:tcPr>
            <w:tcW w:type="dxa" w:w="3000"/>
            <w:vAlign w:val="center"/>
            <w:tcMar>
              <w:top w:w="80" w:type="dxa"/>
              <w:start w:w="120" w:type="dxa"/>
              <w:bottom w:w="80" w:type="dxa"/>
              <w:end w:w="120" w:type="dxa"/>
            </w:tcMar>
          </w:tcPr>
          <w:p>
            <w:pPr>
              <w:spacing w:after="0" w:line="252" w:lineRule="auto"/>
            </w:pPr>
            <w:r>
              <w:rPr>
                <w:rFonts w:ascii="Calibri" w:hAnsi="Calibri"/>
                <w:b w:val="0"/>
                <w:color w:val="202D3A"/>
                <w:sz w:val="18"/>
              </w:rPr>
              <w:t>2. Cells</w:t>
            </w:r>
          </w:p>
        </w:tc>
        <w:tc>
          <w:tcPr>
            <w:tcW w:type="dxa" w:w="6360"/>
            <w:vAlign w:val="center"/>
            <w:tcMar>
              <w:top w:w="80" w:type="dxa"/>
              <w:start w:w="120" w:type="dxa"/>
              <w:bottom w:w="80" w:type="dxa"/>
              <w:end w:w="120" w:type="dxa"/>
            </w:tcMar>
          </w:tcPr>
          <w:p>
            <w:pPr>
              <w:spacing w:after="0" w:line="252" w:lineRule="auto"/>
            </w:pPr>
            <w:r>
              <w:rPr>
                <w:rFonts w:ascii="Calibri" w:hAnsi="Calibri"/>
                <w:b w:val="0"/>
                <w:color w:val="202D3A"/>
                <w:sz w:val="18"/>
              </w:rPr>
              <w:t>10-13%</w:t>
            </w:r>
          </w:p>
        </w:tc>
      </w:tr>
      <w:tr>
        <w:trPr>
          <w:cantSplit/>
        </w:trPr>
        <w:tc>
          <w:tcPr>
            <w:tcW w:type="dxa" w:w="3000"/>
            <w:vAlign w:val="center"/>
            <w:tcMar>
              <w:top w:w="80" w:type="dxa"/>
              <w:start w:w="120" w:type="dxa"/>
              <w:bottom w:w="80" w:type="dxa"/>
              <w:end w:w="120" w:type="dxa"/>
            </w:tcMar>
          </w:tcPr>
          <w:p>
            <w:pPr>
              <w:spacing w:after="0" w:line="252" w:lineRule="auto"/>
            </w:pPr>
            <w:r>
              <w:rPr>
                <w:rFonts w:ascii="Calibri" w:hAnsi="Calibri"/>
                <w:b w:val="0"/>
                <w:color w:val="202D3A"/>
                <w:sz w:val="18"/>
              </w:rPr>
              <w:t>3. Cellular Energetics</w:t>
            </w:r>
          </w:p>
        </w:tc>
        <w:tc>
          <w:tcPr>
            <w:tcW w:type="dxa" w:w="6360"/>
            <w:vAlign w:val="center"/>
            <w:tcMar>
              <w:top w:w="80" w:type="dxa"/>
              <w:start w:w="120" w:type="dxa"/>
              <w:bottom w:w="80" w:type="dxa"/>
              <w:end w:w="120" w:type="dxa"/>
            </w:tcMar>
          </w:tcPr>
          <w:p>
            <w:pPr>
              <w:spacing w:after="0" w:line="252" w:lineRule="auto"/>
            </w:pPr>
            <w:r>
              <w:rPr>
                <w:rFonts w:ascii="Calibri" w:hAnsi="Calibri"/>
                <w:b w:val="0"/>
                <w:color w:val="202D3A"/>
                <w:sz w:val="18"/>
              </w:rPr>
              <w:t>12-16%</w:t>
            </w:r>
          </w:p>
        </w:tc>
      </w:tr>
      <w:tr>
        <w:trPr>
          <w:cantSplit/>
        </w:trPr>
        <w:tc>
          <w:tcPr>
            <w:tcW w:type="dxa" w:w="3000"/>
            <w:vAlign w:val="center"/>
            <w:tcMar>
              <w:top w:w="80" w:type="dxa"/>
              <w:start w:w="120" w:type="dxa"/>
              <w:bottom w:w="80" w:type="dxa"/>
              <w:end w:w="120" w:type="dxa"/>
            </w:tcMar>
          </w:tcPr>
          <w:p>
            <w:pPr>
              <w:spacing w:after="0" w:line="252" w:lineRule="auto"/>
            </w:pPr>
            <w:r>
              <w:rPr>
                <w:rFonts w:ascii="Calibri" w:hAnsi="Calibri"/>
                <w:b w:val="0"/>
                <w:color w:val="202D3A"/>
                <w:sz w:val="18"/>
              </w:rPr>
              <w:t>4. Cell Communication and Cell Cycle</w:t>
            </w:r>
          </w:p>
        </w:tc>
        <w:tc>
          <w:tcPr>
            <w:tcW w:type="dxa" w:w="6360"/>
            <w:vAlign w:val="center"/>
            <w:tcMar>
              <w:top w:w="80" w:type="dxa"/>
              <w:start w:w="120" w:type="dxa"/>
              <w:bottom w:w="80" w:type="dxa"/>
              <w:end w:w="120" w:type="dxa"/>
            </w:tcMar>
          </w:tcPr>
          <w:p>
            <w:pPr>
              <w:spacing w:after="0" w:line="252" w:lineRule="auto"/>
            </w:pPr>
            <w:r>
              <w:rPr>
                <w:rFonts w:ascii="Calibri" w:hAnsi="Calibri"/>
                <w:b w:val="0"/>
                <w:color w:val="202D3A"/>
                <w:sz w:val="18"/>
              </w:rPr>
              <w:t>10-15%</w:t>
            </w:r>
          </w:p>
        </w:tc>
      </w:tr>
      <w:tr>
        <w:trPr>
          <w:cantSplit/>
        </w:trPr>
        <w:tc>
          <w:tcPr>
            <w:tcW w:type="dxa" w:w="3000"/>
            <w:vAlign w:val="center"/>
            <w:tcMar>
              <w:top w:w="80" w:type="dxa"/>
              <w:start w:w="120" w:type="dxa"/>
              <w:bottom w:w="80" w:type="dxa"/>
              <w:end w:w="120" w:type="dxa"/>
            </w:tcMar>
          </w:tcPr>
          <w:p>
            <w:pPr>
              <w:spacing w:after="0" w:line="252" w:lineRule="auto"/>
            </w:pPr>
            <w:r>
              <w:rPr>
                <w:rFonts w:ascii="Calibri" w:hAnsi="Calibri"/>
                <w:b w:val="0"/>
                <w:color w:val="202D3A"/>
                <w:sz w:val="18"/>
              </w:rPr>
              <w:t>5. Heredity</w:t>
            </w:r>
          </w:p>
        </w:tc>
        <w:tc>
          <w:tcPr>
            <w:tcW w:type="dxa" w:w="6360"/>
            <w:vAlign w:val="center"/>
            <w:tcMar>
              <w:top w:w="80" w:type="dxa"/>
              <w:start w:w="120" w:type="dxa"/>
              <w:bottom w:w="80" w:type="dxa"/>
              <w:end w:w="120" w:type="dxa"/>
            </w:tcMar>
          </w:tcPr>
          <w:p>
            <w:pPr>
              <w:spacing w:after="0" w:line="252" w:lineRule="auto"/>
            </w:pPr>
            <w:r>
              <w:rPr>
                <w:rFonts w:ascii="Calibri" w:hAnsi="Calibri"/>
                <w:b w:val="0"/>
                <w:color w:val="202D3A"/>
                <w:sz w:val="18"/>
              </w:rPr>
              <w:t>8-11%</w:t>
            </w:r>
          </w:p>
        </w:tc>
      </w:tr>
      <w:tr>
        <w:trPr>
          <w:cantSplit/>
        </w:trPr>
        <w:tc>
          <w:tcPr>
            <w:tcW w:type="dxa" w:w="3000"/>
            <w:vAlign w:val="center"/>
            <w:tcMar>
              <w:top w:w="80" w:type="dxa"/>
              <w:start w:w="120" w:type="dxa"/>
              <w:bottom w:w="80" w:type="dxa"/>
              <w:end w:w="120" w:type="dxa"/>
            </w:tcMar>
          </w:tcPr>
          <w:p>
            <w:pPr>
              <w:spacing w:after="0" w:line="252" w:lineRule="auto"/>
            </w:pPr>
            <w:r>
              <w:rPr>
                <w:rFonts w:ascii="Calibri" w:hAnsi="Calibri"/>
                <w:b w:val="0"/>
                <w:color w:val="202D3A"/>
                <w:sz w:val="18"/>
              </w:rPr>
              <w:t>6. Gene Expression and Regulation</w:t>
            </w:r>
          </w:p>
        </w:tc>
        <w:tc>
          <w:tcPr>
            <w:tcW w:type="dxa" w:w="6360"/>
            <w:vAlign w:val="center"/>
            <w:tcMar>
              <w:top w:w="80" w:type="dxa"/>
              <w:start w:w="120" w:type="dxa"/>
              <w:bottom w:w="80" w:type="dxa"/>
              <w:end w:w="120" w:type="dxa"/>
            </w:tcMar>
          </w:tcPr>
          <w:p>
            <w:pPr>
              <w:spacing w:after="0" w:line="252" w:lineRule="auto"/>
            </w:pPr>
            <w:r>
              <w:rPr>
                <w:rFonts w:ascii="Calibri" w:hAnsi="Calibri"/>
                <w:b w:val="0"/>
                <w:color w:val="202D3A"/>
                <w:sz w:val="18"/>
              </w:rPr>
              <w:t>12-16%</w:t>
            </w:r>
          </w:p>
        </w:tc>
      </w:tr>
      <w:tr>
        <w:trPr>
          <w:cantSplit/>
        </w:trPr>
        <w:tc>
          <w:tcPr>
            <w:tcW w:type="dxa" w:w="3000"/>
            <w:vAlign w:val="center"/>
            <w:tcMar>
              <w:top w:w="80" w:type="dxa"/>
              <w:start w:w="120" w:type="dxa"/>
              <w:bottom w:w="80" w:type="dxa"/>
              <w:end w:w="120" w:type="dxa"/>
            </w:tcMar>
          </w:tcPr>
          <w:p>
            <w:pPr>
              <w:spacing w:after="0" w:line="252" w:lineRule="auto"/>
            </w:pPr>
            <w:r>
              <w:rPr>
                <w:rFonts w:ascii="Calibri" w:hAnsi="Calibri"/>
                <w:b w:val="0"/>
                <w:color w:val="202D3A"/>
                <w:sz w:val="18"/>
              </w:rPr>
              <w:t>7. Natural Selection</w:t>
            </w:r>
          </w:p>
        </w:tc>
        <w:tc>
          <w:tcPr>
            <w:tcW w:type="dxa" w:w="6360"/>
            <w:vAlign w:val="center"/>
            <w:tcMar>
              <w:top w:w="80" w:type="dxa"/>
              <w:start w:w="120" w:type="dxa"/>
              <w:bottom w:w="80" w:type="dxa"/>
              <w:end w:w="120" w:type="dxa"/>
            </w:tcMar>
          </w:tcPr>
          <w:p>
            <w:pPr>
              <w:spacing w:after="0" w:line="252" w:lineRule="auto"/>
            </w:pPr>
            <w:r>
              <w:rPr>
                <w:rFonts w:ascii="Calibri" w:hAnsi="Calibri"/>
                <w:b w:val="0"/>
                <w:color w:val="202D3A"/>
                <w:sz w:val="18"/>
              </w:rPr>
              <w:t>13-20%</w:t>
            </w:r>
          </w:p>
        </w:tc>
      </w:tr>
      <w:tr>
        <w:trPr>
          <w:cantSplit/>
        </w:trPr>
        <w:tc>
          <w:tcPr>
            <w:tcW w:type="dxa" w:w="3000"/>
            <w:vAlign w:val="center"/>
            <w:tcMar>
              <w:top w:w="80" w:type="dxa"/>
              <w:start w:w="120" w:type="dxa"/>
              <w:bottom w:w="80" w:type="dxa"/>
              <w:end w:w="120" w:type="dxa"/>
            </w:tcMar>
          </w:tcPr>
          <w:p>
            <w:pPr>
              <w:spacing w:after="0" w:line="252" w:lineRule="auto"/>
            </w:pPr>
            <w:r>
              <w:rPr>
                <w:rFonts w:ascii="Calibri" w:hAnsi="Calibri"/>
                <w:b w:val="0"/>
                <w:color w:val="202D3A"/>
                <w:sz w:val="18"/>
              </w:rPr>
              <w:t>8. Ecology</w:t>
            </w:r>
          </w:p>
        </w:tc>
        <w:tc>
          <w:tcPr>
            <w:tcW w:type="dxa" w:w="6360"/>
            <w:vAlign w:val="center"/>
            <w:tcMar>
              <w:top w:w="80" w:type="dxa"/>
              <w:start w:w="120" w:type="dxa"/>
              <w:bottom w:w="80" w:type="dxa"/>
              <w:end w:w="120" w:type="dxa"/>
            </w:tcMar>
          </w:tcPr>
          <w:p>
            <w:pPr>
              <w:spacing w:after="0" w:line="252" w:lineRule="auto"/>
            </w:pPr>
            <w:r>
              <w:rPr>
                <w:rFonts w:ascii="Calibri" w:hAnsi="Calibri"/>
                <w:b w:val="0"/>
                <w:color w:val="202D3A"/>
                <w:sz w:val="18"/>
              </w:rPr>
              <w:t>10-15%</w:t>
            </w:r>
          </w:p>
        </w:tc>
      </w:tr>
    </w:tbl>
    <w:p>
      <w:pPr>
        <w:spacing w:after="0"/>
      </w:pPr>
    </w:p>
    <w:p>
      <w:pPr>
        <w:widowControl/>
      </w:pPr>
      <w:r>
        <w:t>Units 3, 6, and 7 therefore represent 37-52% of the MCQ unit weighting. This does not mean 37-52% of the entire exam.</w:t>
      </w:r>
    </w:p>
    <w:p>
      <w:pPr>
        <w:pStyle w:val="Heading2"/>
      </w:pPr>
      <w:r>
        <w:t>6.5 Multiple-Choice Science-Practice Distribution</w:t>
      </w:r>
    </w:p>
    <w:tbl>
      <w:tblPr>
        <w:tblStyle w:val="TableGrid"/>
        <w:tblW w:type="dxa" w:w="9360"/>
        <w:jc w:val="left"/>
        <w:tblLayout w:type="fixed"/>
        <w:tblLook w:firstColumn="1" w:firstRow="1" w:lastColumn="0" w:lastRow="0" w:noHBand="0" w:noVBand="1" w:val="04A0"/>
        <w:tblInd w:w="120" w:type="dxa"/>
      </w:tblPr>
      <w:tblGrid>
        <w:gridCol w:w="3000"/>
        <w:gridCol w:w="6360"/>
      </w:tblGrid>
      <w:tr>
        <w:trPr>
          <w:tblHeader w:val="true"/>
          <w:cantSplit/>
        </w:trPr>
        <w:tc>
          <w:tcPr>
            <w:tcW w:type="dxa" w:w="3000"/>
            <w:vAlign w:val="center"/>
            <w:tcMar>
              <w:top w:w="80" w:type="dxa"/>
              <w:start w:w="120" w:type="dxa"/>
              <w:bottom w:w="80" w:type="dxa"/>
              <w:end w:w="120" w:type="dxa"/>
            </w:tcMar>
            <w:shd w:fill="F2F4F7"/>
          </w:tcPr>
          <w:p>
            <w:pPr>
              <w:spacing w:after="0" w:line="252" w:lineRule="auto"/>
            </w:pPr>
            <w:r>
              <w:rPr>
                <w:rFonts w:ascii="Calibri" w:hAnsi="Calibri"/>
                <w:b/>
                <w:color w:val="202D3A"/>
                <w:sz w:val="18"/>
              </w:rPr>
              <w:t>Science Practice</w:t>
            </w:r>
          </w:p>
        </w:tc>
        <w:tc>
          <w:tcPr>
            <w:tcW w:type="dxa" w:w="6360"/>
            <w:vAlign w:val="center"/>
            <w:tcMar>
              <w:top w:w="80" w:type="dxa"/>
              <w:start w:w="120" w:type="dxa"/>
              <w:bottom w:w="80" w:type="dxa"/>
              <w:end w:w="120" w:type="dxa"/>
            </w:tcMar>
            <w:shd w:fill="F2F4F7"/>
          </w:tcPr>
          <w:p>
            <w:pPr>
              <w:spacing w:after="0" w:line="252" w:lineRule="auto"/>
            </w:pPr>
            <w:r>
              <w:rPr>
                <w:rFonts w:ascii="Calibri" w:hAnsi="Calibri"/>
                <w:b/>
                <w:color w:val="202D3A"/>
                <w:sz w:val="18"/>
              </w:rPr>
              <w:t>Official MCQ Weight Range</w:t>
            </w:r>
          </w:p>
        </w:tc>
      </w:tr>
      <w:tr>
        <w:trPr>
          <w:cantSplit/>
        </w:trPr>
        <w:tc>
          <w:tcPr>
            <w:tcW w:type="dxa" w:w="3000"/>
            <w:vAlign w:val="center"/>
            <w:tcMar>
              <w:top w:w="80" w:type="dxa"/>
              <w:start w:w="120" w:type="dxa"/>
              <w:bottom w:w="80" w:type="dxa"/>
              <w:end w:w="120" w:type="dxa"/>
            </w:tcMar>
          </w:tcPr>
          <w:p>
            <w:pPr>
              <w:spacing w:after="0" w:line="252" w:lineRule="auto"/>
            </w:pPr>
            <w:r>
              <w:rPr>
                <w:rFonts w:ascii="Calibri" w:hAnsi="Calibri"/>
                <w:b w:val="0"/>
                <w:color w:val="202D3A"/>
                <w:sz w:val="18"/>
              </w:rPr>
              <w:t>1. Concept Explanation</w:t>
            </w:r>
          </w:p>
        </w:tc>
        <w:tc>
          <w:tcPr>
            <w:tcW w:type="dxa" w:w="6360"/>
            <w:vAlign w:val="center"/>
            <w:tcMar>
              <w:top w:w="80" w:type="dxa"/>
              <w:start w:w="120" w:type="dxa"/>
              <w:bottom w:w="80" w:type="dxa"/>
              <w:end w:w="120" w:type="dxa"/>
            </w:tcMar>
          </w:tcPr>
          <w:p>
            <w:pPr>
              <w:spacing w:after="0" w:line="252" w:lineRule="auto"/>
            </w:pPr>
            <w:r>
              <w:rPr>
                <w:rFonts w:ascii="Calibri" w:hAnsi="Calibri"/>
                <w:b w:val="0"/>
                <w:color w:val="202D3A"/>
                <w:sz w:val="18"/>
              </w:rPr>
              <w:t>25-33%</w:t>
            </w:r>
          </w:p>
        </w:tc>
      </w:tr>
      <w:tr>
        <w:trPr>
          <w:cantSplit/>
        </w:trPr>
        <w:tc>
          <w:tcPr>
            <w:tcW w:type="dxa" w:w="3000"/>
            <w:vAlign w:val="center"/>
            <w:tcMar>
              <w:top w:w="80" w:type="dxa"/>
              <w:start w:w="120" w:type="dxa"/>
              <w:bottom w:w="80" w:type="dxa"/>
              <w:end w:w="120" w:type="dxa"/>
            </w:tcMar>
          </w:tcPr>
          <w:p>
            <w:pPr>
              <w:spacing w:after="0" w:line="252" w:lineRule="auto"/>
            </w:pPr>
            <w:r>
              <w:rPr>
                <w:rFonts w:ascii="Calibri" w:hAnsi="Calibri"/>
                <w:b w:val="0"/>
                <w:color w:val="202D3A"/>
                <w:sz w:val="18"/>
              </w:rPr>
              <w:t>2. Visual Representations</w:t>
            </w:r>
          </w:p>
        </w:tc>
        <w:tc>
          <w:tcPr>
            <w:tcW w:type="dxa" w:w="6360"/>
            <w:vAlign w:val="center"/>
            <w:tcMar>
              <w:top w:w="80" w:type="dxa"/>
              <w:start w:w="120" w:type="dxa"/>
              <w:bottom w:w="80" w:type="dxa"/>
              <w:end w:w="120" w:type="dxa"/>
            </w:tcMar>
          </w:tcPr>
          <w:p>
            <w:pPr>
              <w:spacing w:after="0" w:line="252" w:lineRule="auto"/>
            </w:pPr>
            <w:r>
              <w:rPr>
                <w:rFonts w:ascii="Calibri" w:hAnsi="Calibri"/>
                <w:b w:val="0"/>
                <w:color w:val="202D3A"/>
                <w:sz w:val="18"/>
              </w:rPr>
              <w:t>16-24%</w:t>
            </w:r>
          </w:p>
        </w:tc>
      </w:tr>
      <w:tr>
        <w:trPr>
          <w:cantSplit/>
        </w:trPr>
        <w:tc>
          <w:tcPr>
            <w:tcW w:type="dxa" w:w="3000"/>
            <w:vAlign w:val="center"/>
            <w:tcMar>
              <w:top w:w="80" w:type="dxa"/>
              <w:start w:w="120" w:type="dxa"/>
              <w:bottom w:w="80" w:type="dxa"/>
              <w:end w:w="120" w:type="dxa"/>
            </w:tcMar>
          </w:tcPr>
          <w:p>
            <w:pPr>
              <w:spacing w:after="0" w:line="252" w:lineRule="auto"/>
            </w:pPr>
            <w:r>
              <w:rPr>
                <w:rFonts w:ascii="Calibri" w:hAnsi="Calibri"/>
                <w:b w:val="0"/>
                <w:color w:val="202D3A"/>
                <w:sz w:val="18"/>
              </w:rPr>
              <w:t>3. Questions and Methods</w:t>
            </w:r>
          </w:p>
        </w:tc>
        <w:tc>
          <w:tcPr>
            <w:tcW w:type="dxa" w:w="6360"/>
            <w:vAlign w:val="center"/>
            <w:tcMar>
              <w:top w:w="80" w:type="dxa"/>
              <w:start w:w="120" w:type="dxa"/>
              <w:bottom w:w="80" w:type="dxa"/>
              <w:end w:w="120" w:type="dxa"/>
            </w:tcMar>
          </w:tcPr>
          <w:p>
            <w:pPr>
              <w:spacing w:after="0" w:line="252" w:lineRule="auto"/>
            </w:pPr>
            <w:r>
              <w:rPr>
                <w:rFonts w:ascii="Calibri" w:hAnsi="Calibri"/>
                <w:b w:val="0"/>
                <w:color w:val="202D3A"/>
                <w:sz w:val="18"/>
              </w:rPr>
              <w:t>8-14%</w:t>
            </w:r>
          </w:p>
        </w:tc>
      </w:tr>
      <w:tr>
        <w:trPr>
          <w:cantSplit/>
        </w:trPr>
        <w:tc>
          <w:tcPr>
            <w:tcW w:type="dxa" w:w="3000"/>
            <w:vAlign w:val="center"/>
            <w:tcMar>
              <w:top w:w="80" w:type="dxa"/>
              <w:start w:w="120" w:type="dxa"/>
              <w:bottom w:w="80" w:type="dxa"/>
              <w:end w:w="120" w:type="dxa"/>
            </w:tcMar>
          </w:tcPr>
          <w:p>
            <w:pPr>
              <w:spacing w:after="0" w:line="252" w:lineRule="auto"/>
            </w:pPr>
            <w:r>
              <w:rPr>
                <w:rFonts w:ascii="Calibri" w:hAnsi="Calibri"/>
                <w:b w:val="0"/>
                <w:color w:val="202D3A"/>
                <w:sz w:val="18"/>
              </w:rPr>
              <w:t>4. Representing and Describing Data</w:t>
            </w:r>
          </w:p>
        </w:tc>
        <w:tc>
          <w:tcPr>
            <w:tcW w:type="dxa" w:w="6360"/>
            <w:vAlign w:val="center"/>
            <w:tcMar>
              <w:top w:w="80" w:type="dxa"/>
              <w:start w:w="120" w:type="dxa"/>
              <w:bottom w:w="80" w:type="dxa"/>
              <w:end w:w="120" w:type="dxa"/>
            </w:tcMar>
          </w:tcPr>
          <w:p>
            <w:pPr>
              <w:spacing w:after="0" w:line="252" w:lineRule="auto"/>
            </w:pPr>
            <w:r>
              <w:rPr>
                <w:rFonts w:ascii="Calibri" w:hAnsi="Calibri"/>
                <w:b w:val="0"/>
                <w:color w:val="202D3A"/>
                <w:sz w:val="18"/>
              </w:rPr>
              <w:t>8-14%</w:t>
            </w:r>
          </w:p>
        </w:tc>
      </w:tr>
      <w:tr>
        <w:trPr>
          <w:cantSplit/>
        </w:trPr>
        <w:tc>
          <w:tcPr>
            <w:tcW w:type="dxa" w:w="3000"/>
            <w:vAlign w:val="center"/>
            <w:tcMar>
              <w:top w:w="80" w:type="dxa"/>
              <w:start w:w="120" w:type="dxa"/>
              <w:bottom w:w="80" w:type="dxa"/>
              <w:end w:w="120" w:type="dxa"/>
            </w:tcMar>
          </w:tcPr>
          <w:p>
            <w:pPr>
              <w:spacing w:after="0" w:line="252" w:lineRule="auto"/>
            </w:pPr>
            <w:r>
              <w:rPr>
                <w:rFonts w:ascii="Calibri" w:hAnsi="Calibri"/>
                <w:b w:val="0"/>
                <w:color w:val="202D3A"/>
                <w:sz w:val="18"/>
              </w:rPr>
              <w:t>5. Statistical Tests and Data Analysis</w:t>
            </w:r>
          </w:p>
        </w:tc>
        <w:tc>
          <w:tcPr>
            <w:tcW w:type="dxa" w:w="6360"/>
            <w:vAlign w:val="center"/>
            <w:tcMar>
              <w:top w:w="80" w:type="dxa"/>
              <w:start w:w="120" w:type="dxa"/>
              <w:bottom w:w="80" w:type="dxa"/>
              <w:end w:w="120" w:type="dxa"/>
            </w:tcMar>
          </w:tcPr>
          <w:p>
            <w:pPr>
              <w:spacing w:after="0" w:line="252" w:lineRule="auto"/>
            </w:pPr>
            <w:r>
              <w:rPr>
                <w:rFonts w:ascii="Calibri" w:hAnsi="Calibri"/>
                <w:b w:val="0"/>
                <w:color w:val="202D3A"/>
                <w:sz w:val="18"/>
              </w:rPr>
              <w:t>8-14%</w:t>
            </w:r>
          </w:p>
        </w:tc>
      </w:tr>
      <w:tr>
        <w:trPr>
          <w:cantSplit/>
        </w:trPr>
        <w:tc>
          <w:tcPr>
            <w:tcW w:type="dxa" w:w="3000"/>
            <w:vAlign w:val="center"/>
            <w:tcMar>
              <w:top w:w="80" w:type="dxa"/>
              <w:start w:w="120" w:type="dxa"/>
              <w:bottom w:w="80" w:type="dxa"/>
              <w:end w:w="120" w:type="dxa"/>
            </w:tcMar>
          </w:tcPr>
          <w:p>
            <w:pPr>
              <w:spacing w:after="0" w:line="252" w:lineRule="auto"/>
            </w:pPr>
            <w:r>
              <w:rPr>
                <w:rFonts w:ascii="Calibri" w:hAnsi="Calibri"/>
                <w:b w:val="0"/>
                <w:color w:val="202D3A"/>
                <w:sz w:val="18"/>
              </w:rPr>
              <w:t>6. Argumentation</w:t>
            </w:r>
          </w:p>
        </w:tc>
        <w:tc>
          <w:tcPr>
            <w:tcW w:type="dxa" w:w="6360"/>
            <w:vAlign w:val="center"/>
            <w:tcMar>
              <w:top w:w="80" w:type="dxa"/>
              <w:start w:w="120" w:type="dxa"/>
              <w:bottom w:w="80" w:type="dxa"/>
              <w:end w:w="120" w:type="dxa"/>
            </w:tcMar>
          </w:tcPr>
          <w:p>
            <w:pPr>
              <w:spacing w:after="0" w:line="252" w:lineRule="auto"/>
            </w:pPr>
            <w:r>
              <w:rPr>
                <w:rFonts w:ascii="Calibri" w:hAnsi="Calibri"/>
                <w:b w:val="0"/>
                <w:color w:val="202D3A"/>
                <w:sz w:val="18"/>
              </w:rPr>
              <w:t>20-26%</w:t>
            </w:r>
          </w:p>
        </w:tc>
      </w:tr>
    </w:tbl>
    <w:p>
      <w:pPr>
        <w:spacing w:after="0"/>
      </w:pPr>
    </w:p>
    <w:p>
      <w:pPr>
        <w:pStyle w:val="Heading2"/>
      </w:pPr>
      <w:r>
        <w:t>6.6 FRQ Point Architecture</w:t>
      </w:r>
    </w:p>
    <w:tbl>
      <w:tblPr>
        <w:tblStyle w:val="TableGrid"/>
        <w:tblW w:type="dxa" w:w="9360"/>
        <w:jc w:val="left"/>
        <w:tblLayout w:type="fixed"/>
        <w:tblLook w:firstColumn="1" w:firstRow="1" w:lastColumn="0" w:lastRow="0" w:noHBand="0" w:noVBand="1" w:val="04A0"/>
        <w:tblInd w:w="120" w:type="dxa"/>
      </w:tblPr>
      <w:tblGrid>
        <w:gridCol w:w="2600"/>
        <w:gridCol w:w="4200"/>
        <w:gridCol w:w="2560"/>
      </w:tblGrid>
      <w:tr>
        <w:trPr>
          <w:tblHeader w:val="true"/>
          <w:cantSplit/>
        </w:trPr>
        <w:tc>
          <w:tcPr>
            <w:tcW w:type="dxa" w:w="2600"/>
            <w:vAlign w:val="center"/>
            <w:tcMar>
              <w:top w:w="80" w:type="dxa"/>
              <w:start w:w="120" w:type="dxa"/>
              <w:bottom w:w="80" w:type="dxa"/>
              <w:end w:w="120" w:type="dxa"/>
            </w:tcMar>
            <w:shd w:fill="F2F4F7"/>
          </w:tcPr>
          <w:p>
            <w:pPr>
              <w:spacing w:after="0" w:line="252" w:lineRule="auto"/>
            </w:pPr>
            <w:r>
              <w:rPr>
                <w:rFonts w:ascii="Calibri" w:hAnsi="Calibri"/>
                <w:b/>
                <w:color w:val="202D3A"/>
                <w:sz w:val="18"/>
              </w:rPr>
              <w:t>Question</w:t>
            </w:r>
          </w:p>
        </w:tc>
        <w:tc>
          <w:tcPr>
            <w:tcW w:type="dxa" w:w="4200"/>
            <w:vAlign w:val="center"/>
            <w:tcMar>
              <w:top w:w="80" w:type="dxa"/>
              <w:start w:w="120" w:type="dxa"/>
              <w:bottom w:w="80" w:type="dxa"/>
              <w:end w:w="120" w:type="dxa"/>
            </w:tcMar>
            <w:shd w:fill="F2F4F7"/>
          </w:tcPr>
          <w:p>
            <w:pPr>
              <w:spacing w:after="0" w:line="252" w:lineRule="auto"/>
            </w:pPr>
            <w:r>
              <w:rPr>
                <w:rFonts w:ascii="Calibri" w:hAnsi="Calibri"/>
                <w:b/>
                <w:color w:val="202D3A"/>
                <w:sz w:val="18"/>
              </w:rPr>
              <w:t>Type</w:t>
            </w:r>
          </w:p>
        </w:tc>
        <w:tc>
          <w:tcPr>
            <w:tcW w:type="dxa" w:w="2560"/>
            <w:vAlign w:val="center"/>
            <w:tcMar>
              <w:top w:w="80" w:type="dxa"/>
              <w:start w:w="120" w:type="dxa"/>
              <w:bottom w:w="80" w:type="dxa"/>
              <w:end w:w="120" w:type="dxa"/>
            </w:tcMar>
            <w:shd w:fill="F2F4F7"/>
          </w:tcPr>
          <w:p>
            <w:pPr>
              <w:spacing w:after="0" w:line="252" w:lineRule="auto"/>
            </w:pPr>
            <w:r>
              <w:rPr>
                <w:rFonts w:ascii="Calibri" w:hAnsi="Calibri"/>
                <w:b/>
                <w:color w:val="202D3A"/>
                <w:sz w:val="18"/>
              </w:rPr>
              <w:t>Part-Level Point Pattern</w:t>
            </w:r>
          </w:p>
        </w:tc>
      </w:tr>
      <w:tr>
        <w:trPr>
          <w:cantSplit/>
        </w:trPr>
        <w:tc>
          <w:tcPr>
            <w:tcW w:type="dxa" w:w="2600"/>
            <w:vAlign w:val="center"/>
            <w:tcMar>
              <w:top w:w="80" w:type="dxa"/>
              <w:start w:w="120" w:type="dxa"/>
              <w:bottom w:w="80" w:type="dxa"/>
              <w:end w:w="120" w:type="dxa"/>
            </w:tcMar>
          </w:tcPr>
          <w:p>
            <w:pPr>
              <w:spacing w:after="0" w:line="252" w:lineRule="auto"/>
            </w:pPr>
            <w:r>
              <w:rPr>
                <w:rFonts w:ascii="Calibri" w:hAnsi="Calibri"/>
                <w:b w:val="0"/>
                <w:color w:val="202D3A"/>
                <w:sz w:val="18"/>
              </w:rPr>
              <w:t>1</w:t>
            </w:r>
          </w:p>
        </w:tc>
        <w:tc>
          <w:tcPr>
            <w:tcW w:type="dxa" w:w="4200"/>
            <w:vAlign w:val="center"/>
            <w:tcMar>
              <w:top w:w="80" w:type="dxa"/>
              <w:start w:w="120" w:type="dxa"/>
              <w:bottom w:w="80" w:type="dxa"/>
              <w:end w:w="120" w:type="dxa"/>
            </w:tcMar>
          </w:tcPr>
          <w:p>
            <w:pPr>
              <w:spacing w:after="0" w:line="252" w:lineRule="auto"/>
            </w:pPr>
            <w:r>
              <w:rPr>
                <w:rFonts w:ascii="Calibri" w:hAnsi="Calibri"/>
                <w:b w:val="0"/>
                <w:color w:val="202D3A"/>
                <w:sz w:val="18"/>
              </w:rPr>
              <w:t>Interpreting and Evaluating Experimental Results</w:t>
            </w:r>
          </w:p>
        </w:tc>
        <w:tc>
          <w:tcPr>
            <w:tcW w:type="dxa" w:w="2560"/>
            <w:vAlign w:val="center"/>
            <w:tcMar>
              <w:top w:w="80" w:type="dxa"/>
              <w:start w:w="120" w:type="dxa"/>
              <w:bottom w:w="80" w:type="dxa"/>
              <w:end w:w="120" w:type="dxa"/>
            </w:tcMar>
          </w:tcPr>
          <w:p>
            <w:pPr>
              <w:spacing w:after="0" w:line="252" w:lineRule="auto"/>
            </w:pPr>
            <w:r>
              <w:rPr>
                <w:rFonts w:ascii="Calibri" w:hAnsi="Calibri"/>
                <w:b w:val="0"/>
                <w:color w:val="202D3A"/>
                <w:sz w:val="18"/>
              </w:rPr>
              <w:t>A: 1; B: 3; C: 3; D: 2</w:t>
            </w:r>
          </w:p>
        </w:tc>
      </w:tr>
      <w:tr>
        <w:trPr>
          <w:cantSplit/>
        </w:trPr>
        <w:tc>
          <w:tcPr>
            <w:tcW w:type="dxa" w:w="2600"/>
            <w:vAlign w:val="center"/>
            <w:tcMar>
              <w:top w:w="80" w:type="dxa"/>
              <w:start w:w="120" w:type="dxa"/>
              <w:bottom w:w="80" w:type="dxa"/>
              <w:end w:w="120" w:type="dxa"/>
            </w:tcMar>
          </w:tcPr>
          <w:p>
            <w:pPr>
              <w:spacing w:after="0" w:line="252" w:lineRule="auto"/>
            </w:pPr>
            <w:r>
              <w:rPr>
                <w:rFonts w:ascii="Calibri" w:hAnsi="Calibri"/>
                <w:b w:val="0"/>
                <w:color w:val="202D3A"/>
                <w:sz w:val="18"/>
              </w:rPr>
              <w:t>2</w:t>
            </w:r>
          </w:p>
        </w:tc>
        <w:tc>
          <w:tcPr>
            <w:tcW w:type="dxa" w:w="4200"/>
            <w:vAlign w:val="center"/>
            <w:tcMar>
              <w:top w:w="80" w:type="dxa"/>
              <w:start w:w="120" w:type="dxa"/>
              <w:bottom w:w="80" w:type="dxa"/>
              <w:end w:w="120" w:type="dxa"/>
            </w:tcMar>
          </w:tcPr>
          <w:p>
            <w:pPr>
              <w:spacing w:after="0" w:line="252" w:lineRule="auto"/>
            </w:pPr>
            <w:r>
              <w:rPr>
                <w:rFonts w:ascii="Calibri" w:hAnsi="Calibri"/>
                <w:b w:val="0"/>
                <w:color w:val="202D3A"/>
                <w:sz w:val="18"/>
              </w:rPr>
              <w:t>Interpreting and Evaluating Experimental Results with Graphing</w:t>
            </w:r>
          </w:p>
        </w:tc>
        <w:tc>
          <w:tcPr>
            <w:tcW w:type="dxa" w:w="2560"/>
            <w:vAlign w:val="center"/>
            <w:tcMar>
              <w:top w:w="80" w:type="dxa"/>
              <w:start w:w="120" w:type="dxa"/>
              <w:bottom w:w="80" w:type="dxa"/>
              <w:end w:w="120" w:type="dxa"/>
            </w:tcMar>
          </w:tcPr>
          <w:p>
            <w:pPr>
              <w:spacing w:after="0" w:line="252" w:lineRule="auto"/>
            </w:pPr>
            <w:r>
              <w:rPr>
                <w:rFonts w:ascii="Calibri" w:hAnsi="Calibri"/>
                <w:b w:val="0"/>
                <w:color w:val="202D3A"/>
                <w:sz w:val="18"/>
              </w:rPr>
              <w:t>A: 1; B: 4; C: 2; D: 2</w:t>
            </w:r>
          </w:p>
        </w:tc>
      </w:tr>
      <w:tr>
        <w:trPr>
          <w:cantSplit/>
        </w:trPr>
        <w:tc>
          <w:tcPr>
            <w:tcW w:type="dxa" w:w="2600"/>
            <w:vAlign w:val="center"/>
            <w:tcMar>
              <w:top w:w="80" w:type="dxa"/>
              <w:start w:w="120" w:type="dxa"/>
              <w:bottom w:w="80" w:type="dxa"/>
              <w:end w:w="120" w:type="dxa"/>
            </w:tcMar>
          </w:tcPr>
          <w:p>
            <w:pPr>
              <w:spacing w:after="0" w:line="252" w:lineRule="auto"/>
            </w:pPr>
            <w:r>
              <w:rPr>
                <w:rFonts w:ascii="Calibri" w:hAnsi="Calibri"/>
                <w:b w:val="0"/>
                <w:color w:val="202D3A"/>
                <w:sz w:val="18"/>
              </w:rPr>
              <w:t>3</w:t>
            </w:r>
          </w:p>
        </w:tc>
        <w:tc>
          <w:tcPr>
            <w:tcW w:type="dxa" w:w="4200"/>
            <w:vAlign w:val="center"/>
            <w:tcMar>
              <w:top w:w="80" w:type="dxa"/>
              <w:start w:w="120" w:type="dxa"/>
              <w:bottom w:w="80" w:type="dxa"/>
              <w:end w:w="120" w:type="dxa"/>
            </w:tcMar>
          </w:tcPr>
          <w:p>
            <w:pPr>
              <w:spacing w:after="0" w:line="252" w:lineRule="auto"/>
            </w:pPr>
            <w:r>
              <w:rPr>
                <w:rFonts w:ascii="Calibri" w:hAnsi="Calibri"/>
                <w:b w:val="0"/>
                <w:color w:val="202D3A"/>
                <w:sz w:val="18"/>
              </w:rPr>
              <w:t>Scientific Investigation</w:t>
            </w:r>
          </w:p>
        </w:tc>
        <w:tc>
          <w:tcPr>
            <w:tcW w:type="dxa" w:w="2560"/>
            <w:vAlign w:val="center"/>
            <w:tcMar>
              <w:top w:w="80" w:type="dxa"/>
              <w:start w:w="120" w:type="dxa"/>
              <w:bottom w:w="80" w:type="dxa"/>
              <w:end w:w="120" w:type="dxa"/>
            </w:tcMar>
          </w:tcPr>
          <w:p>
            <w:pPr>
              <w:spacing w:after="0" w:line="252" w:lineRule="auto"/>
            </w:pPr>
            <w:r>
              <w:rPr>
                <w:rFonts w:ascii="Calibri" w:hAnsi="Calibri"/>
                <w:b w:val="0"/>
                <w:color w:val="202D3A"/>
                <w:sz w:val="18"/>
              </w:rPr>
              <w:t>Four parts, 1 point each</w:t>
            </w:r>
          </w:p>
        </w:tc>
      </w:tr>
      <w:tr>
        <w:trPr>
          <w:cantSplit/>
        </w:trPr>
        <w:tc>
          <w:tcPr>
            <w:tcW w:type="dxa" w:w="2600"/>
            <w:vAlign w:val="center"/>
            <w:tcMar>
              <w:top w:w="80" w:type="dxa"/>
              <w:start w:w="120" w:type="dxa"/>
              <w:bottom w:w="80" w:type="dxa"/>
              <w:end w:w="120" w:type="dxa"/>
            </w:tcMar>
          </w:tcPr>
          <w:p>
            <w:pPr>
              <w:spacing w:after="0" w:line="252" w:lineRule="auto"/>
            </w:pPr>
            <w:r>
              <w:rPr>
                <w:rFonts w:ascii="Calibri" w:hAnsi="Calibri"/>
                <w:b w:val="0"/>
                <w:color w:val="202D3A"/>
                <w:sz w:val="18"/>
              </w:rPr>
              <w:t>4</w:t>
            </w:r>
          </w:p>
        </w:tc>
        <w:tc>
          <w:tcPr>
            <w:tcW w:type="dxa" w:w="4200"/>
            <w:vAlign w:val="center"/>
            <w:tcMar>
              <w:top w:w="80" w:type="dxa"/>
              <w:start w:w="120" w:type="dxa"/>
              <w:bottom w:w="80" w:type="dxa"/>
              <w:end w:w="120" w:type="dxa"/>
            </w:tcMar>
          </w:tcPr>
          <w:p>
            <w:pPr>
              <w:spacing w:after="0" w:line="252" w:lineRule="auto"/>
            </w:pPr>
            <w:r>
              <w:rPr>
                <w:rFonts w:ascii="Calibri" w:hAnsi="Calibri"/>
                <w:b w:val="0"/>
                <w:color w:val="202D3A"/>
                <w:sz w:val="18"/>
              </w:rPr>
              <w:t>Conceptual Analysis</w:t>
            </w:r>
          </w:p>
        </w:tc>
        <w:tc>
          <w:tcPr>
            <w:tcW w:type="dxa" w:w="2560"/>
            <w:vAlign w:val="center"/>
            <w:tcMar>
              <w:top w:w="80" w:type="dxa"/>
              <w:start w:w="120" w:type="dxa"/>
              <w:bottom w:w="80" w:type="dxa"/>
              <w:end w:w="120" w:type="dxa"/>
            </w:tcMar>
          </w:tcPr>
          <w:p>
            <w:pPr>
              <w:spacing w:after="0" w:line="252" w:lineRule="auto"/>
            </w:pPr>
            <w:r>
              <w:rPr>
                <w:rFonts w:ascii="Calibri" w:hAnsi="Calibri"/>
                <w:b w:val="0"/>
                <w:color w:val="202D3A"/>
                <w:sz w:val="18"/>
              </w:rPr>
              <w:t>Four parts, 1 point each</w:t>
            </w:r>
          </w:p>
        </w:tc>
      </w:tr>
      <w:tr>
        <w:trPr>
          <w:cantSplit/>
        </w:trPr>
        <w:tc>
          <w:tcPr>
            <w:tcW w:type="dxa" w:w="2600"/>
            <w:vAlign w:val="center"/>
            <w:tcMar>
              <w:top w:w="80" w:type="dxa"/>
              <w:start w:w="120" w:type="dxa"/>
              <w:bottom w:w="80" w:type="dxa"/>
              <w:end w:w="120" w:type="dxa"/>
            </w:tcMar>
          </w:tcPr>
          <w:p>
            <w:pPr>
              <w:spacing w:after="0" w:line="252" w:lineRule="auto"/>
            </w:pPr>
            <w:r>
              <w:rPr>
                <w:rFonts w:ascii="Calibri" w:hAnsi="Calibri"/>
                <w:b w:val="0"/>
                <w:color w:val="202D3A"/>
                <w:sz w:val="18"/>
              </w:rPr>
              <w:t>5</w:t>
            </w:r>
          </w:p>
        </w:tc>
        <w:tc>
          <w:tcPr>
            <w:tcW w:type="dxa" w:w="4200"/>
            <w:vAlign w:val="center"/>
            <w:tcMar>
              <w:top w:w="80" w:type="dxa"/>
              <w:start w:w="120" w:type="dxa"/>
              <w:bottom w:w="80" w:type="dxa"/>
              <w:end w:w="120" w:type="dxa"/>
            </w:tcMar>
          </w:tcPr>
          <w:p>
            <w:pPr>
              <w:spacing w:after="0" w:line="252" w:lineRule="auto"/>
            </w:pPr>
            <w:r>
              <w:rPr>
                <w:rFonts w:ascii="Calibri" w:hAnsi="Calibri"/>
                <w:b w:val="0"/>
                <w:color w:val="202D3A"/>
                <w:sz w:val="18"/>
              </w:rPr>
              <w:t>Analyze Model or Visual Representation</w:t>
            </w:r>
          </w:p>
        </w:tc>
        <w:tc>
          <w:tcPr>
            <w:tcW w:type="dxa" w:w="2560"/>
            <w:vAlign w:val="center"/>
            <w:tcMar>
              <w:top w:w="80" w:type="dxa"/>
              <w:start w:w="120" w:type="dxa"/>
              <w:bottom w:w="80" w:type="dxa"/>
              <w:end w:w="120" w:type="dxa"/>
            </w:tcMar>
          </w:tcPr>
          <w:p>
            <w:pPr>
              <w:spacing w:after="0" w:line="252" w:lineRule="auto"/>
            </w:pPr>
            <w:r>
              <w:rPr>
                <w:rFonts w:ascii="Calibri" w:hAnsi="Calibri"/>
                <w:b w:val="0"/>
                <w:color w:val="202D3A"/>
                <w:sz w:val="18"/>
              </w:rPr>
              <w:t>Four parts, 1 point each</w:t>
            </w:r>
          </w:p>
        </w:tc>
      </w:tr>
      <w:tr>
        <w:trPr>
          <w:cantSplit/>
        </w:trPr>
        <w:tc>
          <w:tcPr>
            <w:tcW w:type="dxa" w:w="2600"/>
            <w:vAlign w:val="center"/>
            <w:tcMar>
              <w:top w:w="80" w:type="dxa"/>
              <w:start w:w="120" w:type="dxa"/>
              <w:bottom w:w="80" w:type="dxa"/>
              <w:end w:w="120" w:type="dxa"/>
            </w:tcMar>
          </w:tcPr>
          <w:p>
            <w:pPr>
              <w:spacing w:after="0" w:line="252" w:lineRule="auto"/>
            </w:pPr>
            <w:r>
              <w:rPr>
                <w:rFonts w:ascii="Calibri" w:hAnsi="Calibri"/>
                <w:b w:val="0"/>
                <w:color w:val="202D3A"/>
                <w:sz w:val="18"/>
              </w:rPr>
              <w:t>6</w:t>
            </w:r>
          </w:p>
        </w:tc>
        <w:tc>
          <w:tcPr>
            <w:tcW w:type="dxa" w:w="4200"/>
            <w:vAlign w:val="center"/>
            <w:tcMar>
              <w:top w:w="80" w:type="dxa"/>
              <w:start w:w="120" w:type="dxa"/>
              <w:bottom w:w="80" w:type="dxa"/>
              <w:end w:w="120" w:type="dxa"/>
            </w:tcMar>
          </w:tcPr>
          <w:p>
            <w:pPr>
              <w:spacing w:after="0" w:line="252" w:lineRule="auto"/>
            </w:pPr>
            <w:r>
              <w:rPr>
                <w:rFonts w:ascii="Calibri" w:hAnsi="Calibri"/>
                <w:b w:val="0"/>
                <w:color w:val="202D3A"/>
                <w:sz w:val="18"/>
              </w:rPr>
              <w:t>Analyze Data</w:t>
            </w:r>
          </w:p>
        </w:tc>
        <w:tc>
          <w:tcPr>
            <w:tcW w:type="dxa" w:w="2560"/>
            <w:vAlign w:val="center"/>
            <w:tcMar>
              <w:top w:w="80" w:type="dxa"/>
              <w:start w:w="120" w:type="dxa"/>
              <w:bottom w:w="80" w:type="dxa"/>
              <w:end w:w="120" w:type="dxa"/>
            </w:tcMar>
          </w:tcPr>
          <w:p>
            <w:pPr>
              <w:spacing w:after="0" w:line="252" w:lineRule="auto"/>
            </w:pPr>
            <w:r>
              <w:rPr>
                <w:rFonts w:ascii="Calibri" w:hAnsi="Calibri"/>
                <w:b w:val="0"/>
                <w:color w:val="202D3A"/>
                <w:sz w:val="18"/>
              </w:rPr>
              <w:t>Four parts, 1 point each</w:t>
            </w:r>
          </w:p>
        </w:tc>
      </w:tr>
    </w:tbl>
    <w:p>
      <w:pPr>
        <w:spacing w:after="0"/>
      </w:pPr>
    </w:p>
    <w:p>
      <w:pPr>
        <w:widowControl/>
      </w:pPr>
      <w:r>
        <w:t>Teaching should use this structure to practice specific point opportunities. It should not train students to produce uniformly long answers.</w:t>
      </w:r>
    </w:p>
    <w:p>
      <w:pPr>
        <w:pStyle w:val="Heading2"/>
      </w:pPr>
      <w:r>
        <w:t>6.7 Science Practices and Skills</w:t>
      </w:r>
    </w:p>
    <w:p>
      <w:pPr>
        <w:widowControl/>
      </w:pPr>
      <w:r>
        <w:t>Cramapple's AP Biology learner model must represent the six official science practices and their component skills:</w:t>
      </w:r>
    </w:p>
    <w:p>
      <w:pPr>
        <w:numPr>
          <w:ilvl w:val="0"/>
          <w:numId w:val="10"/>
        </w:numPr>
        <w:spacing w:after="160" w:line="280" w:lineRule="auto"/>
      </w:pPr>
      <w:r>
        <w:t>Concept explanation.</w:t>
      </w:r>
    </w:p>
    <w:p>
      <w:pPr>
        <w:numPr>
          <w:ilvl w:val="0"/>
          <w:numId w:val="10"/>
        </w:numPr>
        <w:spacing w:after="160" w:line="280" w:lineRule="auto"/>
      </w:pPr>
      <w:r>
        <w:t>Visual representations.</w:t>
      </w:r>
    </w:p>
    <w:p>
      <w:pPr>
        <w:numPr>
          <w:ilvl w:val="0"/>
          <w:numId w:val="10"/>
        </w:numPr>
        <w:spacing w:after="160" w:line="280" w:lineRule="auto"/>
      </w:pPr>
      <w:r>
        <w:t>Questions and methods.</w:t>
      </w:r>
    </w:p>
    <w:p>
      <w:pPr>
        <w:numPr>
          <w:ilvl w:val="0"/>
          <w:numId w:val="10"/>
        </w:numPr>
        <w:spacing w:after="160" w:line="280" w:lineRule="auto"/>
      </w:pPr>
      <w:r>
        <w:t>Representing and describing data.</w:t>
      </w:r>
    </w:p>
    <w:p>
      <w:pPr>
        <w:numPr>
          <w:ilvl w:val="0"/>
          <w:numId w:val="10"/>
        </w:numPr>
        <w:spacing w:after="160" w:line="280" w:lineRule="auto"/>
      </w:pPr>
      <w:r>
        <w:t>Statistical tests and data analysis.</w:t>
      </w:r>
    </w:p>
    <w:p>
      <w:pPr>
        <w:numPr>
          <w:ilvl w:val="0"/>
          <w:numId w:val="10"/>
        </w:numPr>
        <w:spacing w:after="160" w:line="280" w:lineRule="auto"/>
      </w:pPr>
      <w:r>
        <w:t>Argumentation.</w:t>
      </w:r>
    </w:p>
    <w:p>
      <w:pPr>
        <w:widowControl/>
      </w:pPr>
      <w:r>
        <w:t>Argumentation includes making a claim, supporting it with evidence, connecting evidence to biological reasoning, explaining relationships to larger concepts, and predicting effects of system changes.</w:t>
      </w:r>
    </w:p>
    <w:p>
      <w:pPr>
        <w:pStyle w:val="Heading2"/>
      </w:pPr>
      <w:r>
        <w:t>6.8 Source Inventory</w:t>
      </w:r>
    </w:p>
    <w:p>
      <w:pPr>
        <w:widowControl/>
      </w:pPr>
      <w:r>
        <w:t>The AP Biology source library should track:</w:t>
      </w:r>
    </w:p>
    <w:p>
      <w:pPr>
        <w:numPr>
          <w:ilvl w:val="0"/>
          <w:numId w:val="10"/>
        </w:numPr>
        <w:spacing w:after="160" w:line="280" w:lineRule="auto"/>
      </w:pPr>
      <w:r>
        <w:t>Current Course and Exam Description and corrections.</w:t>
      </w:r>
    </w:p>
    <w:p>
      <w:pPr>
        <w:numPr>
          <w:ilvl w:val="0"/>
          <w:numId w:val="10"/>
        </w:numPr>
        <w:spacing w:after="160" w:line="280" w:lineRule="auto"/>
      </w:pPr>
      <w:r>
        <w:t>Current exam page and delivery rules.</w:t>
      </w:r>
    </w:p>
    <w:p>
      <w:pPr>
        <w:numPr>
          <w:ilvl w:val="0"/>
          <w:numId w:val="10"/>
        </w:numPr>
        <w:spacing w:after="160" w:line="280" w:lineRule="auto"/>
      </w:pPr>
      <w:r>
        <w:t>Publicly released FRQs.</w:t>
      </w:r>
    </w:p>
    <w:p>
      <w:pPr>
        <w:numPr>
          <w:ilvl w:val="0"/>
          <w:numId w:val="10"/>
        </w:numPr>
        <w:spacing w:after="160" w:line="280" w:lineRule="auto"/>
      </w:pPr>
      <w:r>
        <w:t>Official scoring guidelines.</w:t>
      </w:r>
    </w:p>
    <w:p>
      <w:pPr>
        <w:numPr>
          <w:ilvl w:val="0"/>
          <w:numId w:val="10"/>
        </w:numPr>
        <w:spacing w:after="160" w:line="280" w:lineRule="auto"/>
      </w:pPr>
      <w:r>
        <w:t>Sample student responses and commentary.</w:t>
      </w:r>
    </w:p>
    <w:p>
      <w:pPr>
        <w:numPr>
          <w:ilvl w:val="0"/>
          <w:numId w:val="10"/>
        </w:numPr>
        <w:spacing w:after="160" w:line="280" w:lineRule="auto"/>
      </w:pPr>
      <w:r>
        <w:t>Chief Reader reports.</w:t>
      </w:r>
    </w:p>
    <w:p>
      <w:pPr>
        <w:numPr>
          <w:ilvl w:val="0"/>
          <w:numId w:val="10"/>
        </w:numPr>
        <w:spacing w:after="160" w:line="280" w:lineRule="auto"/>
      </w:pPr>
      <w:r>
        <w:t>Scoring statistics and score distributions.</w:t>
      </w:r>
    </w:p>
    <w:p>
      <w:pPr>
        <w:numPr>
          <w:ilvl w:val="0"/>
          <w:numId w:val="10"/>
        </w:numPr>
        <w:spacing w:after="160" w:line="280" w:lineRule="auto"/>
      </w:pPr>
      <w:r>
        <w:t>Authorized AP Classroom materials where use is legally permitted.</w:t>
      </w:r>
    </w:p>
    <w:p>
      <w:pPr>
        <w:numPr>
          <w:ilvl w:val="0"/>
          <w:numId w:val="10"/>
        </w:numPr>
        <w:spacing w:after="160" w:line="280" w:lineRule="auto"/>
      </w:pPr>
      <w:r>
        <w:t>Cramapple-authored and tutor-vetted transfer items.</w:t>
      </w:r>
    </w:p>
    <w:p>
      <w:pPr>
        <w:widowControl/>
      </w:pPr>
      <w:r>
        <w:t>Public AP Central currently states that it provides the three most recent years of released exam materials, while authorized educators can access additional secure practice in AP Classroom. Source access does not automatically grant Cramapple a right to reproduce or distribute material.</w:t>
      </w:r>
    </w:p>
    <w:p>
      <w:pPr>
        <w:pStyle w:val="Heading1"/>
      </w:pPr>
      <w:r>
        <w:t>7. Learner Model</w:t>
      </w:r>
    </w:p>
    <w:p>
      <w:pPr>
        <w:pStyle w:val="Heading2"/>
      </w:pPr>
      <w:r>
        <w:t>7.1 Evidence Dimensions</w:t>
      </w:r>
    </w:p>
    <w:p>
      <w:pPr>
        <w:widowControl/>
      </w:pPr>
      <w:r>
        <w:t>Every meaningful attempt should be tagged where applicable by:</w:t>
      </w:r>
    </w:p>
    <w:p>
      <w:pPr>
        <w:numPr>
          <w:ilvl w:val="0"/>
          <w:numId w:val="10"/>
        </w:numPr>
        <w:spacing w:after="160" w:line="280" w:lineRule="auto"/>
      </w:pPr>
      <w:r>
        <w:t>Exam and exam-year version.</w:t>
      </w:r>
    </w:p>
    <w:p>
      <w:pPr>
        <w:numPr>
          <w:ilvl w:val="0"/>
          <w:numId w:val="10"/>
        </w:numPr>
        <w:spacing w:after="160" w:line="280" w:lineRule="auto"/>
      </w:pPr>
      <w:r>
        <w:t>Unit, topic, learning objective, and prerequisite.</w:t>
      </w:r>
    </w:p>
    <w:p>
      <w:pPr>
        <w:numPr>
          <w:ilvl w:val="0"/>
          <w:numId w:val="10"/>
        </w:numPr>
        <w:spacing w:after="160" w:line="280" w:lineRule="auto"/>
      </w:pPr>
      <w:r>
        <w:t>Big idea.</w:t>
      </w:r>
    </w:p>
    <w:p>
      <w:pPr>
        <w:numPr>
          <w:ilvl w:val="0"/>
          <w:numId w:val="10"/>
        </w:numPr>
        <w:spacing w:after="160" w:line="280" w:lineRule="auto"/>
      </w:pPr>
      <w:r>
        <w:t>Science practice and component skill.</w:t>
      </w:r>
    </w:p>
    <w:p>
      <w:pPr>
        <w:numPr>
          <w:ilvl w:val="0"/>
          <w:numId w:val="10"/>
        </w:numPr>
        <w:spacing w:after="160" w:line="280" w:lineRule="auto"/>
      </w:pPr>
      <w:r>
        <w:t>Question type and FRQ archetype.</w:t>
      </w:r>
    </w:p>
    <w:p>
      <w:pPr>
        <w:numPr>
          <w:ilvl w:val="0"/>
          <w:numId w:val="10"/>
        </w:numPr>
        <w:spacing w:after="160" w:line="280" w:lineRule="auto"/>
      </w:pPr>
      <w:r>
        <w:t>Task verb or requested operation.</w:t>
      </w:r>
    </w:p>
    <w:p>
      <w:pPr>
        <w:numPr>
          <w:ilvl w:val="0"/>
          <w:numId w:val="10"/>
        </w:numPr>
        <w:spacing w:after="160" w:line="280" w:lineRule="auto"/>
      </w:pPr>
      <w:r>
        <w:t>Representation type: prose, graph, table, diagram, model, calculation, or experiment.</w:t>
      </w:r>
    </w:p>
    <w:p>
      <w:pPr>
        <w:numPr>
          <w:ilvl w:val="0"/>
          <w:numId w:val="10"/>
        </w:numPr>
        <w:spacing w:after="160" w:line="280" w:lineRule="auto"/>
      </w:pPr>
      <w:r>
        <w:t>Rubric criterion or raw-point opportunity.</w:t>
      </w:r>
    </w:p>
    <w:p>
      <w:pPr>
        <w:numPr>
          <w:ilvl w:val="0"/>
          <w:numId w:val="10"/>
        </w:numPr>
        <w:spacing w:after="160" w:line="280" w:lineRule="auto"/>
      </w:pPr>
      <w:r>
        <w:t>Difficulty and transfer distance.</w:t>
      </w:r>
    </w:p>
    <w:p>
      <w:pPr>
        <w:numPr>
          <w:ilvl w:val="0"/>
          <w:numId w:val="10"/>
        </w:numPr>
        <w:spacing w:after="160" w:line="280" w:lineRule="auto"/>
      </w:pPr>
      <w:r>
        <w:t>Accuracy and criterion outcome.</w:t>
      </w:r>
    </w:p>
    <w:p>
      <w:pPr>
        <w:numPr>
          <w:ilvl w:val="0"/>
          <w:numId w:val="10"/>
        </w:numPr>
        <w:spacing w:after="160" w:line="280" w:lineRule="auto"/>
      </w:pPr>
      <w:r>
        <w:t>Response time.</w:t>
      </w:r>
    </w:p>
    <w:p>
      <w:pPr>
        <w:numPr>
          <w:ilvl w:val="0"/>
          <w:numId w:val="10"/>
        </w:numPr>
        <w:spacing w:after="160" w:line="280" w:lineRule="auto"/>
      </w:pPr>
      <w:r>
        <w:t>Confidence before feedback.</w:t>
      </w:r>
    </w:p>
    <w:p>
      <w:pPr>
        <w:numPr>
          <w:ilvl w:val="0"/>
          <w:numId w:val="10"/>
        </w:numPr>
        <w:spacing w:after="160" w:line="280" w:lineRule="auto"/>
      </w:pPr>
      <w:r>
        <w:t>Hints, examples, or solution exposure.</w:t>
      </w:r>
    </w:p>
    <w:p>
      <w:pPr>
        <w:numPr>
          <w:ilvl w:val="0"/>
          <w:numId w:val="10"/>
        </w:numPr>
        <w:spacing w:after="160" w:line="280" w:lineRule="auto"/>
      </w:pPr>
      <w:r>
        <w:t>Immediate and delayed retry outcome.</w:t>
      </w:r>
    </w:p>
    <w:p>
      <w:pPr>
        <w:numPr>
          <w:ilvl w:val="0"/>
          <w:numId w:val="10"/>
        </w:numPr>
        <w:spacing w:after="160" w:line="280" w:lineRule="auto"/>
      </w:pPr>
      <w:r>
        <w:t>Content, teaching-policy, rubric, and model versions.</w:t>
      </w:r>
    </w:p>
    <w:p>
      <w:pPr>
        <w:pStyle w:val="Heading2"/>
      </w:pPr>
      <w:r>
        <w:t>7.2 Evidence Versus Inference</w:t>
      </w:r>
    </w:p>
    <w:p>
      <w:pPr>
        <w:widowControl/>
      </w:pPr>
      <w:r>
        <w:t>The learner said an answer, used a hint, and earned a criterion point: these are observations.</w:t>
      </w:r>
    </w:p>
    <w:p>
      <w:pPr>
        <w:widowControl/>
      </w:pPr>
      <w:r>
        <w:t>The learner has a misconception, has mastered a skill, or can improve rapidly: these are inferences.</w:t>
      </w:r>
    </w:p>
    <w:p>
      <w:pPr>
        <w:widowControl/>
      </w:pPr>
      <w:r>
        <w:t>Every inference must retain:</w:t>
      </w:r>
    </w:p>
    <w:p>
      <w:pPr>
        <w:numPr>
          <w:ilvl w:val="0"/>
          <w:numId w:val="10"/>
        </w:numPr>
        <w:spacing w:after="160" w:line="280" w:lineRule="auto"/>
      </w:pPr>
      <w:r>
        <w:t>Supporting observations.</w:t>
      </w:r>
    </w:p>
    <w:p>
      <w:pPr>
        <w:numPr>
          <w:ilvl w:val="0"/>
          <w:numId w:val="10"/>
        </w:numPr>
        <w:spacing w:after="160" w:line="280" w:lineRule="auto"/>
      </w:pPr>
      <w:r>
        <w:t>Confidence or uncertainty.</w:t>
      </w:r>
    </w:p>
    <w:p>
      <w:pPr>
        <w:numPr>
          <w:ilvl w:val="0"/>
          <w:numId w:val="10"/>
        </w:numPr>
        <w:spacing w:after="160" w:line="280" w:lineRule="auto"/>
      </w:pPr>
      <w:r>
        <w:t>Recency.</w:t>
      </w:r>
    </w:p>
    <w:p>
      <w:pPr>
        <w:numPr>
          <w:ilvl w:val="0"/>
          <w:numId w:val="10"/>
        </w:numPr>
        <w:spacing w:after="160" w:line="280" w:lineRule="auto"/>
      </w:pPr>
      <w:r>
        <w:t>Assistance level.</w:t>
      </w:r>
    </w:p>
    <w:p>
      <w:pPr>
        <w:numPr>
          <w:ilvl w:val="0"/>
          <w:numId w:val="10"/>
        </w:numPr>
        <w:spacing w:after="160" w:line="280" w:lineRule="auto"/>
      </w:pPr>
      <w:r>
        <w:t>Model version.</w:t>
      </w:r>
    </w:p>
    <w:p>
      <w:pPr>
        <w:numPr>
          <w:ilvl w:val="0"/>
          <w:numId w:val="10"/>
        </w:numPr>
        <w:spacing w:after="160" w:line="280" w:lineRule="auto"/>
      </w:pPr>
      <w:r>
        <w:t>Expiration or rebuild behavior.</w:t>
      </w:r>
    </w:p>
    <w:p>
      <w:pPr>
        <w:pStyle w:val="Heading1"/>
      </w:pPr>
      <w:r>
        <w:t>8. Diagnostic Design</w:t>
      </w:r>
    </w:p>
    <w:p>
      <w:pPr>
        <w:pStyle w:val="Heading2"/>
      </w:pPr>
      <w:r>
        <w:t>8.1 Diagnostic Objective</w:t>
      </w:r>
    </w:p>
    <w:p>
      <w:pPr>
        <w:widowControl/>
      </w:pPr>
      <w:r>
        <w:t>The diagnostic does not attempt to measure the entire curriculum perfectly. It seeks enough evidence to identify high-value, actionable gaps within the remaining study horizon.</w:t>
      </w:r>
    </w:p>
    <w:p>
      <w:pPr>
        <w:pStyle w:val="Heading2"/>
      </w:pPr>
      <w:r>
        <w:t>8.2 Diagnostic Sequence</w:t>
      </w:r>
    </w:p>
    <w:p>
      <w:pPr>
        <w:numPr>
          <w:ilvl w:val="0"/>
          <w:numId w:val="24"/>
        </w:numPr>
        <w:spacing w:after="160" w:line="280" w:lineRule="auto"/>
      </w:pPr>
      <w:r>
        <w:rPr>
          <w:b/>
        </w:rPr>
        <w:t>Cold attempt</w:t>
      </w:r>
    </w:p>
    <w:p>
      <w:pPr>
        <w:widowControl/>
      </w:pPr>
      <w:r>
        <w:t xml:space="preserve">   Present a representative task before instruction. Capture answer, work, time, and confidence.</w:t>
      </w:r>
    </w:p>
    <w:p>
      <w:pPr>
        <w:numPr>
          <w:ilvl w:val="0"/>
          <w:numId w:val="25"/>
        </w:numPr>
        <w:spacing w:after="160" w:line="280" w:lineRule="auto"/>
      </w:pPr>
      <w:r>
        <w:rPr>
          <w:b/>
        </w:rPr>
        <w:t>Initial scoring</w:t>
      </w:r>
    </w:p>
    <w:p>
      <w:pPr>
        <w:widowControl/>
      </w:pPr>
      <w:r>
        <w:t xml:space="preserve">   Determine correctness or criterion outcomes and identify ambiguous evidence.</w:t>
      </w:r>
    </w:p>
    <w:p>
      <w:pPr>
        <w:numPr>
          <w:ilvl w:val="0"/>
          <w:numId w:val="26"/>
        </w:numPr>
        <w:spacing w:after="160" w:line="280" w:lineRule="auto"/>
      </w:pPr>
      <w:r>
        <w:rPr>
          <w:b/>
        </w:rPr>
        <w:t>Failure classification</w:t>
      </w:r>
    </w:p>
    <w:p>
      <w:pPr>
        <w:widowControl/>
      </w:pPr>
      <w:r>
        <w:t xml:space="preserve">   Generate possible causes rather than selecting one immediately.</w:t>
      </w:r>
    </w:p>
    <w:p>
      <w:pPr>
        <w:numPr>
          <w:ilvl w:val="0"/>
          <w:numId w:val="27"/>
        </w:numPr>
        <w:spacing w:after="160" w:line="280" w:lineRule="auto"/>
      </w:pPr>
      <w:r>
        <w:rPr>
          <w:b/>
        </w:rPr>
        <w:t>Discriminating probe</w:t>
      </w:r>
    </w:p>
    <w:p>
      <w:pPr>
        <w:widowControl/>
      </w:pPr>
      <w:r>
        <w:t xml:space="preserve">   Ask a smaller or altered question that separates competing explanations.</w:t>
      </w:r>
    </w:p>
    <w:p>
      <w:pPr>
        <w:numPr>
          <w:ilvl w:val="0"/>
          <w:numId w:val="28"/>
        </w:numPr>
        <w:spacing w:after="160" w:line="280" w:lineRule="auto"/>
      </w:pPr>
      <w:r>
        <w:rPr>
          <w:b/>
        </w:rPr>
        <w:t>Minimal intervention</w:t>
      </w:r>
    </w:p>
    <w:p>
      <w:pPr>
        <w:widowControl/>
      </w:pPr>
      <w:r>
        <w:t xml:space="preserve">   Deliver a targeted explanation, example, misconception correction, task-language lesson, or prerequisite scaffold.</w:t>
      </w:r>
    </w:p>
    <w:p>
      <w:pPr>
        <w:numPr>
          <w:ilvl w:val="0"/>
          <w:numId w:val="29"/>
        </w:numPr>
        <w:spacing w:after="160" w:line="280" w:lineRule="auto"/>
      </w:pPr>
      <w:r>
        <w:rPr>
          <w:b/>
        </w:rPr>
        <w:t>Immediate transfer</w:t>
      </w:r>
    </w:p>
    <w:p>
      <w:pPr>
        <w:widowControl/>
      </w:pPr>
      <w:r>
        <w:t xml:space="preserve">   Ask a new structurally related question.</w:t>
      </w:r>
    </w:p>
    <w:p>
      <w:pPr>
        <w:numPr>
          <w:ilvl w:val="0"/>
          <w:numId w:val="30"/>
        </w:numPr>
        <w:spacing w:after="160" w:line="280" w:lineRule="auto"/>
      </w:pPr>
      <w:r>
        <w:rPr>
          <w:b/>
        </w:rPr>
        <w:t>Delayed retrieval</w:t>
      </w:r>
    </w:p>
    <w:p>
      <w:pPr>
        <w:widowControl/>
      </w:pPr>
      <w:r>
        <w:t xml:space="preserve">   Reassess after spacing.</w:t>
      </w:r>
    </w:p>
    <w:p>
      <w:pPr>
        <w:numPr>
          <w:ilvl w:val="0"/>
          <w:numId w:val="31"/>
        </w:numPr>
        <w:spacing w:after="160" w:line="280" w:lineRule="auto"/>
      </w:pPr>
      <w:r>
        <w:rPr>
          <w:b/>
        </w:rPr>
        <w:t>Update diagnosis</w:t>
      </w:r>
    </w:p>
    <w:p>
      <w:pPr>
        <w:widowControl/>
      </w:pPr>
      <w:r>
        <w:t xml:space="preserve">   Revise weakness and improvability estimates using observed response to instruction.</w:t>
      </w:r>
    </w:p>
    <w:p>
      <w:pPr>
        <w:pStyle w:val="Heading2"/>
      </w:pPr>
      <w:r>
        <w:t>8.3 Failure Taxonomy</w:t>
      </w:r>
    </w:p>
    <w:tbl>
      <w:tblPr>
        <w:tblStyle w:val="TableGrid"/>
        <w:tblW w:type="dxa" w:w="9360"/>
        <w:jc w:val="left"/>
        <w:tblLayout w:type="fixed"/>
        <w:tblLook w:firstColumn="1" w:firstRow="1" w:lastColumn="0" w:lastRow="0" w:noHBand="0" w:noVBand="1" w:val="04A0"/>
        <w:tblInd w:w="120" w:type="dxa"/>
      </w:tblPr>
      <w:tblGrid>
        <w:gridCol w:w="2600"/>
        <w:gridCol w:w="4200"/>
        <w:gridCol w:w="2560"/>
      </w:tblGrid>
      <w:tr>
        <w:trPr>
          <w:tblHeader w:val="true"/>
          <w:cantSplit/>
        </w:trPr>
        <w:tc>
          <w:tcPr>
            <w:tcW w:type="dxa" w:w="2600"/>
            <w:vAlign w:val="center"/>
            <w:tcMar>
              <w:top w:w="80" w:type="dxa"/>
              <w:start w:w="120" w:type="dxa"/>
              <w:bottom w:w="80" w:type="dxa"/>
              <w:end w:w="120" w:type="dxa"/>
            </w:tcMar>
            <w:shd w:fill="F2F4F7"/>
          </w:tcPr>
          <w:p>
            <w:pPr>
              <w:spacing w:after="0" w:line="252" w:lineRule="auto"/>
            </w:pPr>
            <w:r>
              <w:rPr>
                <w:rFonts w:ascii="Calibri" w:hAnsi="Calibri"/>
                <w:b/>
                <w:color w:val="202D3A"/>
                <w:sz w:val="18"/>
              </w:rPr>
              <w:t>Failure Class</w:t>
            </w:r>
          </w:p>
        </w:tc>
        <w:tc>
          <w:tcPr>
            <w:tcW w:type="dxa" w:w="4200"/>
            <w:vAlign w:val="center"/>
            <w:tcMar>
              <w:top w:w="80" w:type="dxa"/>
              <w:start w:w="120" w:type="dxa"/>
              <w:bottom w:w="80" w:type="dxa"/>
              <w:end w:w="120" w:type="dxa"/>
            </w:tcMar>
            <w:shd w:fill="F2F4F7"/>
          </w:tcPr>
          <w:p>
            <w:pPr>
              <w:spacing w:after="0" w:line="252" w:lineRule="auto"/>
            </w:pPr>
            <w:r>
              <w:rPr>
                <w:rFonts w:ascii="Calibri" w:hAnsi="Calibri"/>
                <w:b/>
                <w:color w:val="202D3A"/>
                <w:sz w:val="18"/>
              </w:rPr>
              <w:t>Diagnostic Evidence</w:t>
            </w:r>
          </w:p>
        </w:tc>
        <w:tc>
          <w:tcPr>
            <w:tcW w:type="dxa" w:w="2560"/>
            <w:vAlign w:val="center"/>
            <w:tcMar>
              <w:top w:w="80" w:type="dxa"/>
              <w:start w:w="120" w:type="dxa"/>
              <w:bottom w:w="80" w:type="dxa"/>
              <w:end w:w="120" w:type="dxa"/>
            </w:tcMar>
            <w:shd w:fill="F2F4F7"/>
          </w:tcPr>
          <w:p>
            <w:pPr>
              <w:spacing w:after="0" w:line="252" w:lineRule="auto"/>
            </w:pPr>
            <w:r>
              <w:rPr>
                <w:rFonts w:ascii="Calibri" w:hAnsi="Calibri"/>
                <w:b/>
                <w:color w:val="202D3A"/>
                <w:sz w:val="18"/>
              </w:rPr>
              <w:t>Teaching Response</w:t>
            </w:r>
          </w:p>
        </w:tc>
      </w:tr>
      <w:tr>
        <w:trPr>
          <w:cantSplit/>
        </w:trPr>
        <w:tc>
          <w:tcPr>
            <w:tcW w:type="dxa" w:w="2600"/>
            <w:vAlign w:val="center"/>
            <w:tcMar>
              <w:top w:w="80" w:type="dxa"/>
              <w:start w:w="120" w:type="dxa"/>
              <w:bottom w:w="80" w:type="dxa"/>
              <w:end w:w="120" w:type="dxa"/>
            </w:tcMar>
          </w:tcPr>
          <w:p>
            <w:pPr>
              <w:spacing w:after="0" w:line="252" w:lineRule="auto"/>
            </w:pPr>
            <w:r>
              <w:rPr>
                <w:rFonts w:ascii="Calibri" w:hAnsi="Calibri"/>
                <w:b w:val="0"/>
                <w:color w:val="202D3A"/>
                <w:sz w:val="18"/>
              </w:rPr>
              <w:t>Performance slip</w:t>
            </w:r>
          </w:p>
        </w:tc>
        <w:tc>
          <w:tcPr>
            <w:tcW w:type="dxa" w:w="4200"/>
            <w:vAlign w:val="center"/>
            <w:tcMar>
              <w:top w:w="80" w:type="dxa"/>
              <w:start w:w="120" w:type="dxa"/>
              <w:bottom w:w="80" w:type="dxa"/>
              <w:end w:w="120" w:type="dxa"/>
            </w:tcMar>
          </w:tcPr>
          <w:p>
            <w:pPr>
              <w:spacing w:after="0" w:line="252" w:lineRule="auto"/>
            </w:pPr>
            <w:r>
              <w:rPr>
                <w:rFonts w:ascii="Calibri" w:hAnsi="Calibri"/>
                <w:b w:val="0"/>
                <w:color w:val="202D3A"/>
                <w:sz w:val="18"/>
              </w:rPr>
              <w:t>Corrects quickly without conceptual support</w:t>
            </w:r>
          </w:p>
        </w:tc>
        <w:tc>
          <w:tcPr>
            <w:tcW w:type="dxa" w:w="2560"/>
            <w:vAlign w:val="center"/>
            <w:tcMar>
              <w:top w:w="80" w:type="dxa"/>
              <w:start w:w="120" w:type="dxa"/>
              <w:bottom w:w="80" w:type="dxa"/>
              <w:end w:w="120" w:type="dxa"/>
            </w:tcMar>
          </w:tcPr>
          <w:p>
            <w:pPr>
              <w:spacing w:after="0" w:line="252" w:lineRule="auto"/>
            </w:pPr>
            <w:r>
              <w:rPr>
                <w:rFonts w:ascii="Calibri" w:hAnsi="Calibri"/>
                <w:b w:val="0"/>
                <w:color w:val="202D3A"/>
                <w:sz w:val="18"/>
              </w:rPr>
              <w:t>Brief correction and delayed retrieval</w:t>
            </w:r>
          </w:p>
        </w:tc>
      </w:tr>
      <w:tr>
        <w:trPr>
          <w:cantSplit/>
        </w:trPr>
        <w:tc>
          <w:tcPr>
            <w:tcW w:type="dxa" w:w="2600"/>
            <w:vAlign w:val="center"/>
            <w:tcMar>
              <w:top w:w="80" w:type="dxa"/>
              <w:start w:w="120" w:type="dxa"/>
              <w:bottom w:w="80" w:type="dxa"/>
              <w:end w:w="120" w:type="dxa"/>
            </w:tcMar>
          </w:tcPr>
          <w:p>
            <w:pPr>
              <w:spacing w:after="0" w:line="252" w:lineRule="auto"/>
            </w:pPr>
            <w:r>
              <w:rPr>
                <w:rFonts w:ascii="Calibri" w:hAnsi="Calibri"/>
                <w:b w:val="0"/>
                <w:color w:val="202D3A"/>
                <w:sz w:val="18"/>
              </w:rPr>
              <w:t>Task-language gap</w:t>
            </w:r>
          </w:p>
        </w:tc>
        <w:tc>
          <w:tcPr>
            <w:tcW w:type="dxa" w:w="4200"/>
            <w:vAlign w:val="center"/>
            <w:tcMar>
              <w:top w:w="80" w:type="dxa"/>
              <w:start w:w="120" w:type="dxa"/>
              <w:bottom w:w="80" w:type="dxa"/>
              <w:end w:w="120" w:type="dxa"/>
            </w:tcMar>
          </w:tcPr>
          <w:p>
            <w:pPr>
              <w:spacing w:after="0" w:line="252" w:lineRule="auto"/>
            </w:pPr>
            <w:r>
              <w:rPr>
                <w:rFonts w:ascii="Calibri" w:hAnsi="Calibri"/>
                <w:b w:val="0"/>
                <w:color w:val="202D3A"/>
                <w:sz w:val="18"/>
              </w:rPr>
              <w:t>Knows biology but misreads identify, describe, explain, predict, justify, calculate, or construct</w:t>
            </w:r>
          </w:p>
        </w:tc>
        <w:tc>
          <w:tcPr>
            <w:tcW w:type="dxa" w:w="2560"/>
            <w:vAlign w:val="center"/>
            <w:tcMar>
              <w:top w:w="80" w:type="dxa"/>
              <w:start w:w="120" w:type="dxa"/>
              <w:bottom w:w="80" w:type="dxa"/>
              <w:end w:w="120" w:type="dxa"/>
            </w:tcMar>
          </w:tcPr>
          <w:p>
            <w:pPr>
              <w:spacing w:after="0" w:line="252" w:lineRule="auto"/>
            </w:pPr>
            <w:r>
              <w:rPr>
                <w:rFonts w:ascii="Calibri" w:hAnsi="Calibri"/>
                <w:b w:val="0"/>
                <w:color w:val="202D3A"/>
                <w:sz w:val="18"/>
              </w:rPr>
              <w:t>Teach the operation and contrast examples</w:t>
            </w:r>
          </w:p>
        </w:tc>
      </w:tr>
      <w:tr>
        <w:trPr>
          <w:cantSplit/>
        </w:trPr>
        <w:tc>
          <w:tcPr>
            <w:tcW w:type="dxa" w:w="2600"/>
            <w:vAlign w:val="center"/>
            <w:tcMar>
              <w:top w:w="80" w:type="dxa"/>
              <w:start w:w="120" w:type="dxa"/>
              <w:bottom w:w="80" w:type="dxa"/>
              <w:end w:w="120" w:type="dxa"/>
            </w:tcMar>
          </w:tcPr>
          <w:p>
            <w:pPr>
              <w:spacing w:after="0" w:line="252" w:lineRule="auto"/>
            </w:pPr>
            <w:r>
              <w:rPr>
                <w:rFonts w:ascii="Calibri" w:hAnsi="Calibri"/>
                <w:b w:val="0"/>
                <w:color w:val="202D3A"/>
                <w:sz w:val="18"/>
              </w:rPr>
              <w:t>Expression gap</w:t>
            </w:r>
          </w:p>
        </w:tc>
        <w:tc>
          <w:tcPr>
            <w:tcW w:type="dxa" w:w="4200"/>
            <w:vAlign w:val="center"/>
            <w:tcMar>
              <w:top w:w="80" w:type="dxa"/>
              <w:start w:w="120" w:type="dxa"/>
              <w:bottom w:w="80" w:type="dxa"/>
              <w:end w:w="120" w:type="dxa"/>
            </w:tcMar>
          </w:tcPr>
          <w:p>
            <w:pPr>
              <w:spacing w:after="0" w:line="252" w:lineRule="auto"/>
            </w:pPr>
            <w:r>
              <w:rPr>
                <w:rFonts w:ascii="Calibri" w:hAnsi="Calibri"/>
                <w:b w:val="0"/>
                <w:color w:val="202D3A"/>
                <w:sz w:val="18"/>
              </w:rPr>
              <w:t>Reasoning is present but response omits a scoring element</w:t>
            </w:r>
          </w:p>
        </w:tc>
        <w:tc>
          <w:tcPr>
            <w:tcW w:type="dxa" w:w="2560"/>
            <w:vAlign w:val="center"/>
            <w:tcMar>
              <w:top w:w="80" w:type="dxa"/>
              <w:start w:w="120" w:type="dxa"/>
              <w:bottom w:w="80" w:type="dxa"/>
              <w:end w:w="120" w:type="dxa"/>
            </w:tcMar>
          </w:tcPr>
          <w:p>
            <w:pPr>
              <w:spacing w:after="0" w:line="252" w:lineRule="auto"/>
            </w:pPr>
            <w:r>
              <w:rPr>
                <w:rFonts w:ascii="Calibri" w:hAnsi="Calibri"/>
                <w:b w:val="0"/>
                <w:color w:val="202D3A"/>
                <w:sz w:val="18"/>
              </w:rPr>
              <w:t>Teach criterion-oriented response construction</w:t>
            </w:r>
          </w:p>
        </w:tc>
      </w:tr>
      <w:tr>
        <w:trPr>
          <w:cantSplit/>
        </w:trPr>
        <w:tc>
          <w:tcPr>
            <w:tcW w:type="dxa" w:w="2600"/>
            <w:vAlign w:val="center"/>
            <w:tcMar>
              <w:top w:w="80" w:type="dxa"/>
              <w:start w:w="120" w:type="dxa"/>
              <w:bottom w:w="80" w:type="dxa"/>
              <w:end w:w="120" w:type="dxa"/>
            </w:tcMar>
          </w:tcPr>
          <w:p>
            <w:pPr>
              <w:spacing w:after="0" w:line="252" w:lineRule="auto"/>
            </w:pPr>
            <w:r>
              <w:rPr>
                <w:rFonts w:ascii="Calibri" w:hAnsi="Calibri"/>
                <w:b w:val="0"/>
                <w:color w:val="202D3A"/>
                <w:sz w:val="18"/>
              </w:rPr>
              <w:t>Local misconception</w:t>
            </w:r>
          </w:p>
        </w:tc>
        <w:tc>
          <w:tcPr>
            <w:tcW w:type="dxa" w:w="4200"/>
            <w:vAlign w:val="center"/>
            <w:tcMar>
              <w:top w:w="80" w:type="dxa"/>
              <w:start w:w="120" w:type="dxa"/>
              <w:bottom w:w="80" w:type="dxa"/>
              <w:end w:w="120" w:type="dxa"/>
            </w:tcMar>
          </w:tcPr>
          <w:p>
            <w:pPr>
              <w:spacing w:after="0" w:line="252" w:lineRule="auto"/>
            </w:pPr>
            <w:r>
              <w:rPr>
                <w:rFonts w:ascii="Calibri" w:hAnsi="Calibri"/>
                <w:b w:val="0"/>
                <w:color w:val="202D3A"/>
                <w:sz w:val="18"/>
              </w:rPr>
              <w:t>Repeats a coherent but incorrect model</w:t>
            </w:r>
          </w:p>
        </w:tc>
        <w:tc>
          <w:tcPr>
            <w:tcW w:type="dxa" w:w="2560"/>
            <w:vAlign w:val="center"/>
            <w:tcMar>
              <w:top w:w="80" w:type="dxa"/>
              <w:start w:w="120" w:type="dxa"/>
              <w:bottom w:w="80" w:type="dxa"/>
              <w:end w:w="120" w:type="dxa"/>
            </w:tcMar>
          </w:tcPr>
          <w:p>
            <w:pPr>
              <w:spacing w:after="0" w:line="252" w:lineRule="auto"/>
            </w:pPr>
            <w:r>
              <w:rPr>
                <w:rFonts w:ascii="Calibri" w:hAnsi="Calibri"/>
                <w:b w:val="0"/>
                <w:color w:val="202D3A"/>
                <w:sz w:val="18"/>
              </w:rPr>
              <w:t>Contrast cases and misconception-specific intervention</w:t>
            </w:r>
          </w:p>
        </w:tc>
      </w:tr>
      <w:tr>
        <w:trPr>
          <w:cantSplit/>
        </w:trPr>
        <w:tc>
          <w:tcPr>
            <w:tcW w:type="dxa" w:w="2600"/>
            <w:vAlign w:val="center"/>
            <w:tcMar>
              <w:top w:w="80" w:type="dxa"/>
              <w:start w:w="120" w:type="dxa"/>
              <w:bottom w:w="80" w:type="dxa"/>
              <w:end w:w="120" w:type="dxa"/>
            </w:tcMar>
          </w:tcPr>
          <w:p>
            <w:pPr>
              <w:spacing w:after="0" w:line="252" w:lineRule="auto"/>
            </w:pPr>
            <w:r>
              <w:rPr>
                <w:rFonts w:ascii="Calibri" w:hAnsi="Calibri"/>
                <w:b w:val="0"/>
                <w:color w:val="202D3A"/>
                <w:sz w:val="18"/>
              </w:rPr>
              <w:t>Representation gap</w:t>
            </w:r>
          </w:p>
        </w:tc>
        <w:tc>
          <w:tcPr>
            <w:tcW w:type="dxa" w:w="4200"/>
            <w:vAlign w:val="center"/>
            <w:tcMar>
              <w:top w:w="80" w:type="dxa"/>
              <w:start w:w="120" w:type="dxa"/>
              <w:bottom w:w="80" w:type="dxa"/>
              <w:end w:w="120" w:type="dxa"/>
            </w:tcMar>
          </w:tcPr>
          <w:p>
            <w:pPr>
              <w:spacing w:after="0" w:line="252" w:lineRule="auto"/>
            </w:pPr>
            <w:r>
              <w:rPr>
                <w:rFonts w:ascii="Calibri" w:hAnsi="Calibri"/>
                <w:b w:val="0"/>
                <w:color w:val="202D3A"/>
                <w:sz w:val="18"/>
              </w:rPr>
              <w:t>Understands prose but fails on graph, model, table, or diagram</w:t>
            </w:r>
          </w:p>
        </w:tc>
        <w:tc>
          <w:tcPr>
            <w:tcW w:type="dxa" w:w="2560"/>
            <w:vAlign w:val="center"/>
            <w:tcMar>
              <w:top w:w="80" w:type="dxa"/>
              <w:start w:w="120" w:type="dxa"/>
              <w:bottom w:w="80" w:type="dxa"/>
              <w:end w:w="120" w:type="dxa"/>
            </w:tcMar>
          </w:tcPr>
          <w:p>
            <w:pPr>
              <w:spacing w:after="0" w:line="252" w:lineRule="auto"/>
            </w:pPr>
            <w:r>
              <w:rPr>
                <w:rFonts w:ascii="Calibri" w:hAnsi="Calibri"/>
                <w:b w:val="0"/>
                <w:color w:val="202D3A"/>
                <w:sz w:val="18"/>
              </w:rPr>
              <w:t>Translate across representations</w:t>
            </w:r>
          </w:p>
        </w:tc>
      </w:tr>
      <w:tr>
        <w:trPr>
          <w:cantSplit/>
        </w:trPr>
        <w:tc>
          <w:tcPr>
            <w:tcW w:type="dxa" w:w="2600"/>
            <w:vAlign w:val="center"/>
            <w:tcMar>
              <w:top w:w="80" w:type="dxa"/>
              <w:start w:w="120" w:type="dxa"/>
              <w:bottom w:w="80" w:type="dxa"/>
              <w:end w:w="120" w:type="dxa"/>
            </w:tcMar>
          </w:tcPr>
          <w:p>
            <w:pPr>
              <w:spacing w:after="0" w:line="252" w:lineRule="auto"/>
            </w:pPr>
            <w:r>
              <w:rPr>
                <w:rFonts w:ascii="Calibri" w:hAnsi="Calibri"/>
                <w:b w:val="0"/>
                <w:color w:val="202D3A"/>
                <w:sz w:val="18"/>
              </w:rPr>
              <w:t>Method gap</w:t>
            </w:r>
          </w:p>
        </w:tc>
        <w:tc>
          <w:tcPr>
            <w:tcW w:type="dxa" w:w="4200"/>
            <w:vAlign w:val="center"/>
            <w:tcMar>
              <w:top w:w="80" w:type="dxa"/>
              <w:start w:w="120" w:type="dxa"/>
              <w:bottom w:w="80" w:type="dxa"/>
              <w:end w:w="120" w:type="dxa"/>
            </w:tcMar>
          </w:tcPr>
          <w:p>
            <w:pPr>
              <w:spacing w:after="0" w:line="252" w:lineRule="auto"/>
            </w:pPr>
            <w:r>
              <w:rPr>
                <w:rFonts w:ascii="Calibri" w:hAnsi="Calibri"/>
                <w:b w:val="0"/>
                <w:color w:val="202D3A"/>
                <w:sz w:val="18"/>
              </w:rPr>
              <w:t>Cannot identify variables, controls, hypotheses, or investigation design</w:t>
            </w:r>
          </w:p>
        </w:tc>
        <w:tc>
          <w:tcPr>
            <w:tcW w:type="dxa" w:w="2560"/>
            <w:vAlign w:val="center"/>
            <w:tcMar>
              <w:top w:w="80" w:type="dxa"/>
              <w:start w:w="120" w:type="dxa"/>
              <w:bottom w:w="80" w:type="dxa"/>
              <w:end w:w="120" w:type="dxa"/>
            </w:tcMar>
          </w:tcPr>
          <w:p>
            <w:pPr>
              <w:spacing w:after="0" w:line="252" w:lineRule="auto"/>
            </w:pPr>
            <w:r>
              <w:rPr>
                <w:rFonts w:ascii="Calibri" w:hAnsi="Calibri"/>
                <w:b w:val="0"/>
                <w:color w:val="202D3A"/>
                <w:sz w:val="18"/>
              </w:rPr>
              <w:t>Teach experimental reasoning pattern</w:t>
            </w:r>
          </w:p>
        </w:tc>
      </w:tr>
      <w:tr>
        <w:trPr>
          <w:cantSplit/>
        </w:trPr>
        <w:tc>
          <w:tcPr>
            <w:tcW w:type="dxa" w:w="2600"/>
            <w:vAlign w:val="center"/>
            <w:tcMar>
              <w:top w:w="80" w:type="dxa"/>
              <w:start w:w="120" w:type="dxa"/>
              <w:bottom w:w="80" w:type="dxa"/>
              <w:end w:w="120" w:type="dxa"/>
            </w:tcMar>
          </w:tcPr>
          <w:p>
            <w:pPr>
              <w:spacing w:after="0" w:line="252" w:lineRule="auto"/>
            </w:pPr>
            <w:r>
              <w:rPr>
                <w:rFonts w:ascii="Calibri" w:hAnsi="Calibri"/>
                <w:b w:val="0"/>
                <w:color w:val="202D3A"/>
                <w:sz w:val="18"/>
              </w:rPr>
              <w:t>Quantitative gap</w:t>
            </w:r>
          </w:p>
        </w:tc>
        <w:tc>
          <w:tcPr>
            <w:tcW w:type="dxa" w:w="4200"/>
            <w:vAlign w:val="center"/>
            <w:tcMar>
              <w:top w:w="80" w:type="dxa"/>
              <w:start w:w="120" w:type="dxa"/>
              <w:bottom w:w="80" w:type="dxa"/>
              <w:end w:w="120" w:type="dxa"/>
            </w:tcMar>
          </w:tcPr>
          <w:p>
            <w:pPr>
              <w:spacing w:after="0" w:line="252" w:lineRule="auto"/>
            </w:pPr>
            <w:r>
              <w:rPr>
                <w:rFonts w:ascii="Calibri" w:hAnsi="Calibri"/>
                <w:b w:val="0"/>
                <w:color w:val="202D3A"/>
                <w:sz w:val="18"/>
              </w:rPr>
              <w:t>Concept is understood but calculation or statistical interpretation fails</w:t>
            </w:r>
          </w:p>
        </w:tc>
        <w:tc>
          <w:tcPr>
            <w:tcW w:type="dxa" w:w="2560"/>
            <w:vAlign w:val="center"/>
            <w:tcMar>
              <w:top w:w="80" w:type="dxa"/>
              <w:start w:w="120" w:type="dxa"/>
              <w:bottom w:w="80" w:type="dxa"/>
              <w:end w:w="120" w:type="dxa"/>
            </w:tcMar>
          </w:tcPr>
          <w:p>
            <w:pPr>
              <w:spacing w:after="0" w:line="252" w:lineRule="auto"/>
            </w:pPr>
            <w:r>
              <w:rPr>
                <w:rFonts w:ascii="Calibri" w:hAnsi="Calibri"/>
                <w:b w:val="0"/>
                <w:color w:val="202D3A"/>
                <w:sz w:val="18"/>
              </w:rPr>
              <w:t>Targeted calculation or data-analysis practice</w:t>
            </w:r>
          </w:p>
        </w:tc>
      </w:tr>
      <w:tr>
        <w:trPr>
          <w:cantSplit/>
        </w:trPr>
        <w:tc>
          <w:tcPr>
            <w:tcW w:type="dxa" w:w="2600"/>
            <w:vAlign w:val="center"/>
            <w:tcMar>
              <w:top w:w="80" w:type="dxa"/>
              <w:start w:w="120" w:type="dxa"/>
              <w:bottom w:w="80" w:type="dxa"/>
              <w:end w:w="120" w:type="dxa"/>
            </w:tcMar>
          </w:tcPr>
          <w:p>
            <w:pPr>
              <w:spacing w:after="0" w:line="252" w:lineRule="auto"/>
            </w:pPr>
            <w:r>
              <w:rPr>
                <w:rFonts w:ascii="Calibri" w:hAnsi="Calibri"/>
                <w:b w:val="0"/>
                <w:color w:val="202D3A"/>
                <w:sz w:val="18"/>
              </w:rPr>
              <w:t>Missing prerequisite</w:t>
            </w:r>
          </w:p>
        </w:tc>
        <w:tc>
          <w:tcPr>
            <w:tcW w:type="dxa" w:w="4200"/>
            <w:vAlign w:val="center"/>
            <w:tcMar>
              <w:top w:w="80" w:type="dxa"/>
              <w:start w:w="120" w:type="dxa"/>
              <w:bottom w:w="80" w:type="dxa"/>
              <w:end w:w="120" w:type="dxa"/>
            </w:tcMar>
          </w:tcPr>
          <w:p>
            <w:pPr>
              <w:spacing w:after="0" w:line="252" w:lineRule="auto"/>
            </w:pPr>
            <w:r>
              <w:rPr>
                <w:rFonts w:ascii="Calibri" w:hAnsi="Calibri"/>
                <w:b w:val="0"/>
                <w:color w:val="202D3A"/>
                <w:sz w:val="18"/>
              </w:rPr>
              <w:t>Fails a simpler precursor task</w:t>
            </w:r>
          </w:p>
        </w:tc>
        <w:tc>
          <w:tcPr>
            <w:tcW w:type="dxa" w:w="2560"/>
            <w:vAlign w:val="center"/>
            <w:tcMar>
              <w:top w:w="80" w:type="dxa"/>
              <w:start w:w="120" w:type="dxa"/>
              <w:bottom w:w="80" w:type="dxa"/>
              <w:end w:w="120" w:type="dxa"/>
            </w:tcMar>
          </w:tcPr>
          <w:p>
            <w:pPr>
              <w:spacing w:after="0" w:line="252" w:lineRule="auto"/>
            </w:pPr>
            <w:r>
              <w:rPr>
                <w:rFonts w:ascii="Calibri" w:hAnsi="Calibri"/>
                <w:b w:val="0"/>
                <w:color w:val="202D3A"/>
                <w:sz w:val="18"/>
              </w:rPr>
              <w:t>Teach prerequisite before returning</w:t>
            </w:r>
          </w:p>
        </w:tc>
      </w:tr>
      <w:tr>
        <w:trPr>
          <w:cantSplit/>
        </w:trPr>
        <w:tc>
          <w:tcPr>
            <w:tcW w:type="dxa" w:w="2600"/>
            <w:vAlign w:val="center"/>
            <w:tcMar>
              <w:top w:w="80" w:type="dxa"/>
              <w:start w:w="120" w:type="dxa"/>
              <w:bottom w:w="80" w:type="dxa"/>
              <w:end w:w="120" w:type="dxa"/>
            </w:tcMar>
          </w:tcPr>
          <w:p>
            <w:pPr>
              <w:spacing w:after="0" w:line="252" w:lineRule="auto"/>
            </w:pPr>
            <w:r>
              <w:rPr>
                <w:rFonts w:ascii="Calibri" w:hAnsi="Calibri"/>
                <w:b w:val="0"/>
                <w:color w:val="202D3A"/>
                <w:sz w:val="18"/>
              </w:rPr>
              <w:t>Fragile knowledge</w:t>
            </w:r>
          </w:p>
        </w:tc>
        <w:tc>
          <w:tcPr>
            <w:tcW w:type="dxa" w:w="4200"/>
            <w:vAlign w:val="center"/>
            <w:tcMar>
              <w:top w:w="80" w:type="dxa"/>
              <w:start w:w="120" w:type="dxa"/>
              <w:bottom w:w="80" w:type="dxa"/>
              <w:end w:w="120" w:type="dxa"/>
            </w:tcMar>
          </w:tcPr>
          <w:p>
            <w:pPr>
              <w:spacing w:after="0" w:line="252" w:lineRule="auto"/>
            </w:pPr>
            <w:r>
              <w:rPr>
                <w:rFonts w:ascii="Calibri" w:hAnsi="Calibri"/>
                <w:b w:val="0"/>
                <w:color w:val="202D3A"/>
                <w:sz w:val="18"/>
              </w:rPr>
              <w:t>Succeeds with support or immediately, then fails later</w:t>
            </w:r>
          </w:p>
        </w:tc>
        <w:tc>
          <w:tcPr>
            <w:tcW w:type="dxa" w:w="2560"/>
            <w:vAlign w:val="center"/>
            <w:tcMar>
              <w:top w:w="80" w:type="dxa"/>
              <w:start w:w="120" w:type="dxa"/>
              <w:bottom w:w="80" w:type="dxa"/>
              <w:end w:w="120" w:type="dxa"/>
            </w:tcMar>
          </w:tcPr>
          <w:p>
            <w:pPr>
              <w:spacing w:after="0" w:line="252" w:lineRule="auto"/>
            </w:pPr>
            <w:r>
              <w:rPr>
                <w:rFonts w:ascii="Calibri" w:hAnsi="Calibri"/>
                <w:b w:val="0"/>
                <w:color w:val="202D3A"/>
                <w:sz w:val="18"/>
              </w:rPr>
              <w:t>Distributed retrieval and varied transfer</w:t>
            </w:r>
          </w:p>
        </w:tc>
      </w:tr>
      <w:tr>
        <w:trPr>
          <w:cantSplit/>
        </w:trPr>
        <w:tc>
          <w:tcPr>
            <w:tcW w:type="dxa" w:w="2600"/>
            <w:vAlign w:val="center"/>
            <w:tcMar>
              <w:top w:w="80" w:type="dxa"/>
              <w:start w:w="120" w:type="dxa"/>
              <w:bottom w:w="80" w:type="dxa"/>
              <w:end w:w="120" w:type="dxa"/>
            </w:tcMar>
          </w:tcPr>
          <w:p>
            <w:pPr>
              <w:spacing w:after="0" w:line="252" w:lineRule="auto"/>
            </w:pPr>
            <w:r>
              <w:rPr>
                <w:rFonts w:ascii="Calibri" w:hAnsi="Calibri"/>
                <w:b w:val="0"/>
                <w:color w:val="202D3A"/>
                <w:sz w:val="18"/>
              </w:rPr>
              <w:t>Broad knowledge gap</w:t>
            </w:r>
          </w:p>
        </w:tc>
        <w:tc>
          <w:tcPr>
            <w:tcW w:type="dxa" w:w="4200"/>
            <w:vAlign w:val="center"/>
            <w:tcMar>
              <w:top w:w="80" w:type="dxa"/>
              <w:start w:w="120" w:type="dxa"/>
              <w:bottom w:w="80" w:type="dxa"/>
              <w:end w:w="120" w:type="dxa"/>
            </w:tcMar>
          </w:tcPr>
          <w:p>
            <w:pPr>
              <w:spacing w:after="0" w:line="252" w:lineRule="auto"/>
            </w:pPr>
            <w:r>
              <w:rPr>
                <w:rFonts w:ascii="Calibri" w:hAnsi="Calibri"/>
                <w:b w:val="0"/>
                <w:color w:val="202D3A"/>
                <w:sz w:val="18"/>
              </w:rPr>
              <w:t>Multiple prerequisite chains are absent</w:t>
            </w:r>
          </w:p>
        </w:tc>
        <w:tc>
          <w:tcPr>
            <w:tcW w:type="dxa" w:w="2560"/>
            <w:vAlign w:val="center"/>
            <w:tcMar>
              <w:top w:w="80" w:type="dxa"/>
              <w:start w:w="120" w:type="dxa"/>
              <w:bottom w:w="80" w:type="dxa"/>
              <w:end w:w="120" w:type="dxa"/>
            </w:tcMar>
          </w:tcPr>
          <w:p>
            <w:pPr>
              <w:spacing w:after="0" w:line="252" w:lineRule="auto"/>
            </w:pPr>
            <w:r>
              <w:rPr>
                <w:rFonts w:ascii="Calibri" w:hAnsi="Calibri"/>
                <w:b w:val="0"/>
                <w:color w:val="202D3A"/>
                <w:sz w:val="18"/>
              </w:rPr>
              <w:t>Focused foundation lesson or deprioritize for short-window return</w:t>
            </w:r>
          </w:p>
        </w:tc>
      </w:tr>
      <w:tr>
        <w:trPr>
          <w:cantSplit/>
        </w:trPr>
        <w:tc>
          <w:tcPr>
            <w:tcW w:type="dxa" w:w="2600"/>
            <w:vAlign w:val="center"/>
            <w:tcMar>
              <w:top w:w="80" w:type="dxa"/>
              <w:start w:w="120" w:type="dxa"/>
              <w:bottom w:w="80" w:type="dxa"/>
              <w:end w:w="120" w:type="dxa"/>
            </w:tcMar>
          </w:tcPr>
          <w:p>
            <w:pPr>
              <w:spacing w:after="0" w:line="252" w:lineRule="auto"/>
            </w:pPr>
            <w:r>
              <w:rPr>
                <w:rFonts w:ascii="Calibri" w:hAnsi="Calibri"/>
                <w:b w:val="0"/>
                <w:color w:val="202D3A"/>
                <w:sz w:val="18"/>
              </w:rPr>
              <w:t>Durable mastery</w:t>
            </w:r>
          </w:p>
        </w:tc>
        <w:tc>
          <w:tcPr>
            <w:tcW w:type="dxa" w:w="4200"/>
            <w:vAlign w:val="center"/>
            <w:tcMar>
              <w:top w:w="80" w:type="dxa"/>
              <w:start w:w="120" w:type="dxa"/>
              <w:bottom w:w="80" w:type="dxa"/>
              <w:end w:w="120" w:type="dxa"/>
            </w:tcMar>
          </w:tcPr>
          <w:p>
            <w:pPr>
              <w:spacing w:after="0" w:line="252" w:lineRule="auto"/>
            </w:pPr>
            <w:r>
              <w:rPr>
                <w:rFonts w:ascii="Calibri" w:hAnsi="Calibri"/>
                <w:b w:val="0"/>
                <w:color w:val="202D3A"/>
                <w:sz w:val="18"/>
              </w:rPr>
              <w:t>Independent success across delay and variation</w:t>
            </w:r>
          </w:p>
        </w:tc>
        <w:tc>
          <w:tcPr>
            <w:tcW w:type="dxa" w:w="2560"/>
            <w:vAlign w:val="center"/>
            <w:tcMar>
              <w:top w:w="80" w:type="dxa"/>
              <w:start w:w="120" w:type="dxa"/>
              <w:bottom w:w="80" w:type="dxa"/>
              <w:end w:w="120" w:type="dxa"/>
            </w:tcMar>
          </w:tcPr>
          <w:p>
            <w:pPr>
              <w:spacing w:after="0" w:line="252" w:lineRule="auto"/>
            </w:pPr>
            <w:r>
              <w:rPr>
                <w:rFonts w:ascii="Calibri" w:hAnsi="Calibri"/>
                <w:b w:val="0"/>
                <w:color w:val="202D3A"/>
                <w:sz w:val="18"/>
              </w:rPr>
              <w:t>Reduce priority while maintaining occasional retrieval</w:t>
            </w:r>
          </w:p>
        </w:tc>
      </w:tr>
    </w:tbl>
    <w:p>
      <w:pPr>
        <w:spacing w:after="0"/>
      </w:pPr>
    </w:p>
    <w:p>
      <w:pPr>
        <w:pStyle w:val="Heading2"/>
      </w:pPr>
      <w:r>
        <w:t>8.4 Diagnostic Question Selection</w:t>
      </w:r>
    </w:p>
    <w:p>
      <w:pPr>
        <w:widowControl/>
      </w:pPr>
      <w:r>
        <w:t>The first diagnostic set should maximize information rather than simply sample topics uniformly. Candidate items should:</w:t>
      </w:r>
    </w:p>
    <w:p>
      <w:pPr>
        <w:numPr>
          <w:ilvl w:val="0"/>
          <w:numId w:val="10"/>
        </w:numPr>
        <w:spacing w:after="160" w:line="280" w:lineRule="auto"/>
      </w:pPr>
      <w:r>
        <w:t>Cover high-weight content and practices.</w:t>
      </w:r>
    </w:p>
    <w:p>
      <w:pPr>
        <w:numPr>
          <w:ilvl w:val="0"/>
          <w:numId w:val="10"/>
        </w:numPr>
        <w:spacing w:after="160" w:line="280" w:lineRule="auto"/>
      </w:pPr>
      <w:r>
        <w:t>Discriminate among common misconceptions.</w:t>
      </w:r>
    </w:p>
    <w:p>
      <w:pPr>
        <w:numPr>
          <w:ilvl w:val="0"/>
          <w:numId w:val="10"/>
        </w:numPr>
        <w:spacing w:after="160" w:line="280" w:lineRule="auto"/>
      </w:pPr>
      <w:r>
        <w:t>Include MCQ and FRQ evidence.</w:t>
      </w:r>
    </w:p>
    <w:p>
      <w:pPr>
        <w:numPr>
          <w:ilvl w:val="0"/>
          <w:numId w:val="10"/>
        </w:numPr>
        <w:spacing w:after="160" w:line="280" w:lineRule="auto"/>
      </w:pPr>
      <w:r>
        <w:t>Vary representations and task types.</w:t>
      </w:r>
    </w:p>
    <w:p>
      <w:pPr>
        <w:numPr>
          <w:ilvl w:val="0"/>
          <w:numId w:val="10"/>
        </w:numPr>
        <w:spacing w:after="160" w:line="280" w:lineRule="auto"/>
      </w:pPr>
      <w:r>
        <w:t>Have strong scoring reliability.</w:t>
      </w:r>
    </w:p>
    <w:p>
      <w:pPr>
        <w:numPr>
          <w:ilvl w:val="0"/>
          <w:numId w:val="10"/>
        </w:numPr>
        <w:spacing w:after="160" w:line="280" w:lineRule="auto"/>
      </w:pPr>
      <w:r>
        <w:t>Be short enough to preserve study time.</w:t>
      </w:r>
    </w:p>
    <w:p>
      <w:pPr>
        <w:numPr>
          <w:ilvl w:val="0"/>
          <w:numId w:val="10"/>
        </w:numPr>
        <w:spacing w:after="160" w:line="280" w:lineRule="auto"/>
      </w:pPr>
      <w:r>
        <w:t>Avoid clustering several items on the same prerequisite unless needed.</w:t>
      </w:r>
    </w:p>
    <w:p>
      <w:pPr>
        <w:widowControl/>
      </w:pPr>
      <w:r>
        <w:t>The learner may skip the broad diagnostic and begin with a requested topic or question. Cramapple then builds the model opportunistically.</w:t>
      </w:r>
    </w:p>
    <w:p>
      <w:pPr>
        <w:pStyle w:val="Heading2"/>
      </w:pPr>
      <w:r>
        <w:t>8.5 Stuck-State Evidence and Escalation</w:t>
      </w:r>
    </w:p>
    <w:p>
      <w:pPr>
        <w:widowControl/>
      </w:pPr>
      <w:r>
        <w:t>Repeated misses are not equivalent evidence. The escalation policy weights attempts:</w:t>
      </w:r>
    </w:p>
    <w:tbl>
      <w:tblPr>
        <w:tblStyle w:val="TableGrid"/>
        <w:tblW w:type="dxa" w:w="9360"/>
        <w:jc w:val="left"/>
        <w:tblLayout w:type="fixed"/>
        <w:tblLook w:firstColumn="1" w:firstRow="1" w:lastColumn="0" w:lastRow="0" w:noHBand="0" w:noVBand="1" w:val="04A0"/>
        <w:tblInd w:w="120" w:type="dxa"/>
      </w:tblPr>
      <w:tblGrid>
        <w:gridCol w:w="3000"/>
        <w:gridCol w:w="6360"/>
      </w:tblGrid>
      <w:tr>
        <w:trPr>
          <w:tblHeader w:val="true"/>
          <w:cantSplit/>
        </w:trPr>
        <w:tc>
          <w:tcPr>
            <w:tcW w:type="dxa" w:w="3000"/>
            <w:vAlign w:val="center"/>
            <w:tcMar>
              <w:top w:w="80" w:type="dxa"/>
              <w:start w:w="120" w:type="dxa"/>
              <w:bottom w:w="80" w:type="dxa"/>
              <w:end w:w="120" w:type="dxa"/>
            </w:tcMar>
            <w:shd w:fill="F2F4F7"/>
          </w:tcPr>
          <w:p>
            <w:pPr>
              <w:spacing w:after="0" w:line="252" w:lineRule="auto"/>
            </w:pPr>
            <w:r>
              <w:rPr>
                <w:rFonts w:ascii="Calibri" w:hAnsi="Calibri"/>
                <w:b/>
                <w:color w:val="202D3A"/>
                <w:sz w:val="18"/>
              </w:rPr>
              <w:t>Attempt evidence</w:t>
            </w:r>
          </w:p>
        </w:tc>
        <w:tc>
          <w:tcPr>
            <w:tcW w:type="dxa" w:w="6360"/>
            <w:vAlign w:val="center"/>
            <w:tcMar>
              <w:top w:w="80" w:type="dxa"/>
              <w:start w:w="120" w:type="dxa"/>
              <w:bottom w:w="80" w:type="dxa"/>
              <w:end w:w="120" w:type="dxa"/>
            </w:tcMar>
            <w:shd w:fill="F2F4F7"/>
          </w:tcPr>
          <w:p>
            <w:pPr>
              <w:spacing w:after="0" w:line="252" w:lineRule="auto"/>
            </w:pPr>
            <w:r>
              <w:rPr>
                <w:rFonts w:ascii="Calibri" w:hAnsi="Calibri"/>
                <w:b/>
                <w:color w:val="202D3A"/>
                <w:sz w:val="18"/>
              </w:rPr>
              <w:t>Failure weight</w:t>
            </w:r>
          </w:p>
        </w:tc>
      </w:tr>
      <w:tr>
        <w:trPr>
          <w:cantSplit/>
        </w:trPr>
        <w:tc>
          <w:tcPr>
            <w:tcW w:type="dxa" w:w="3000"/>
            <w:vAlign w:val="center"/>
            <w:tcMar>
              <w:top w:w="80" w:type="dxa"/>
              <w:start w:w="120" w:type="dxa"/>
              <w:bottom w:w="80" w:type="dxa"/>
              <w:end w:w="120" w:type="dxa"/>
            </w:tcMar>
          </w:tcPr>
          <w:p>
            <w:pPr>
              <w:spacing w:after="0" w:line="252" w:lineRule="auto"/>
            </w:pPr>
            <w:r>
              <w:rPr>
                <w:rFonts w:ascii="Calibri" w:hAnsi="Calibri"/>
                <w:b w:val="0"/>
                <w:color w:val="202D3A"/>
                <w:sz w:val="18"/>
              </w:rPr>
              <w:t>Independent varied failure after delay</w:t>
            </w:r>
          </w:p>
        </w:tc>
        <w:tc>
          <w:tcPr>
            <w:tcW w:type="dxa" w:w="6360"/>
            <w:vAlign w:val="center"/>
            <w:tcMar>
              <w:top w:w="80" w:type="dxa"/>
              <w:start w:w="120" w:type="dxa"/>
              <w:bottom w:w="80" w:type="dxa"/>
              <w:end w:w="120" w:type="dxa"/>
            </w:tcMar>
          </w:tcPr>
          <w:p>
            <w:pPr>
              <w:spacing w:after="0" w:line="252" w:lineRule="auto"/>
            </w:pPr>
            <w:r>
              <w:rPr>
                <w:rFonts w:ascii="Calibri" w:hAnsi="Calibri"/>
                <w:b w:val="0"/>
                <w:color w:val="202D3A"/>
                <w:sz w:val="18"/>
              </w:rPr>
              <w:t>1.00</w:t>
            </w:r>
          </w:p>
        </w:tc>
      </w:tr>
      <w:tr>
        <w:trPr>
          <w:cantSplit/>
        </w:trPr>
        <w:tc>
          <w:tcPr>
            <w:tcW w:type="dxa" w:w="3000"/>
            <w:vAlign w:val="center"/>
            <w:tcMar>
              <w:top w:w="80" w:type="dxa"/>
              <w:start w:w="120" w:type="dxa"/>
              <w:bottom w:w="80" w:type="dxa"/>
              <w:end w:w="120" w:type="dxa"/>
            </w:tcMar>
          </w:tcPr>
          <w:p>
            <w:pPr>
              <w:spacing w:after="0" w:line="252" w:lineRule="auto"/>
            </w:pPr>
            <w:r>
              <w:rPr>
                <w:rFonts w:ascii="Calibri" w:hAnsi="Calibri"/>
                <w:b w:val="0"/>
                <w:color w:val="202D3A"/>
                <w:sz w:val="18"/>
              </w:rPr>
              <w:t>Independent varied failure in the same session</w:t>
            </w:r>
          </w:p>
        </w:tc>
        <w:tc>
          <w:tcPr>
            <w:tcW w:type="dxa" w:w="6360"/>
            <w:vAlign w:val="center"/>
            <w:tcMar>
              <w:top w:w="80" w:type="dxa"/>
              <w:start w:w="120" w:type="dxa"/>
              <w:bottom w:w="80" w:type="dxa"/>
              <w:end w:w="120" w:type="dxa"/>
            </w:tcMar>
          </w:tcPr>
          <w:p>
            <w:pPr>
              <w:spacing w:after="0" w:line="252" w:lineRule="auto"/>
            </w:pPr>
            <w:r>
              <w:rPr>
                <w:rFonts w:ascii="Calibri" w:hAnsi="Calibri"/>
                <w:b w:val="0"/>
                <w:color w:val="202D3A"/>
                <w:sz w:val="18"/>
              </w:rPr>
              <w:t>0.65</w:t>
            </w:r>
          </w:p>
        </w:tc>
      </w:tr>
      <w:tr>
        <w:trPr>
          <w:cantSplit/>
        </w:trPr>
        <w:tc>
          <w:tcPr>
            <w:tcW w:type="dxa" w:w="3000"/>
            <w:vAlign w:val="center"/>
            <w:tcMar>
              <w:top w:w="80" w:type="dxa"/>
              <w:start w:w="120" w:type="dxa"/>
              <w:bottom w:w="80" w:type="dxa"/>
              <w:end w:w="120" w:type="dxa"/>
            </w:tcMar>
          </w:tcPr>
          <w:p>
            <w:pPr>
              <w:spacing w:after="0" w:line="252" w:lineRule="auto"/>
            </w:pPr>
            <w:r>
              <w:rPr>
                <w:rFonts w:ascii="Calibri" w:hAnsi="Calibri"/>
                <w:b w:val="0"/>
                <w:color w:val="202D3A"/>
                <w:sz w:val="18"/>
              </w:rPr>
              <w:t>Repeated failure on the same or nearly identical item</w:t>
            </w:r>
          </w:p>
        </w:tc>
        <w:tc>
          <w:tcPr>
            <w:tcW w:type="dxa" w:w="6360"/>
            <w:vAlign w:val="center"/>
            <w:tcMar>
              <w:top w:w="80" w:type="dxa"/>
              <w:start w:w="120" w:type="dxa"/>
              <w:bottom w:w="80" w:type="dxa"/>
              <w:end w:w="120" w:type="dxa"/>
            </w:tcMar>
          </w:tcPr>
          <w:p>
            <w:pPr>
              <w:spacing w:after="0" w:line="252" w:lineRule="auto"/>
            </w:pPr>
            <w:r>
              <w:rPr>
                <w:rFonts w:ascii="Calibri" w:hAnsi="Calibri"/>
                <w:b w:val="0"/>
                <w:color w:val="202D3A"/>
                <w:sz w:val="18"/>
              </w:rPr>
              <w:t>0.35</w:t>
            </w:r>
          </w:p>
        </w:tc>
      </w:tr>
      <w:tr>
        <w:trPr>
          <w:cantSplit/>
        </w:trPr>
        <w:tc>
          <w:tcPr>
            <w:tcW w:type="dxa" w:w="3000"/>
            <w:vAlign w:val="center"/>
            <w:tcMar>
              <w:top w:w="80" w:type="dxa"/>
              <w:start w:w="120" w:type="dxa"/>
              <w:bottom w:w="80" w:type="dxa"/>
              <w:end w:w="120" w:type="dxa"/>
            </w:tcMar>
          </w:tcPr>
          <w:p>
            <w:pPr>
              <w:spacing w:after="0" w:line="252" w:lineRule="auto"/>
            </w:pPr>
            <w:r>
              <w:rPr>
                <w:rFonts w:ascii="Calibri" w:hAnsi="Calibri"/>
                <w:b w:val="0"/>
                <w:color w:val="202D3A"/>
                <w:sz w:val="18"/>
              </w:rPr>
              <w:t>Heavily assisted, incomplete, or off-task attempt</w:t>
            </w:r>
          </w:p>
        </w:tc>
        <w:tc>
          <w:tcPr>
            <w:tcW w:type="dxa" w:w="6360"/>
            <w:vAlign w:val="center"/>
            <w:tcMar>
              <w:top w:w="80" w:type="dxa"/>
              <w:start w:w="120" w:type="dxa"/>
              <w:bottom w:w="80" w:type="dxa"/>
              <w:end w:w="120" w:type="dxa"/>
            </w:tcMar>
          </w:tcPr>
          <w:p>
            <w:pPr>
              <w:spacing w:after="0" w:line="252" w:lineRule="auto"/>
            </w:pPr>
            <w:r>
              <w:rPr>
                <w:rFonts w:ascii="Calibri" w:hAnsi="Calibri"/>
                <w:b w:val="0"/>
                <w:color w:val="202D3A"/>
                <w:sz w:val="18"/>
              </w:rPr>
              <w:t>0.00</w:t>
            </w:r>
          </w:p>
        </w:tc>
      </w:tr>
      <w:tr>
        <w:trPr>
          <w:cantSplit/>
        </w:trPr>
        <w:tc>
          <w:tcPr>
            <w:tcW w:type="dxa" w:w="3000"/>
            <w:vAlign w:val="center"/>
            <w:tcMar>
              <w:top w:w="80" w:type="dxa"/>
              <w:start w:w="120" w:type="dxa"/>
              <w:bottom w:w="80" w:type="dxa"/>
              <w:end w:w="120" w:type="dxa"/>
            </w:tcMar>
          </w:tcPr>
          <w:p>
            <w:pPr>
              <w:spacing w:after="0" w:line="252" w:lineRule="auto"/>
            </w:pPr>
            <w:r>
              <w:rPr>
                <w:rFonts w:ascii="Calibri" w:hAnsi="Calibri"/>
                <w:b w:val="0"/>
                <w:color w:val="202D3A"/>
                <w:sz w:val="18"/>
              </w:rPr>
              <w:t>Source, rubric, or grading uncertainty</w:t>
            </w:r>
          </w:p>
        </w:tc>
        <w:tc>
          <w:tcPr>
            <w:tcW w:type="dxa" w:w="6360"/>
            <w:vAlign w:val="center"/>
            <w:tcMar>
              <w:top w:w="80" w:type="dxa"/>
              <w:start w:w="120" w:type="dxa"/>
              <w:bottom w:w="80" w:type="dxa"/>
              <w:end w:w="120" w:type="dxa"/>
            </w:tcMar>
          </w:tcPr>
          <w:p>
            <w:pPr>
              <w:spacing w:after="0" w:line="252" w:lineRule="auto"/>
            </w:pPr>
            <w:r>
              <w:rPr>
                <w:rFonts w:ascii="Calibri" w:hAnsi="Calibri"/>
                <w:b w:val="0"/>
                <w:color w:val="202D3A"/>
                <w:sz w:val="18"/>
              </w:rPr>
              <w:t xml:space="preserve">0.00; route to </w:t>
            </w:r>
            <w:r>
              <w:rPr>
                <w:rFonts w:ascii="Calibri" w:hAnsi="Calibri"/>
                <w:b w:val="0"/>
                <w:color w:val="202D3A"/>
                <w:sz w:val="18"/>
              </w:rPr>
              <w:t>content_uncertain</w:t>
            </w:r>
          </w:p>
        </w:tc>
      </w:tr>
    </w:tbl>
    <w:p>
      <w:pPr>
        <w:spacing w:after="0"/>
      </w:pPr>
    </w:p>
    <w:p>
      <w:pPr>
        <w:widowControl/>
      </w:pPr>
      <w:r>
        <w:t>A skill-and-task key becomes an escalation candidate at cumulative evidence of 1.65 when there are at least two independent attempts, two distinct items or surfaces, and a failed ordinary intervention followed by independent retry.</w:t>
      </w:r>
    </w:p>
    <w:p>
      <w:pPr>
        <w:widowControl/>
      </w:pPr>
      <w:r>
        <w:t>Stuck state is warranted when the candidate also has a discriminating probe result, two failed intervention classes, a delayed failure after immediate success, or a learner request to Move On. Low diagnostic confidence alone is not sufficient.</w:t>
      </w:r>
    </w:p>
    <w:p>
      <w:pPr>
        <w:widowControl/>
      </w:pPr>
      <w:r>
        <w:t xml:space="preserve">The detailed policy, including calibration requirements, is defined in </w:t>
      </w:r>
      <w:r>
        <w:rPr>
          <w:rFonts w:ascii="Consolas" w:hAnsi="Consolas"/>
          <w:sz w:val="19"/>
        </w:rPr>
        <w:t>LEARNING_SYSTEM_STUCK.md</w:t>
      </w:r>
      <w:r>
        <w:t>.</w:t>
      </w:r>
    </w:p>
    <w:p>
      <w:pPr>
        <w:pStyle w:val="Heading1"/>
      </w:pPr>
      <w:r>
        <w:t>9. Weakness, Improvability, and Exam Value</w:t>
      </w:r>
    </w:p>
    <w:p>
      <w:pPr>
        <w:pStyle w:val="Heading2"/>
      </w:pPr>
      <w:r>
        <w:t>9.1 Separate Concepts</w:t>
      </w:r>
    </w:p>
    <w:p>
      <w:pPr>
        <w:numPr>
          <w:ilvl w:val="0"/>
          <w:numId w:val="10"/>
        </w:numPr>
        <w:spacing w:after="160" w:line="280" w:lineRule="auto"/>
      </w:pPr>
      <w:r>
        <w:rPr>
          <w:b/>
        </w:rPr>
        <w:t>Weakness:</w:t>
      </w:r>
      <w:r>
        <w:t xml:space="preserve"> current estimated deficit.</w:t>
      </w:r>
    </w:p>
    <w:p>
      <w:pPr>
        <w:numPr>
          <w:ilvl w:val="0"/>
          <w:numId w:val="10"/>
        </w:numPr>
        <w:spacing w:after="160" w:line="280" w:lineRule="auto"/>
      </w:pPr>
      <w:r>
        <w:rPr>
          <w:b/>
        </w:rPr>
        <w:t>Improvability:</w:t>
      </w:r>
      <w:r>
        <w:t xml:space="preserve"> expected gain achievable within remaining time.</w:t>
      </w:r>
    </w:p>
    <w:p>
      <w:pPr>
        <w:numPr>
          <w:ilvl w:val="0"/>
          <w:numId w:val="10"/>
        </w:numPr>
        <w:spacing w:after="160" w:line="280" w:lineRule="auto"/>
      </w:pPr>
      <w:r>
        <w:rPr>
          <w:b/>
        </w:rPr>
        <w:t>Exam value:</w:t>
      </w:r>
      <w:r>
        <w:t xml:space="preserve"> expected contribution of that gain to exam performance.</w:t>
      </w:r>
    </w:p>
    <w:p>
      <w:pPr>
        <w:widowControl/>
      </w:pPr>
      <w:r>
        <w:t>The weakest area is not automatically the best next action.</w:t>
      </w:r>
    </w:p>
    <w:p>
      <w:pPr>
        <w:pStyle w:val="Heading2"/>
      </w:pPr>
      <w:r>
        <w:t>9.2 Initial Improvability Estimate</w:t>
      </w:r>
    </w:p>
    <w:p>
      <w:pPr>
        <w:widowControl/>
      </w:pPr>
      <w:r>
        <w:t>Before Cramapple has enough learner-specific evidence, the estimate should combine:</w:t>
      </w:r>
    </w:p>
    <w:p>
      <w:pPr>
        <w:numPr>
          <w:ilvl w:val="0"/>
          <w:numId w:val="10"/>
        </w:numPr>
        <w:spacing w:after="160" w:line="280" w:lineRule="auto"/>
      </w:pPr>
      <w:r>
        <w:t>Tutor judgment about commonly responsive gaps.</w:t>
      </w:r>
    </w:p>
    <w:p>
      <w:pPr>
        <w:numPr>
          <w:ilvl w:val="0"/>
          <w:numId w:val="10"/>
        </w:numPr>
        <w:spacing w:after="160" w:line="280" w:lineRule="auto"/>
      </w:pPr>
      <w:r>
        <w:t>Intervention type.</w:t>
      </w:r>
    </w:p>
    <w:p>
      <w:pPr>
        <w:numPr>
          <w:ilvl w:val="0"/>
          <w:numId w:val="10"/>
        </w:numPr>
        <w:spacing w:after="160" w:line="280" w:lineRule="auto"/>
      </w:pPr>
      <w:r>
        <w:t>Prerequisite depth.</w:t>
      </w:r>
    </w:p>
    <w:p>
      <w:pPr>
        <w:numPr>
          <w:ilvl w:val="0"/>
          <w:numId w:val="10"/>
        </w:numPr>
        <w:spacing w:after="160" w:line="280" w:lineRule="auto"/>
      </w:pPr>
      <w:r>
        <w:t>Starting performance.</w:t>
      </w:r>
    </w:p>
    <w:p>
      <w:pPr>
        <w:numPr>
          <w:ilvl w:val="0"/>
          <w:numId w:val="10"/>
        </w:numPr>
        <w:spacing w:after="160" w:line="280" w:lineRule="auto"/>
      </w:pPr>
      <w:r>
        <w:t>Task specificity.</w:t>
      </w:r>
    </w:p>
    <w:p>
      <w:pPr>
        <w:numPr>
          <w:ilvl w:val="0"/>
          <w:numId w:val="10"/>
        </w:numPr>
        <w:spacing w:after="160" w:line="280" w:lineRule="auto"/>
      </w:pPr>
      <w:r>
        <w:t>Days and study opportunities remaining.</w:t>
      </w:r>
    </w:p>
    <w:p>
      <w:pPr>
        <w:numPr>
          <w:ilvl w:val="0"/>
          <w:numId w:val="10"/>
        </w:numPr>
        <w:spacing w:after="160" w:line="280" w:lineRule="auto"/>
      </w:pPr>
      <w:r>
        <w:t>Population evidence from validated Cramapple data when available.</w:t>
      </w:r>
    </w:p>
    <w:p>
      <w:pPr>
        <w:pStyle w:val="Heading2"/>
      </w:pPr>
      <w:r>
        <w:t>9.3 Updating Improvability</w:t>
      </w:r>
    </w:p>
    <w:p>
      <w:pPr>
        <w:widowControl/>
      </w:pPr>
      <w:r>
        <w:t>Observed responsiveness should update the estimate:</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100" w:type="dxa"/>
              <w:start w:w="180" w:type="dxa"/>
              <w:bottom w:w="100" w:type="dxa"/>
              <w:end w:w="180" w:type="dxa"/>
            </w:tcMar>
            <w:shd w:fill="F4F6F9"/>
          </w:tcPr>
          <w:p>
            <w:pPr>
              <w:spacing w:after="0" w:line="240" w:lineRule="auto"/>
            </w:pPr>
            <w:r>
              <w:rPr>
                <w:rFonts w:ascii="Consolas" w:hAnsi="Consolas"/>
                <w:color w:val="202D3A"/>
                <w:sz w:val="16"/>
              </w:rPr>
              <w:t>Observed improvability</w:t>
              <w:br/>
              <w:t xml:space="preserve">  = immediate transfer gain</w:t>
              <w:br/>
              <w:t xml:space="preserve">  x delayed retention</w:t>
              <w:br/>
              <w:t xml:space="preserve">  x independence factor</w:t>
              <w:br/>
              <w:t xml:space="preserve">  x cross-context transfer factor</w:t>
              <w:br/>
              <w:t xml:space="preserve">  x remaining practice opportunity</w:t>
            </w:r>
          </w:p>
        </w:tc>
      </w:tr>
    </w:tbl>
    <w:p>
      <w:pPr>
        <w:spacing w:after="0"/>
      </w:pPr>
    </w:p>
    <w:p>
      <w:pPr>
        <w:widowControl/>
      </w:pPr>
      <w:r>
        <w:t>This is a conceptual structure, not a final formula.</w:t>
      </w:r>
    </w:p>
    <w:p>
      <w:pPr>
        <w:widowControl/>
      </w:pPr>
      <w:r>
        <w:t>A student who moves from 0/2 to 2/2 after a five-minute criterion lesson and retains the skill two days later has stronger improvability evidence than a student who remains dependent on hints after a long prerequisite lesson.</w:t>
      </w:r>
    </w:p>
    <w:p>
      <w:pPr>
        <w:pStyle w:val="Heading2"/>
      </w:pPr>
      <w:r>
        <w:t>9.4 Next-Best-Action Objective</w:t>
      </w:r>
    </w:p>
    <w:p>
      <w:pPr>
        <w:widowControl/>
      </w:pPr>
      <w:r>
        <w:t>A candidate learning action should be ranked using:</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100" w:type="dxa"/>
              <w:start w:w="180" w:type="dxa"/>
              <w:bottom w:w="100" w:type="dxa"/>
              <w:end w:w="180" w:type="dxa"/>
            </w:tcMar>
            <w:shd w:fill="F4F6F9"/>
          </w:tcPr>
          <w:p>
            <w:pPr>
              <w:spacing w:after="0" w:line="240" w:lineRule="auto"/>
            </w:pPr>
            <w:r>
              <w:rPr>
                <w:rFonts w:ascii="Consolas" w:hAnsi="Consolas"/>
                <w:color w:val="202D3A"/>
                <w:sz w:val="16"/>
              </w:rPr>
              <w:t>Expected exam contribution</w:t>
              <w:br/>
              <w:t xml:space="preserve">  = exam opportunity</w:t>
              <w:br/>
              <w:t xml:space="preserve">  x current deficit</w:t>
              <w:br/>
              <w:t xml:space="preserve">  x probability of improvement</w:t>
              <w:br/>
              <w:t xml:space="preserve">  x probability of retention through exam day</w:t>
              <w:br/>
              <w:t xml:space="preserve">  x probability of transfer to exam form</w:t>
              <w:br/>
              <w:t xml:space="preserve">  x evidence confidence</w:t>
              <w:br/>
              <w:t xml:space="preserve">  / expected time cost</w:t>
            </w:r>
          </w:p>
        </w:tc>
      </w:tr>
    </w:tbl>
    <w:p>
      <w:pPr>
        <w:spacing w:after="0"/>
      </w:pPr>
    </w:p>
    <w:p>
      <w:pPr>
        <w:widowControl/>
      </w:pPr>
      <w:r>
        <w:t>The production design must also apply constraints:</w:t>
      </w:r>
    </w:p>
    <w:p>
      <w:pPr>
        <w:numPr>
          <w:ilvl w:val="0"/>
          <w:numId w:val="10"/>
        </w:numPr>
        <w:spacing w:after="160" w:line="280" w:lineRule="auto"/>
      </w:pPr>
      <w:r>
        <w:t>Due retrieval obligations.</w:t>
      </w:r>
    </w:p>
    <w:p>
      <w:pPr>
        <w:numPr>
          <w:ilvl w:val="0"/>
          <w:numId w:val="10"/>
        </w:numPr>
        <w:spacing w:after="160" w:line="280" w:lineRule="auto"/>
      </w:pPr>
      <w:r>
        <w:t>Prerequisite order.</w:t>
      </w:r>
    </w:p>
    <w:p>
      <w:pPr>
        <w:numPr>
          <w:ilvl w:val="0"/>
          <w:numId w:val="10"/>
        </w:numPr>
        <w:spacing w:after="160" w:line="280" w:lineRule="auto"/>
      </w:pPr>
      <w:r>
        <w:t>MCQ/FRQ balance.</w:t>
      </w:r>
    </w:p>
    <w:p>
      <w:pPr>
        <w:numPr>
          <w:ilvl w:val="0"/>
          <w:numId w:val="10"/>
        </w:numPr>
        <w:spacing w:after="160" w:line="280" w:lineRule="auto"/>
      </w:pPr>
      <w:r>
        <w:t>Unit and practice diversity.</w:t>
      </w:r>
    </w:p>
    <w:p>
      <w:pPr>
        <w:numPr>
          <w:ilvl w:val="0"/>
          <w:numId w:val="10"/>
        </w:numPr>
        <w:spacing w:after="160" w:line="280" w:lineRule="auto"/>
      </w:pPr>
      <w:r>
        <w:t>Fatigue and session length.</w:t>
      </w:r>
    </w:p>
    <w:p>
      <w:pPr>
        <w:numPr>
          <w:ilvl w:val="0"/>
          <w:numId w:val="10"/>
        </w:numPr>
        <w:spacing w:after="160" w:line="280" w:lineRule="auto"/>
      </w:pPr>
      <w:r>
        <w:t>Content availability and validation state.</w:t>
      </w:r>
    </w:p>
    <w:p>
      <w:pPr>
        <w:numPr>
          <w:ilvl w:val="0"/>
          <w:numId w:val="10"/>
        </w:numPr>
        <w:spacing w:after="160" w:line="280" w:lineRule="auto"/>
      </w:pPr>
      <w:r>
        <w:t>Student goal and agency.</w:t>
      </w:r>
    </w:p>
    <w:p>
      <w:pPr>
        <w:numPr>
          <w:ilvl w:val="0"/>
          <w:numId w:val="10"/>
        </w:numPr>
        <w:spacing w:after="160" w:line="280" w:lineRule="auto"/>
      </w:pPr>
      <w:r>
        <w:t>Avoidance of narrow overfitting to released questions.</w:t>
      </w:r>
    </w:p>
    <w:p>
      <w:pPr>
        <w:pStyle w:val="Heading2"/>
      </w:pPr>
      <w:r>
        <w:t>9.5 Recommendation Explanation</w:t>
      </w:r>
    </w:p>
    <w:p>
      <w:pPr>
        <w:widowControl/>
      </w:pPr>
      <w:r>
        <w:t>Every recommendation should answer:</w:t>
      </w:r>
    </w:p>
    <w:p>
      <w:pPr>
        <w:numPr>
          <w:ilvl w:val="0"/>
          <w:numId w:val="10"/>
        </w:numPr>
        <w:spacing w:after="160" w:line="280" w:lineRule="auto"/>
      </w:pPr>
      <w:r>
        <w:t>What should I do?</w:t>
      </w:r>
    </w:p>
    <w:p>
      <w:pPr>
        <w:numPr>
          <w:ilvl w:val="0"/>
          <w:numId w:val="10"/>
        </w:numPr>
        <w:spacing w:after="160" w:line="280" w:lineRule="auto"/>
      </w:pPr>
      <w:r>
        <w:t>Why was this selected?</w:t>
      </w:r>
    </w:p>
    <w:p>
      <w:pPr>
        <w:numPr>
          <w:ilvl w:val="0"/>
          <w:numId w:val="10"/>
        </w:numPr>
        <w:spacing w:after="160" w:line="280" w:lineRule="auto"/>
      </w:pPr>
      <w:r>
        <w:t>What evidence suggests I need it?</w:t>
      </w:r>
    </w:p>
    <w:p>
      <w:pPr>
        <w:numPr>
          <w:ilvl w:val="0"/>
          <w:numId w:val="10"/>
        </w:numPr>
        <w:spacing w:after="160" w:line="280" w:lineRule="auto"/>
      </w:pPr>
      <w:r>
        <w:t>Why is it valuable on this exam?</w:t>
      </w:r>
    </w:p>
    <w:p>
      <w:pPr>
        <w:numPr>
          <w:ilvl w:val="0"/>
          <w:numId w:val="10"/>
        </w:numPr>
        <w:spacing w:after="160" w:line="280" w:lineRule="auto"/>
      </w:pPr>
      <w:r>
        <w:t>How long should it take?</w:t>
      </w:r>
    </w:p>
    <w:p>
      <w:pPr>
        <w:numPr>
          <w:ilvl w:val="0"/>
          <w:numId w:val="10"/>
        </w:numPr>
        <w:spacing w:after="160" w:line="280" w:lineRule="auto"/>
      </w:pPr>
      <w:r>
        <w:t>When will Cramapple check it again?</w:t>
      </w:r>
    </w:p>
    <w:p>
      <w:pPr>
        <w:numPr>
          <w:ilvl w:val="0"/>
          <w:numId w:val="10"/>
        </w:numPr>
        <w:spacing w:after="160" w:line="280" w:lineRule="auto"/>
      </w:pPr>
      <w:r>
        <w:t>What result would lower or raise its priority?</w:t>
      </w:r>
    </w:p>
    <w:p>
      <w:pPr>
        <w:widowControl/>
      </w:pPr>
      <w:r>
        <w:t>Example:</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120" w:type="dxa"/>
              <w:start w:w="180" w:type="dxa"/>
              <w:bottom w:w="120" w:type="dxa"/>
              <w:end w:w="180" w:type="dxa"/>
            </w:tcMar>
            <w:shd w:fill="F4F6F9"/>
          </w:tcPr>
          <w:p>
            <w:pPr>
              <w:spacing w:after="0"/>
            </w:pPr>
            <w:r>
              <w:rPr>
                <w:rFonts w:ascii="Calibri" w:hAnsi="Calibri"/>
                <w:i/>
                <w:color w:val="202D3A"/>
                <w:sz w:val="21"/>
              </w:rPr>
              <w:t>Practice a short predict-and-justify response on cell signaling. You missed both justification points in two recent attempts, but earned them after a brief prompt. This skill appears repeatedly in FRQs and is due for an independent check today.</w:t>
            </w:r>
          </w:p>
        </w:tc>
      </w:tr>
    </w:tbl>
    <w:p>
      <w:pPr>
        <w:pStyle w:val="Heading1"/>
      </w:pPr>
      <w:r>
        <w:t>10. Instructional Intervention Design</w:t>
      </w:r>
    </w:p>
    <w:p>
      <w:pPr>
        <w:pStyle w:val="Heading2"/>
      </w:pPr>
      <w:r>
        <w:t>10.1 Intervention Ladder</w:t>
      </w:r>
    </w:p>
    <w:p>
      <w:pPr>
        <w:widowControl/>
      </w:pPr>
      <w:r>
        <w:t>Use the least revealing support likely to restart productive work:</w:t>
      </w:r>
    </w:p>
    <w:p>
      <w:pPr>
        <w:numPr>
          <w:ilvl w:val="0"/>
          <w:numId w:val="32"/>
        </w:numPr>
        <w:spacing w:after="160" w:line="280" w:lineRule="auto"/>
      </w:pPr>
      <w:r>
        <w:t>Restate the task and identify the requested operation.</w:t>
      </w:r>
    </w:p>
    <w:p>
      <w:pPr>
        <w:numPr>
          <w:ilvl w:val="0"/>
          <w:numId w:val="32"/>
        </w:numPr>
        <w:spacing w:after="160" w:line="280" w:lineRule="auto"/>
      </w:pPr>
      <w:r>
        <w:t>Direct attention to relevant evidence or representation.</w:t>
      </w:r>
    </w:p>
    <w:p>
      <w:pPr>
        <w:numPr>
          <w:ilvl w:val="0"/>
          <w:numId w:val="32"/>
        </w:numPr>
        <w:spacing w:after="160" w:line="280" w:lineRule="auto"/>
      </w:pPr>
      <w:r>
        <w:t>Ask a guiding question.</w:t>
      </w:r>
    </w:p>
    <w:p>
      <w:pPr>
        <w:numPr>
          <w:ilvl w:val="0"/>
          <w:numId w:val="32"/>
        </w:numPr>
        <w:spacing w:after="160" w:line="280" w:lineRule="auto"/>
      </w:pPr>
      <w:r>
        <w:t>Name the relevant concept or relationship.</w:t>
      </w:r>
    </w:p>
    <w:p>
      <w:pPr>
        <w:numPr>
          <w:ilvl w:val="0"/>
          <w:numId w:val="32"/>
        </w:numPr>
        <w:spacing w:after="160" w:line="280" w:lineRule="auto"/>
      </w:pPr>
      <w:r>
        <w:t>Provide a partial structure or analogous example.</w:t>
      </w:r>
    </w:p>
    <w:p>
      <w:pPr>
        <w:numPr>
          <w:ilvl w:val="0"/>
          <w:numId w:val="32"/>
        </w:numPr>
        <w:spacing w:after="160" w:line="280" w:lineRule="auto"/>
      </w:pPr>
      <w:r>
        <w:t>Show a worked substep.</w:t>
      </w:r>
    </w:p>
    <w:p>
      <w:pPr>
        <w:numPr>
          <w:ilvl w:val="0"/>
          <w:numId w:val="32"/>
        </w:numPr>
        <w:spacing w:after="160" w:line="280" w:lineRule="auto"/>
      </w:pPr>
      <w:r>
        <w:t>Provide a complete model response with explicit criteria.</w:t>
      </w:r>
    </w:p>
    <w:p>
      <w:pPr>
        <w:numPr>
          <w:ilvl w:val="0"/>
          <w:numId w:val="32"/>
        </w:numPr>
        <w:spacing w:after="160" w:line="280" w:lineRule="auto"/>
      </w:pPr>
      <w:r>
        <w:t>Require a new independent transfer attempt.</w:t>
      </w:r>
    </w:p>
    <w:p>
      <w:pPr>
        <w:widowControl/>
      </w:pPr>
      <w:r>
        <w:t>The system records the highest support level used.</w:t>
      </w:r>
    </w:p>
    <w:p>
      <w:pPr>
        <w:pStyle w:val="Heading2"/>
      </w:pPr>
      <w:r>
        <w:t>10.2 Core Intervention Patterns</w:t>
      </w:r>
    </w:p>
    <w:tbl>
      <w:tblPr>
        <w:tblStyle w:val="TableGrid"/>
        <w:tblW w:type="dxa" w:w="9360"/>
        <w:jc w:val="left"/>
        <w:tblLayout w:type="fixed"/>
        <w:tblLook w:firstColumn="1" w:firstRow="1" w:lastColumn="0" w:lastRow="0" w:noHBand="0" w:noVBand="1" w:val="04A0"/>
        <w:tblInd w:w="120" w:type="dxa"/>
      </w:tblPr>
      <w:tblGrid>
        <w:gridCol w:w="3000"/>
        <w:gridCol w:w="6360"/>
      </w:tblGrid>
      <w:tr>
        <w:trPr>
          <w:tblHeader w:val="true"/>
          <w:cantSplit/>
        </w:trPr>
        <w:tc>
          <w:tcPr>
            <w:tcW w:type="dxa" w:w="3000"/>
            <w:vAlign w:val="center"/>
            <w:tcMar>
              <w:top w:w="80" w:type="dxa"/>
              <w:start w:w="120" w:type="dxa"/>
              <w:bottom w:w="80" w:type="dxa"/>
              <w:end w:w="120" w:type="dxa"/>
            </w:tcMar>
            <w:shd w:fill="F2F4F7"/>
          </w:tcPr>
          <w:p>
            <w:pPr>
              <w:spacing w:after="0" w:line="252" w:lineRule="auto"/>
            </w:pPr>
            <w:r>
              <w:rPr>
                <w:rFonts w:ascii="Calibri" w:hAnsi="Calibri"/>
                <w:b/>
                <w:color w:val="202D3A"/>
                <w:sz w:val="18"/>
              </w:rPr>
              <w:t>Pattern</w:t>
            </w:r>
          </w:p>
        </w:tc>
        <w:tc>
          <w:tcPr>
            <w:tcW w:type="dxa" w:w="6360"/>
            <w:vAlign w:val="center"/>
            <w:tcMar>
              <w:top w:w="80" w:type="dxa"/>
              <w:start w:w="120" w:type="dxa"/>
              <w:bottom w:w="80" w:type="dxa"/>
              <w:end w:w="120" w:type="dxa"/>
            </w:tcMar>
            <w:shd w:fill="F2F4F7"/>
          </w:tcPr>
          <w:p>
            <w:pPr>
              <w:spacing w:after="0" w:line="252" w:lineRule="auto"/>
            </w:pPr>
            <w:r>
              <w:rPr>
                <w:rFonts w:ascii="Calibri" w:hAnsi="Calibri"/>
                <w:b/>
                <w:color w:val="202D3A"/>
                <w:sz w:val="18"/>
              </w:rPr>
              <w:t>Use</w:t>
            </w:r>
          </w:p>
        </w:tc>
      </w:tr>
      <w:tr>
        <w:trPr>
          <w:cantSplit/>
        </w:trPr>
        <w:tc>
          <w:tcPr>
            <w:tcW w:type="dxa" w:w="3000"/>
            <w:vAlign w:val="center"/>
            <w:tcMar>
              <w:top w:w="80" w:type="dxa"/>
              <w:start w:w="120" w:type="dxa"/>
              <w:bottom w:w="80" w:type="dxa"/>
              <w:end w:w="120" w:type="dxa"/>
            </w:tcMar>
          </w:tcPr>
          <w:p>
            <w:pPr>
              <w:spacing w:after="0" w:line="252" w:lineRule="auto"/>
            </w:pPr>
            <w:r>
              <w:rPr>
                <w:rFonts w:ascii="Calibri" w:hAnsi="Calibri"/>
                <w:b w:val="0"/>
                <w:color w:val="202D3A"/>
                <w:sz w:val="18"/>
              </w:rPr>
              <w:t>Task contrast</w:t>
            </w:r>
          </w:p>
        </w:tc>
        <w:tc>
          <w:tcPr>
            <w:tcW w:type="dxa" w:w="6360"/>
            <w:vAlign w:val="center"/>
            <w:tcMar>
              <w:top w:w="80" w:type="dxa"/>
              <w:start w:w="120" w:type="dxa"/>
              <w:bottom w:w="80" w:type="dxa"/>
              <w:end w:w="120" w:type="dxa"/>
            </w:tcMar>
          </w:tcPr>
          <w:p>
            <w:pPr>
              <w:spacing w:after="0" w:line="252" w:lineRule="auto"/>
            </w:pPr>
            <w:r>
              <w:rPr>
                <w:rFonts w:ascii="Calibri" w:hAnsi="Calibri"/>
                <w:b w:val="0"/>
                <w:color w:val="202D3A"/>
                <w:sz w:val="18"/>
              </w:rPr>
              <w:t>Distinguish identify, describe, explain, predict, justify, calculate, and construct</w:t>
            </w:r>
          </w:p>
        </w:tc>
      </w:tr>
      <w:tr>
        <w:trPr>
          <w:cantSplit/>
        </w:trPr>
        <w:tc>
          <w:tcPr>
            <w:tcW w:type="dxa" w:w="3000"/>
            <w:vAlign w:val="center"/>
            <w:tcMar>
              <w:top w:w="80" w:type="dxa"/>
              <w:start w:w="120" w:type="dxa"/>
              <w:bottom w:w="80" w:type="dxa"/>
              <w:end w:w="120" w:type="dxa"/>
            </w:tcMar>
          </w:tcPr>
          <w:p>
            <w:pPr>
              <w:spacing w:after="0" w:line="252" w:lineRule="auto"/>
            </w:pPr>
            <w:r>
              <w:rPr>
                <w:rFonts w:ascii="Calibri" w:hAnsi="Calibri"/>
                <w:b w:val="0"/>
                <w:color w:val="202D3A"/>
                <w:sz w:val="18"/>
              </w:rPr>
              <w:t>Misconception contrast</w:t>
            </w:r>
          </w:p>
        </w:tc>
        <w:tc>
          <w:tcPr>
            <w:tcW w:type="dxa" w:w="6360"/>
            <w:vAlign w:val="center"/>
            <w:tcMar>
              <w:top w:w="80" w:type="dxa"/>
              <w:start w:w="120" w:type="dxa"/>
              <w:bottom w:w="80" w:type="dxa"/>
              <w:end w:w="120" w:type="dxa"/>
            </w:tcMar>
          </w:tcPr>
          <w:p>
            <w:pPr>
              <w:spacing w:after="0" w:line="252" w:lineRule="auto"/>
            </w:pPr>
            <w:r>
              <w:rPr>
                <w:rFonts w:ascii="Calibri" w:hAnsi="Calibri"/>
                <w:b w:val="0"/>
                <w:color w:val="202D3A"/>
                <w:sz w:val="18"/>
              </w:rPr>
              <w:t>Compare the learner's model with a scientifically valid alternative</w:t>
            </w:r>
          </w:p>
        </w:tc>
      </w:tr>
      <w:tr>
        <w:trPr>
          <w:cantSplit/>
        </w:trPr>
        <w:tc>
          <w:tcPr>
            <w:tcW w:type="dxa" w:w="3000"/>
            <w:vAlign w:val="center"/>
            <w:tcMar>
              <w:top w:w="80" w:type="dxa"/>
              <w:start w:w="120" w:type="dxa"/>
              <w:bottom w:w="80" w:type="dxa"/>
              <w:end w:w="120" w:type="dxa"/>
            </w:tcMar>
          </w:tcPr>
          <w:p>
            <w:pPr>
              <w:spacing w:after="0" w:line="252" w:lineRule="auto"/>
            </w:pPr>
            <w:r>
              <w:rPr>
                <w:rFonts w:ascii="Calibri" w:hAnsi="Calibri"/>
                <w:b w:val="0"/>
                <w:color w:val="202D3A"/>
                <w:sz w:val="18"/>
              </w:rPr>
              <w:t>Representation translation</w:t>
            </w:r>
          </w:p>
        </w:tc>
        <w:tc>
          <w:tcPr>
            <w:tcW w:type="dxa" w:w="6360"/>
            <w:vAlign w:val="center"/>
            <w:tcMar>
              <w:top w:w="80" w:type="dxa"/>
              <w:start w:w="120" w:type="dxa"/>
              <w:bottom w:w="80" w:type="dxa"/>
              <w:end w:w="120" w:type="dxa"/>
            </w:tcMar>
          </w:tcPr>
          <w:p>
            <w:pPr>
              <w:spacing w:after="0" w:line="252" w:lineRule="auto"/>
            </w:pPr>
            <w:r>
              <w:rPr>
                <w:rFonts w:ascii="Calibri" w:hAnsi="Calibri"/>
                <w:b w:val="0"/>
                <w:color w:val="202D3A"/>
                <w:sz w:val="18"/>
              </w:rPr>
              <w:t>Move among prose, diagram, graph, table, and mathematical model</w:t>
            </w:r>
          </w:p>
        </w:tc>
      </w:tr>
      <w:tr>
        <w:trPr>
          <w:cantSplit/>
        </w:trPr>
        <w:tc>
          <w:tcPr>
            <w:tcW w:type="dxa" w:w="3000"/>
            <w:vAlign w:val="center"/>
            <w:tcMar>
              <w:top w:w="80" w:type="dxa"/>
              <w:start w:w="120" w:type="dxa"/>
              <w:bottom w:w="80" w:type="dxa"/>
              <w:end w:w="120" w:type="dxa"/>
            </w:tcMar>
          </w:tcPr>
          <w:p>
            <w:pPr>
              <w:spacing w:after="0" w:line="252" w:lineRule="auto"/>
            </w:pPr>
            <w:r>
              <w:rPr>
                <w:rFonts w:ascii="Calibri" w:hAnsi="Calibri"/>
                <w:b w:val="0"/>
                <w:color w:val="202D3A"/>
                <w:sz w:val="18"/>
              </w:rPr>
              <w:t>Worked example with fading</w:t>
            </w:r>
          </w:p>
        </w:tc>
        <w:tc>
          <w:tcPr>
            <w:tcW w:type="dxa" w:w="6360"/>
            <w:vAlign w:val="center"/>
            <w:tcMar>
              <w:top w:w="80" w:type="dxa"/>
              <w:start w:w="120" w:type="dxa"/>
              <w:bottom w:w="80" w:type="dxa"/>
              <w:end w:w="120" w:type="dxa"/>
            </w:tcMar>
          </w:tcPr>
          <w:p>
            <w:pPr>
              <w:spacing w:after="0" w:line="252" w:lineRule="auto"/>
            </w:pPr>
            <w:r>
              <w:rPr>
                <w:rFonts w:ascii="Calibri" w:hAnsi="Calibri"/>
                <w:b w:val="0"/>
                <w:color w:val="202D3A"/>
                <w:sz w:val="18"/>
              </w:rPr>
              <w:t>Demonstrate, remove steps, then require independent work</w:t>
            </w:r>
          </w:p>
        </w:tc>
      </w:tr>
      <w:tr>
        <w:trPr>
          <w:cantSplit/>
        </w:trPr>
        <w:tc>
          <w:tcPr>
            <w:tcW w:type="dxa" w:w="3000"/>
            <w:vAlign w:val="center"/>
            <w:tcMar>
              <w:top w:w="80" w:type="dxa"/>
              <w:start w:w="120" w:type="dxa"/>
              <w:bottom w:w="80" w:type="dxa"/>
              <w:end w:w="120" w:type="dxa"/>
            </w:tcMar>
          </w:tcPr>
          <w:p>
            <w:pPr>
              <w:spacing w:after="0" w:line="252" w:lineRule="auto"/>
            </w:pPr>
            <w:r>
              <w:rPr>
                <w:rFonts w:ascii="Calibri" w:hAnsi="Calibri"/>
                <w:b w:val="0"/>
                <w:color w:val="202D3A"/>
                <w:sz w:val="18"/>
              </w:rPr>
              <w:t>Criterion reconstruction</w:t>
            </w:r>
          </w:p>
        </w:tc>
        <w:tc>
          <w:tcPr>
            <w:tcW w:type="dxa" w:w="6360"/>
            <w:vAlign w:val="center"/>
            <w:tcMar>
              <w:top w:w="80" w:type="dxa"/>
              <w:start w:w="120" w:type="dxa"/>
              <w:bottom w:w="80" w:type="dxa"/>
              <w:end w:w="120" w:type="dxa"/>
            </w:tcMar>
          </w:tcPr>
          <w:p>
            <w:pPr>
              <w:spacing w:after="0" w:line="252" w:lineRule="auto"/>
            </w:pPr>
            <w:r>
              <w:rPr>
                <w:rFonts w:ascii="Calibri" w:hAnsi="Calibri"/>
                <w:b w:val="0"/>
                <w:color w:val="202D3A"/>
                <w:sz w:val="18"/>
              </w:rPr>
              <w:t>Show which response clause earns which rubric opportunity</w:t>
            </w:r>
          </w:p>
        </w:tc>
      </w:tr>
      <w:tr>
        <w:trPr>
          <w:cantSplit/>
        </w:trPr>
        <w:tc>
          <w:tcPr>
            <w:tcW w:type="dxa" w:w="3000"/>
            <w:vAlign w:val="center"/>
            <w:tcMar>
              <w:top w:w="80" w:type="dxa"/>
              <w:start w:w="120" w:type="dxa"/>
              <w:bottom w:w="80" w:type="dxa"/>
              <w:end w:w="120" w:type="dxa"/>
            </w:tcMar>
          </w:tcPr>
          <w:p>
            <w:pPr>
              <w:spacing w:after="0" w:line="252" w:lineRule="auto"/>
            </w:pPr>
            <w:r>
              <w:rPr>
                <w:rFonts w:ascii="Calibri" w:hAnsi="Calibri"/>
                <w:b w:val="0"/>
                <w:color w:val="202D3A"/>
                <w:sz w:val="18"/>
              </w:rPr>
              <w:t>Error explanation</w:t>
            </w:r>
          </w:p>
        </w:tc>
        <w:tc>
          <w:tcPr>
            <w:tcW w:type="dxa" w:w="6360"/>
            <w:vAlign w:val="center"/>
            <w:tcMar>
              <w:top w:w="80" w:type="dxa"/>
              <w:start w:w="120" w:type="dxa"/>
              <w:bottom w:w="80" w:type="dxa"/>
              <w:end w:w="120" w:type="dxa"/>
            </w:tcMar>
          </w:tcPr>
          <w:p>
            <w:pPr>
              <w:spacing w:after="0" w:line="252" w:lineRule="auto"/>
            </w:pPr>
            <w:r>
              <w:rPr>
                <w:rFonts w:ascii="Calibri" w:hAnsi="Calibri"/>
                <w:b w:val="0"/>
                <w:color w:val="202D3A"/>
                <w:sz w:val="18"/>
              </w:rPr>
              <w:t>Explain why an attractive distractor or response fails</w:t>
            </w:r>
          </w:p>
        </w:tc>
      </w:tr>
      <w:tr>
        <w:trPr>
          <w:cantSplit/>
        </w:trPr>
        <w:tc>
          <w:tcPr>
            <w:tcW w:type="dxa" w:w="3000"/>
            <w:vAlign w:val="center"/>
            <w:tcMar>
              <w:top w:w="80" w:type="dxa"/>
              <w:start w:w="120" w:type="dxa"/>
              <w:bottom w:w="80" w:type="dxa"/>
              <w:end w:w="120" w:type="dxa"/>
            </w:tcMar>
          </w:tcPr>
          <w:p>
            <w:pPr>
              <w:spacing w:after="0" w:line="252" w:lineRule="auto"/>
            </w:pPr>
            <w:r>
              <w:rPr>
                <w:rFonts w:ascii="Calibri" w:hAnsi="Calibri"/>
                <w:b w:val="0"/>
                <w:color w:val="202D3A"/>
                <w:sz w:val="18"/>
              </w:rPr>
              <w:t>Retrieval cue reduction</w:t>
            </w:r>
          </w:p>
        </w:tc>
        <w:tc>
          <w:tcPr>
            <w:tcW w:type="dxa" w:w="6360"/>
            <w:vAlign w:val="center"/>
            <w:tcMar>
              <w:top w:w="80" w:type="dxa"/>
              <w:start w:w="120" w:type="dxa"/>
              <w:bottom w:w="80" w:type="dxa"/>
              <w:end w:w="120" w:type="dxa"/>
            </w:tcMar>
          </w:tcPr>
          <w:p>
            <w:pPr>
              <w:spacing w:after="0" w:line="252" w:lineRule="auto"/>
            </w:pPr>
            <w:r>
              <w:rPr>
                <w:rFonts w:ascii="Calibri" w:hAnsi="Calibri"/>
                <w:b w:val="0"/>
                <w:color w:val="202D3A"/>
                <w:sz w:val="18"/>
              </w:rPr>
              <w:t>Progress from strong cue to independent recall</w:t>
            </w:r>
          </w:p>
        </w:tc>
      </w:tr>
      <w:tr>
        <w:trPr>
          <w:cantSplit/>
        </w:trPr>
        <w:tc>
          <w:tcPr>
            <w:tcW w:type="dxa" w:w="3000"/>
            <w:vAlign w:val="center"/>
            <w:tcMar>
              <w:top w:w="80" w:type="dxa"/>
              <w:start w:w="120" w:type="dxa"/>
              <w:bottom w:w="80" w:type="dxa"/>
              <w:end w:w="120" w:type="dxa"/>
            </w:tcMar>
          </w:tcPr>
          <w:p>
            <w:pPr>
              <w:spacing w:after="0" w:line="252" w:lineRule="auto"/>
            </w:pPr>
            <w:r>
              <w:rPr>
                <w:rFonts w:ascii="Calibri" w:hAnsi="Calibri"/>
                <w:b w:val="0"/>
                <w:color w:val="202D3A"/>
                <w:sz w:val="18"/>
              </w:rPr>
              <w:t>Example/nonexample</w:t>
            </w:r>
          </w:p>
        </w:tc>
        <w:tc>
          <w:tcPr>
            <w:tcW w:type="dxa" w:w="6360"/>
            <w:vAlign w:val="center"/>
            <w:tcMar>
              <w:top w:w="80" w:type="dxa"/>
              <w:start w:w="120" w:type="dxa"/>
              <w:bottom w:w="80" w:type="dxa"/>
              <w:end w:w="120" w:type="dxa"/>
            </w:tcMar>
          </w:tcPr>
          <w:p>
            <w:pPr>
              <w:spacing w:after="0" w:line="252" w:lineRule="auto"/>
            </w:pPr>
            <w:r>
              <w:rPr>
                <w:rFonts w:ascii="Calibri" w:hAnsi="Calibri"/>
                <w:b w:val="0"/>
                <w:color w:val="202D3A"/>
                <w:sz w:val="18"/>
              </w:rPr>
              <w:t>Clarify the boundary of a concept or scoring criterion</w:t>
            </w:r>
          </w:p>
        </w:tc>
      </w:tr>
      <w:tr>
        <w:trPr>
          <w:cantSplit/>
        </w:trPr>
        <w:tc>
          <w:tcPr>
            <w:tcW w:type="dxa" w:w="3000"/>
            <w:vAlign w:val="center"/>
            <w:tcMar>
              <w:top w:w="80" w:type="dxa"/>
              <w:start w:w="120" w:type="dxa"/>
              <w:bottom w:w="80" w:type="dxa"/>
              <w:end w:w="120" w:type="dxa"/>
            </w:tcMar>
          </w:tcPr>
          <w:p>
            <w:pPr>
              <w:spacing w:after="0" w:line="252" w:lineRule="auto"/>
            </w:pPr>
            <w:r>
              <w:rPr>
                <w:rFonts w:ascii="Calibri" w:hAnsi="Calibri"/>
                <w:b w:val="0"/>
                <w:color w:val="202D3A"/>
                <w:sz w:val="18"/>
              </w:rPr>
              <w:t>Prerequisite repair</w:t>
            </w:r>
          </w:p>
        </w:tc>
        <w:tc>
          <w:tcPr>
            <w:tcW w:type="dxa" w:w="6360"/>
            <w:vAlign w:val="center"/>
            <w:tcMar>
              <w:top w:w="80" w:type="dxa"/>
              <w:start w:w="120" w:type="dxa"/>
              <w:bottom w:w="80" w:type="dxa"/>
              <w:end w:w="120" w:type="dxa"/>
            </w:tcMar>
          </w:tcPr>
          <w:p>
            <w:pPr>
              <w:spacing w:after="0" w:line="252" w:lineRule="auto"/>
            </w:pPr>
            <w:r>
              <w:rPr>
                <w:rFonts w:ascii="Calibri" w:hAnsi="Calibri"/>
                <w:b w:val="0"/>
                <w:color w:val="202D3A"/>
                <w:sz w:val="18"/>
              </w:rPr>
              <w:t>Teach the minimal precursor needed for the target</w:t>
            </w:r>
          </w:p>
        </w:tc>
      </w:tr>
    </w:tbl>
    <w:p>
      <w:pPr>
        <w:spacing w:after="0"/>
      </w:pPr>
    </w:p>
    <w:p>
      <w:pPr>
        <w:pStyle w:val="Heading2"/>
      </w:pPr>
      <w:r>
        <w:t>10.3 Escalation Routing</w:t>
      </w:r>
    </w:p>
    <w:p>
      <w:pPr>
        <w:widowControl/>
      </w:pPr>
      <w:r>
        <w:t>Escalation uses direct probes where feasible:</w:t>
      </w:r>
    </w:p>
    <w:p>
      <w:pPr>
        <w:numPr>
          <w:ilvl w:val="0"/>
          <w:numId w:val="10"/>
        </w:numPr>
        <w:spacing w:after="160" w:line="280" w:lineRule="auto"/>
      </w:pPr>
      <w:r>
        <w:rPr>
          <w:b/>
        </w:rPr>
        <w:t>Step Down:</w:t>
      </w:r>
      <w:r>
        <w:t xml:space="preserve"> a required prerequisite probe fails.</w:t>
      </w:r>
    </w:p>
    <w:p>
      <w:pPr>
        <w:numPr>
          <w:ilvl w:val="0"/>
          <w:numId w:val="10"/>
        </w:numPr>
        <w:spacing w:after="160" w:line="280" w:lineRule="auto"/>
      </w:pPr>
      <w:r>
        <w:rPr>
          <w:b/>
        </w:rPr>
        <w:t>Step Apart:</w:t>
      </w:r>
      <w:r>
        <w:t xml:space="preserve"> atomic components pass but the recomposed task fails.</w:t>
      </w:r>
    </w:p>
    <w:p>
      <w:pPr>
        <w:numPr>
          <w:ilvl w:val="0"/>
          <w:numId w:val="10"/>
        </w:numPr>
        <w:spacing w:after="160" w:line="280" w:lineRule="auto"/>
      </w:pPr>
      <w:r>
        <w:rPr>
          <w:b/>
        </w:rPr>
        <w:t>Step Sideways:</w:t>
      </w:r>
      <w:r>
        <w:t xml:space="preserve"> prerequisites and components remain available, but a coherent misconception, framing sensitivity, or representation gap persists.</w:t>
      </w:r>
    </w:p>
    <w:p>
      <w:pPr>
        <w:numPr>
          <w:ilvl w:val="0"/>
          <w:numId w:val="10"/>
        </w:numPr>
        <w:spacing w:after="160" w:line="280" w:lineRule="auto"/>
      </w:pPr>
      <w:r>
        <w:rPr>
          <w:b/>
        </w:rPr>
        <w:t>Ambiguous evidence:</w:t>
      </w:r>
      <w:r>
        <w:t xml:space="preserve"> use a reversible Sideways probe or let the learner choose between breaking the task apart and reviewing the prerequisite.</w:t>
      </w:r>
    </w:p>
    <w:p>
      <w:pPr>
        <w:numPr>
          <w:ilvl w:val="0"/>
          <w:numId w:val="10"/>
        </w:numPr>
        <w:spacing w:after="160" w:line="280" w:lineRule="auto"/>
      </w:pPr>
      <w:r>
        <w:rPr>
          <w:b/>
        </w:rPr>
        <w:t>Content uncertainty:</w:t>
      </w:r>
      <w:r>
        <w:t xml:space="preserve"> withhold negative learner-model updates and route evidence to validators.</w:t>
      </w:r>
    </w:p>
    <w:p>
      <w:pPr>
        <w:widowControl/>
      </w:pPr>
      <w:r>
        <w:t>There is no universal Sideways-first order. The objective is a defensible next action whose effectiveness is tested through independent transfer, not a claim that Cramapple has identified the learner's hidden cause precisely.</w:t>
      </w:r>
    </w:p>
    <w:p>
      <w:pPr>
        <w:pStyle w:val="Heading2"/>
      </w:pPr>
      <w:r>
        <w:t>10.4 Explanation Requirements</w:t>
      </w:r>
    </w:p>
    <w:p>
      <w:pPr>
        <w:widowControl/>
      </w:pPr>
      <w:r>
        <w:t>Approved explanations should be:</w:t>
      </w:r>
    </w:p>
    <w:p>
      <w:pPr>
        <w:numPr>
          <w:ilvl w:val="0"/>
          <w:numId w:val="10"/>
        </w:numPr>
        <w:spacing w:after="160" w:line="280" w:lineRule="auto"/>
      </w:pPr>
      <w:r>
        <w:t>Scientifically accurate.</w:t>
      </w:r>
    </w:p>
    <w:p>
      <w:pPr>
        <w:numPr>
          <w:ilvl w:val="0"/>
          <w:numId w:val="10"/>
        </w:numPr>
        <w:spacing w:after="160" w:line="280" w:lineRule="auto"/>
      </w:pPr>
      <w:r>
        <w:t>Aligned with the active AP Biology framework.</w:t>
      </w:r>
    </w:p>
    <w:p>
      <w:pPr>
        <w:numPr>
          <w:ilvl w:val="0"/>
          <w:numId w:val="10"/>
        </w:numPr>
        <w:spacing w:after="160" w:line="280" w:lineRule="auto"/>
      </w:pPr>
      <w:r>
        <w:t>Focused on the diagnosed gap.</w:t>
      </w:r>
    </w:p>
    <w:p>
      <w:pPr>
        <w:numPr>
          <w:ilvl w:val="0"/>
          <w:numId w:val="10"/>
        </w:numPr>
        <w:spacing w:after="160" w:line="280" w:lineRule="auto"/>
      </w:pPr>
      <w:r>
        <w:t>Clear about what is required versus illustrative.</w:t>
      </w:r>
    </w:p>
    <w:p>
      <w:pPr>
        <w:numPr>
          <w:ilvl w:val="0"/>
          <w:numId w:val="10"/>
        </w:numPr>
        <w:spacing w:after="160" w:line="280" w:lineRule="auto"/>
      </w:pPr>
      <w:r>
        <w:t>Concise enough to preserve retrieval time.</w:t>
      </w:r>
    </w:p>
    <w:p>
      <w:pPr>
        <w:numPr>
          <w:ilvl w:val="0"/>
          <w:numId w:val="10"/>
        </w:numPr>
        <w:spacing w:after="160" w:line="280" w:lineRule="auto"/>
      </w:pPr>
      <w:r>
        <w:t>Free of unsupported certainty.</w:t>
      </w:r>
    </w:p>
    <w:p>
      <w:pPr>
        <w:numPr>
          <w:ilvl w:val="0"/>
          <w:numId w:val="10"/>
        </w:numPr>
        <w:spacing w:after="160" w:line="280" w:lineRule="auto"/>
      </w:pPr>
      <w:r>
        <w:t>Followed by an active task.</w:t>
      </w:r>
    </w:p>
    <w:p>
      <w:pPr>
        <w:pStyle w:val="Heading1"/>
      </w:pPr>
      <w:r>
        <w:t>11. Interleaving Policy</w:t>
      </w:r>
    </w:p>
    <w:p>
      <w:pPr>
        <w:pStyle w:val="Heading2"/>
      </w:pPr>
      <w:r>
        <w:t>11.1 What to Interleave</w:t>
      </w:r>
    </w:p>
    <w:p>
      <w:pPr>
        <w:numPr>
          <w:ilvl w:val="0"/>
          <w:numId w:val="10"/>
        </w:numPr>
        <w:spacing w:after="160" w:line="280" w:lineRule="auto"/>
      </w:pPr>
      <w:r>
        <w:t>Units.</w:t>
      </w:r>
    </w:p>
    <w:p>
      <w:pPr>
        <w:numPr>
          <w:ilvl w:val="0"/>
          <w:numId w:val="10"/>
        </w:numPr>
        <w:spacing w:after="160" w:line="280" w:lineRule="auto"/>
      </w:pPr>
      <w:r>
        <w:t>Science practices.</w:t>
      </w:r>
    </w:p>
    <w:p>
      <w:pPr>
        <w:numPr>
          <w:ilvl w:val="0"/>
          <w:numId w:val="10"/>
        </w:numPr>
        <w:spacing w:after="160" w:line="280" w:lineRule="auto"/>
      </w:pPr>
      <w:r>
        <w:t>Question archetypes.</w:t>
      </w:r>
    </w:p>
    <w:p>
      <w:pPr>
        <w:numPr>
          <w:ilvl w:val="0"/>
          <w:numId w:val="10"/>
        </w:numPr>
        <w:spacing w:after="160" w:line="280" w:lineRule="auto"/>
      </w:pPr>
      <w:r>
        <w:t>Task verbs.</w:t>
      </w:r>
    </w:p>
    <w:p>
      <w:pPr>
        <w:numPr>
          <w:ilvl w:val="0"/>
          <w:numId w:val="10"/>
        </w:numPr>
        <w:spacing w:after="160" w:line="280" w:lineRule="auto"/>
      </w:pPr>
      <w:r>
        <w:t>Representation types.</w:t>
      </w:r>
    </w:p>
    <w:p>
      <w:pPr>
        <w:numPr>
          <w:ilvl w:val="0"/>
          <w:numId w:val="10"/>
        </w:numPr>
        <w:spacing w:after="160" w:line="280" w:lineRule="auto"/>
      </w:pPr>
      <w:r>
        <w:t>Previously confused alternatives.</w:t>
      </w:r>
    </w:p>
    <w:p>
      <w:pPr>
        <w:numPr>
          <w:ilvl w:val="0"/>
          <w:numId w:val="10"/>
        </w:numPr>
        <w:spacing w:after="160" w:line="280" w:lineRule="auto"/>
      </w:pPr>
      <w:r>
        <w:t>MCQ and FRQ components.</w:t>
      </w:r>
    </w:p>
    <w:p>
      <w:pPr>
        <w:pStyle w:val="Heading2"/>
      </w:pPr>
      <w:r>
        <w:t>11.2 When to Block</w:t>
      </w:r>
    </w:p>
    <w:p>
      <w:pPr>
        <w:widowControl/>
      </w:pPr>
      <w:r>
        <w:t>Short blocked practice is acceptable during initial acquisition of a procedure or response pattern. It should transition to mixed practice before the skill is considered exam-ready.</w:t>
      </w:r>
    </w:p>
    <w:p>
      <w:pPr>
        <w:pStyle w:val="Heading2"/>
      </w:pPr>
      <w:r>
        <w:t>11.3 Student Messaging</w:t>
      </w:r>
    </w:p>
    <w:p>
      <w:pPr>
        <w:widowControl/>
      </w:pPr>
      <w:r>
        <w:t>The product should explain:</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120" w:type="dxa"/>
              <w:start w:w="180" w:type="dxa"/>
              <w:bottom w:w="120" w:type="dxa"/>
              <w:end w:w="180" w:type="dxa"/>
            </w:tcMar>
            <w:shd w:fill="F4F6F9"/>
          </w:tcPr>
          <w:p>
            <w:pPr>
              <w:spacing w:after="0"/>
            </w:pPr>
            <w:r>
              <w:rPr>
                <w:rFonts w:ascii="Calibri" w:hAnsi="Calibri"/>
                <w:i/>
                <w:color w:val="202D3A"/>
                <w:sz w:val="21"/>
              </w:rPr>
              <w:t>Mixed practice may feel harder because you must decide which idea or method applies. More mistakes during practice do not automatically mean you are learning less.</w:t>
            </w:r>
          </w:p>
        </w:tc>
      </w:tr>
    </w:tbl>
    <w:p>
      <w:pPr>
        <w:widowControl/>
      </w:pPr>
      <w:r>
        <w:t>The system should then show delayed evidence rather than asking the learner to accept the claim on faith.</w:t>
      </w:r>
    </w:p>
    <w:p>
      <w:pPr>
        <w:pStyle w:val="Heading1"/>
      </w:pPr>
      <w:r>
        <w:t>12. Metacognitive Calibration</w:t>
      </w:r>
    </w:p>
    <w:p>
      <w:pPr>
        <w:pStyle w:val="Heading2"/>
      </w:pPr>
      <w:r>
        <w:t>12.1 Confidence Capture</w:t>
      </w:r>
    </w:p>
    <w:p>
      <w:pPr>
        <w:widowControl/>
      </w:pPr>
      <w:r>
        <w:t>Capture confidence before feedback using a small, consistent scale. Confidence should be optional only where repeated interruption would materially harm the task.</w:t>
      </w:r>
    </w:p>
    <w:p>
      <w:pPr>
        <w:pStyle w:val="Heading2"/>
      </w:pPr>
      <w:r>
        <w:t>12.2 Calibration States</w:t>
      </w:r>
    </w:p>
    <w:tbl>
      <w:tblPr>
        <w:tblStyle w:val="TableGrid"/>
        <w:tblW w:type="dxa" w:w="9360"/>
        <w:jc w:val="left"/>
        <w:tblLayout w:type="fixed"/>
        <w:tblLook w:firstColumn="1" w:firstRow="1" w:lastColumn="0" w:lastRow="0" w:noHBand="0" w:noVBand="1" w:val="04A0"/>
        <w:tblInd w:w="120" w:type="dxa"/>
      </w:tblPr>
      <w:tblGrid>
        <w:gridCol w:w="2600"/>
        <w:gridCol w:w="4200"/>
        <w:gridCol w:w="2560"/>
      </w:tblGrid>
      <w:tr>
        <w:trPr>
          <w:tblHeader w:val="true"/>
          <w:cantSplit/>
        </w:trPr>
        <w:tc>
          <w:tcPr>
            <w:tcW w:type="dxa" w:w="2600"/>
            <w:vAlign w:val="center"/>
            <w:tcMar>
              <w:top w:w="80" w:type="dxa"/>
              <w:start w:w="120" w:type="dxa"/>
              <w:bottom w:w="80" w:type="dxa"/>
              <w:end w:w="120" w:type="dxa"/>
            </w:tcMar>
            <w:shd w:fill="F2F4F7"/>
          </w:tcPr>
          <w:p>
            <w:pPr>
              <w:spacing w:after="0" w:line="252" w:lineRule="auto"/>
            </w:pPr>
            <w:r>
              <w:rPr>
                <w:rFonts w:ascii="Calibri" w:hAnsi="Calibri"/>
                <w:b/>
                <w:color w:val="202D3A"/>
                <w:sz w:val="18"/>
              </w:rPr>
              <w:t>State</w:t>
            </w:r>
          </w:p>
        </w:tc>
        <w:tc>
          <w:tcPr>
            <w:tcW w:type="dxa" w:w="4200"/>
            <w:vAlign w:val="center"/>
            <w:tcMar>
              <w:top w:w="80" w:type="dxa"/>
              <w:start w:w="120" w:type="dxa"/>
              <w:bottom w:w="80" w:type="dxa"/>
              <w:end w:w="120" w:type="dxa"/>
            </w:tcMar>
            <w:shd w:fill="F2F4F7"/>
          </w:tcPr>
          <w:p>
            <w:pPr>
              <w:spacing w:after="0" w:line="252" w:lineRule="auto"/>
            </w:pPr>
            <w:r>
              <w:rPr>
                <w:rFonts w:ascii="Calibri" w:hAnsi="Calibri"/>
                <w:b/>
                <w:color w:val="202D3A"/>
                <w:sz w:val="18"/>
              </w:rPr>
              <w:t>Pattern</w:t>
            </w:r>
          </w:p>
        </w:tc>
        <w:tc>
          <w:tcPr>
            <w:tcW w:type="dxa" w:w="2560"/>
            <w:vAlign w:val="center"/>
            <w:tcMar>
              <w:top w:w="80" w:type="dxa"/>
              <w:start w:w="120" w:type="dxa"/>
              <w:bottom w:w="80" w:type="dxa"/>
              <w:end w:w="120" w:type="dxa"/>
            </w:tcMar>
            <w:shd w:fill="F2F4F7"/>
          </w:tcPr>
          <w:p>
            <w:pPr>
              <w:spacing w:after="0" w:line="252" w:lineRule="auto"/>
            </w:pPr>
            <w:r>
              <w:rPr>
                <w:rFonts w:ascii="Calibri" w:hAnsi="Calibri"/>
                <w:b/>
                <w:color w:val="202D3A"/>
                <w:sz w:val="18"/>
              </w:rPr>
              <w:t>Teaching Response</w:t>
            </w:r>
          </w:p>
        </w:tc>
      </w:tr>
      <w:tr>
        <w:trPr>
          <w:cantSplit/>
        </w:trPr>
        <w:tc>
          <w:tcPr>
            <w:tcW w:type="dxa" w:w="2600"/>
            <w:vAlign w:val="center"/>
            <w:tcMar>
              <w:top w:w="80" w:type="dxa"/>
              <w:start w:w="120" w:type="dxa"/>
              <w:bottom w:w="80" w:type="dxa"/>
              <w:end w:w="120" w:type="dxa"/>
            </w:tcMar>
          </w:tcPr>
          <w:p>
            <w:pPr>
              <w:spacing w:after="0" w:line="252" w:lineRule="auto"/>
            </w:pPr>
            <w:r>
              <w:rPr>
                <w:rFonts w:ascii="Calibri" w:hAnsi="Calibri"/>
                <w:b w:val="0"/>
                <w:color w:val="202D3A"/>
                <w:sz w:val="18"/>
              </w:rPr>
              <w:t>Calibrated strong</w:t>
            </w:r>
          </w:p>
        </w:tc>
        <w:tc>
          <w:tcPr>
            <w:tcW w:type="dxa" w:w="4200"/>
            <w:vAlign w:val="center"/>
            <w:tcMar>
              <w:top w:w="80" w:type="dxa"/>
              <w:start w:w="120" w:type="dxa"/>
              <w:bottom w:w="80" w:type="dxa"/>
              <w:end w:w="120" w:type="dxa"/>
            </w:tcMar>
          </w:tcPr>
          <w:p>
            <w:pPr>
              <w:spacing w:after="0" w:line="252" w:lineRule="auto"/>
            </w:pPr>
            <w:r>
              <w:rPr>
                <w:rFonts w:ascii="Calibri" w:hAnsi="Calibri"/>
                <w:b w:val="0"/>
                <w:color w:val="202D3A"/>
                <w:sz w:val="18"/>
              </w:rPr>
              <w:t>Correct and appropriately confident</w:t>
            </w:r>
          </w:p>
        </w:tc>
        <w:tc>
          <w:tcPr>
            <w:tcW w:type="dxa" w:w="2560"/>
            <w:vAlign w:val="center"/>
            <w:tcMar>
              <w:top w:w="80" w:type="dxa"/>
              <w:start w:w="120" w:type="dxa"/>
              <w:bottom w:w="80" w:type="dxa"/>
              <w:end w:w="120" w:type="dxa"/>
            </w:tcMar>
          </w:tcPr>
          <w:p>
            <w:pPr>
              <w:spacing w:after="0" w:line="252" w:lineRule="auto"/>
            </w:pPr>
            <w:r>
              <w:rPr>
                <w:rFonts w:ascii="Calibri" w:hAnsi="Calibri"/>
                <w:b w:val="0"/>
                <w:color w:val="202D3A"/>
                <w:sz w:val="18"/>
              </w:rPr>
              <w:t>Maintain through spacing</w:t>
            </w:r>
          </w:p>
        </w:tc>
      </w:tr>
      <w:tr>
        <w:trPr>
          <w:cantSplit/>
        </w:trPr>
        <w:tc>
          <w:tcPr>
            <w:tcW w:type="dxa" w:w="2600"/>
            <w:vAlign w:val="center"/>
            <w:tcMar>
              <w:top w:w="80" w:type="dxa"/>
              <w:start w:w="120" w:type="dxa"/>
              <w:bottom w:w="80" w:type="dxa"/>
              <w:end w:w="120" w:type="dxa"/>
            </w:tcMar>
          </w:tcPr>
          <w:p>
            <w:pPr>
              <w:spacing w:after="0" w:line="252" w:lineRule="auto"/>
            </w:pPr>
            <w:r>
              <w:rPr>
                <w:rFonts w:ascii="Calibri" w:hAnsi="Calibri"/>
                <w:b w:val="0"/>
                <w:color w:val="202D3A"/>
                <w:sz w:val="18"/>
              </w:rPr>
              <w:t>Calibrated uncertain</w:t>
            </w:r>
          </w:p>
        </w:tc>
        <w:tc>
          <w:tcPr>
            <w:tcW w:type="dxa" w:w="4200"/>
            <w:vAlign w:val="center"/>
            <w:tcMar>
              <w:top w:w="80" w:type="dxa"/>
              <w:start w:w="120" w:type="dxa"/>
              <w:bottom w:w="80" w:type="dxa"/>
              <w:end w:w="120" w:type="dxa"/>
            </w:tcMar>
          </w:tcPr>
          <w:p>
            <w:pPr>
              <w:spacing w:after="0" w:line="252" w:lineRule="auto"/>
            </w:pPr>
            <w:r>
              <w:rPr>
                <w:rFonts w:ascii="Calibri" w:hAnsi="Calibri"/>
                <w:b w:val="0"/>
                <w:color w:val="202D3A"/>
                <w:sz w:val="18"/>
              </w:rPr>
              <w:t>Incorrect or partial with low confidence</w:t>
            </w:r>
          </w:p>
        </w:tc>
        <w:tc>
          <w:tcPr>
            <w:tcW w:type="dxa" w:w="2560"/>
            <w:vAlign w:val="center"/>
            <w:tcMar>
              <w:top w:w="80" w:type="dxa"/>
              <w:start w:w="120" w:type="dxa"/>
              <w:bottom w:w="80" w:type="dxa"/>
              <w:end w:w="120" w:type="dxa"/>
            </w:tcMar>
          </w:tcPr>
          <w:p>
            <w:pPr>
              <w:spacing w:after="0" w:line="252" w:lineRule="auto"/>
            </w:pPr>
            <w:r>
              <w:rPr>
                <w:rFonts w:ascii="Calibri" w:hAnsi="Calibri"/>
                <w:b w:val="0"/>
                <w:color w:val="202D3A"/>
                <w:sz w:val="18"/>
              </w:rPr>
              <w:t>Teach and encourage targeted help</w:t>
            </w:r>
          </w:p>
        </w:tc>
      </w:tr>
      <w:tr>
        <w:trPr>
          <w:cantSplit/>
        </w:trPr>
        <w:tc>
          <w:tcPr>
            <w:tcW w:type="dxa" w:w="2600"/>
            <w:vAlign w:val="center"/>
            <w:tcMar>
              <w:top w:w="80" w:type="dxa"/>
              <w:start w:w="120" w:type="dxa"/>
              <w:bottom w:w="80" w:type="dxa"/>
              <w:end w:w="120" w:type="dxa"/>
            </w:tcMar>
          </w:tcPr>
          <w:p>
            <w:pPr>
              <w:spacing w:after="0" w:line="252" w:lineRule="auto"/>
            </w:pPr>
            <w:r>
              <w:rPr>
                <w:rFonts w:ascii="Calibri" w:hAnsi="Calibri"/>
                <w:b w:val="0"/>
                <w:color w:val="202D3A"/>
                <w:sz w:val="18"/>
              </w:rPr>
              <w:t>Overconfident</w:t>
            </w:r>
          </w:p>
        </w:tc>
        <w:tc>
          <w:tcPr>
            <w:tcW w:type="dxa" w:w="4200"/>
            <w:vAlign w:val="center"/>
            <w:tcMar>
              <w:top w:w="80" w:type="dxa"/>
              <w:start w:w="120" w:type="dxa"/>
              <w:bottom w:w="80" w:type="dxa"/>
              <w:end w:w="120" w:type="dxa"/>
            </w:tcMar>
          </w:tcPr>
          <w:p>
            <w:pPr>
              <w:spacing w:after="0" w:line="252" w:lineRule="auto"/>
            </w:pPr>
            <w:r>
              <w:rPr>
                <w:rFonts w:ascii="Calibri" w:hAnsi="Calibri"/>
                <w:b w:val="0"/>
                <w:color w:val="202D3A"/>
                <w:sz w:val="18"/>
              </w:rPr>
              <w:t>Incorrect with high confidence</w:t>
            </w:r>
          </w:p>
        </w:tc>
        <w:tc>
          <w:tcPr>
            <w:tcW w:type="dxa" w:w="2560"/>
            <w:vAlign w:val="center"/>
            <w:tcMar>
              <w:top w:w="80" w:type="dxa"/>
              <w:start w:w="120" w:type="dxa"/>
              <w:bottom w:w="80" w:type="dxa"/>
              <w:end w:w="120" w:type="dxa"/>
            </w:tcMar>
          </w:tcPr>
          <w:p>
            <w:pPr>
              <w:spacing w:after="0" w:line="252" w:lineRule="auto"/>
            </w:pPr>
            <w:r>
              <w:rPr>
                <w:rFonts w:ascii="Calibri" w:hAnsi="Calibri"/>
                <w:b w:val="0"/>
                <w:color w:val="202D3A"/>
                <w:sz w:val="18"/>
              </w:rPr>
              <w:t>Contrast misconception and require explanation</w:t>
            </w:r>
          </w:p>
        </w:tc>
      </w:tr>
      <w:tr>
        <w:trPr>
          <w:cantSplit/>
        </w:trPr>
        <w:tc>
          <w:tcPr>
            <w:tcW w:type="dxa" w:w="2600"/>
            <w:vAlign w:val="center"/>
            <w:tcMar>
              <w:top w:w="80" w:type="dxa"/>
              <w:start w:w="120" w:type="dxa"/>
              <w:bottom w:w="80" w:type="dxa"/>
              <w:end w:w="120" w:type="dxa"/>
            </w:tcMar>
          </w:tcPr>
          <w:p>
            <w:pPr>
              <w:spacing w:after="0" w:line="252" w:lineRule="auto"/>
            </w:pPr>
            <w:r>
              <w:rPr>
                <w:rFonts w:ascii="Calibri" w:hAnsi="Calibri"/>
                <w:b w:val="0"/>
                <w:color w:val="202D3A"/>
                <w:sz w:val="18"/>
              </w:rPr>
              <w:t>Underconfident</w:t>
            </w:r>
          </w:p>
        </w:tc>
        <w:tc>
          <w:tcPr>
            <w:tcW w:type="dxa" w:w="4200"/>
            <w:vAlign w:val="center"/>
            <w:tcMar>
              <w:top w:w="80" w:type="dxa"/>
              <w:start w:w="120" w:type="dxa"/>
              <w:bottom w:w="80" w:type="dxa"/>
              <w:end w:w="120" w:type="dxa"/>
            </w:tcMar>
          </w:tcPr>
          <w:p>
            <w:pPr>
              <w:spacing w:after="0" w:line="252" w:lineRule="auto"/>
            </w:pPr>
            <w:r>
              <w:rPr>
                <w:rFonts w:ascii="Calibri" w:hAnsi="Calibri"/>
                <w:b w:val="0"/>
                <w:color w:val="202D3A"/>
                <w:sz w:val="18"/>
              </w:rPr>
              <w:t>Correct independently with low confidence</w:t>
            </w:r>
          </w:p>
        </w:tc>
        <w:tc>
          <w:tcPr>
            <w:tcW w:type="dxa" w:w="2560"/>
            <w:vAlign w:val="center"/>
            <w:tcMar>
              <w:top w:w="80" w:type="dxa"/>
              <w:start w:w="120" w:type="dxa"/>
              <w:bottom w:w="80" w:type="dxa"/>
              <w:end w:w="120" w:type="dxa"/>
            </w:tcMar>
          </w:tcPr>
          <w:p>
            <w:pPr>
              <w:spacing w:after="0" w:line="252" w:lineRule="auto"/>
            </w:pPr>
            <w:r>
              <w:rPr>
                <w:rFonts w:ascii="Calibri" w:hAnsi="Calibri"/>
                <w:b w:val="0"/>
                <w:color w:val="202D3A"/>
                <w:sz w:val="18"/>
              </w:rPr>
              <w:t>Show evidence and use retrieval to stabilize confidence</w:t>
            </w:r>
          </w:p>
        </w:tc>
      </w:tr>
      <w:tr>
        <w:trPr>
          <w:cantSplit/>
        </w:trPr>
        <w:tc>
          <w:tcPr>
            <w:tcW w:type="dxa" w:w="2600"/>
            <w:vAlign w:val="center"/>
            <w:tcMar>
              <w:top w:w="80" w:type="dxa"/>
              <w:start w:w="120" w:type="dxa"/>
              <w:bottom w:w="80" w:type="dxa"/>
              <w:end w:w="120" w:type="dxa"/>
            </w:tcMar>
          </w:tcPr>
          <w:p>
            <w:pPr>
              <w:spacing w:after="0" w:line="252" w:lineRule="auto"/>
            </w:pPr>
            <w:r>
              <w:rPr>
                <w:rFonts w:ascii="Calibri" w:hAnsi="Calibri"/>
                <w:b w:val="0"/>
                <w:color w:val="202D3A"/>
                <w:sz w:val="18"/>
              </w:rPr>
              <w:t>Unstable</w:t>
            </w:r>
          </w:p>
        </w:tc>
        <w:tc>
          <w:tcPr>
            <w:tcW w:type="dxa" w:w="4200"/>
            <w:vAlign w:val="center"/>
            <w:tcMar>
              <w:top w:w="80" w:type="dxa"/>
              <w:start w:w="120" w:type="dxa"/>
              <w:bottom w:w="80" w:type="dxa"/>
              <w:end w:w="120" w:type="dxa"/>
            </w:tcMar>
          </w:tcPr>
          <w:p>
            <w:pPr>
              <w:spacing w:after="0" w:line="252" w:lineRule="auto"/>
            </w:pPr>
            <w:r>
              <w:rPr>
                <w:rFonts w:ascii="Calibri" w:hAnsi="Calibri"/>
                <w:b w:val="0"/>
                <w:color w:val="202D3A"/>
                <w:sz w:val="18"/>
              </w:rPr>
              <w:t>Confidence and performance vary widely</w:t>
            </w:r>
          </w:p>
        </w:tc>
        <w:tc>
          <w:tcPr>
            <w:tcW w:type="dxa" w:w="2560"/>
            <w:vAlign w:val="center"/>
            <w:tcMar>
              <w:top w:w="80" w:type="dxa"/>
              <w:start w:w="120" w:type="dxa"/>
              <w:bottom w:w="80" w:type="dxa"/>
              <w:end w:w="120" w:type="dxa"/>
            </w:tcMar>
          </w:tcPr>
          <w:p>
            <w:pPr>
              <w:spacing w:after="0" w:line="252" w:lineRule="auto"/>
            </w:pPr>
            <w:r>
              <w:rPr>
                <w:rFonts w:ascii="Calibri" w:hAnsi="Calibri"/>
                <w:b w:val="0"/>
                <w:color w:val="202D3A"/>
                <w:sz w:val="18"/>
              </w:rPr>
              <w:t>Gather more evidence across forms</w:t>
            </w:r>
          </w:p>
        </w:tc>
      </w:tr>
    </w:tbl>
    <w:p>
      <w:pPr>
        <w:spacing w:after="0"/>
      </w:pPr>
    </w:p>
    <w:p>
      <w:pPr>
        <w:pStyle w:val="Heading2"/>
      </w:pPr>
      <w:r>
        <w:t>12.3 Progress Display</w:t>
      </w:r>
    </w:p>
    <w:p>
      <w:pPr>
        <w:widowControl/>
      </w:pPr>
      <w:r>
        <w:t>Progress should show:</w:t>
      </w:r>
    </w:p>
    <w:p>
      <w:pPr>
        <w:numPr>
          <w:ilvl w:val="0"/>
          <w:numId w:val="10"/>
        </w:numPr>
        <w:spacing w:after="160" w:line="280" w:lineRule="auto"/>
      </w:pPr>
      <w:r>
        <w:t>Effort: sessions, attempts, time, and due reviews completed.</w:t>
      </w:r>
    </w:p>
    <w:p>
      <w:pPr>
        <w:numPr>
          <w:ilvl w:val="0"/>
          <w:numId w:val="10"/>
        </w:numPr>
        <w:spacing w:after="160" w:line="280" w:lineRule="auto"/>
      </w:pPr>
      <w:r>
        <w:t>Performance: MCQ accuracy and FRQ criterion evidence.</w:t>
      </w:r>
    </w:p>
    <w:p>
      <w:pPr>
        <w:numPr>
          <w:ilvl w:val="0"/>
          <w:numId w:val="10"/>
        </w:numPr>
        <w:spacing w:after="160" w:line="280" w:lineRule="auto"/>
      </w:pPr>
      <w:r>
        <w:t>Independence: success without hints or solution exposure.</w:t>
      </w:r>
    </w:p>
    <w:p>
      <w:pPr>
        <w:numPr>
          <w:ilvl w:val="0"/>
          <w:numId w:val="10"/>
        </w:numPr>
        <w:spacing w:after="160" w:line="280" w:lineRule="auto"/>
      </w:pPr>
      <w:r>
        <w:t>Retention: delayed retrieval outcomes.</w:t>
      </w:r>
    </w:p>
    <w:p>
      <w:pPr>
        <w:numPr>
          <w:ilvl w:val="0"/>
          <w:numId w:val="10"/>
        </w:numPr>
        <w:spacing w:after="160" w:line="280" w:lineRule="auto"/>
      </w:pPr>
      <w:r>
        <w:t>Transfer: success on changed contexts or representations.</w:t>
      </w:r>
    </w:p>
    <w:p>
      <w:pPr>
        <w:numPr>
          <w:ilvl w:val="0"/>
          <w:numId w:val="10"/>
        </w:numPr>
        <w:spacing w:after="160" w:line="280" w:lineRule="auto"/>
      </w:pPr>
      <w:r>
        <w:t>Calibration: confidence compared with performance.</w:t>
      </w:r>
    </w:p>
    <w:p>
      <w:pPr>
        <w:widowControl/>
      </w:pPr>
      <w:r>
        <w:t>Improvement statements require comparable evidence. "You are doing better" should identify the dimension and comparison period.</w:t>
      </w:r>
    </w:p>
    <w:p>
      <w:pPr>
        <w:pStyle w:val="Heading1"/>
      </w:pPr>
      <w:r>
        <w:t>13. AP Biology FRQ Pedagogy</w:t>
      </w:r>
    </w:p>
    <w:p>
      <w:pPr>
        <w:pStyle w:val="Heading2"/>
      </w:pPr>
      <w:r>
        <w:t>13.1 Point-Oriented Teaching</w:t>
      </w:r>
    </w:p>
    <w:p>
      <w:pPr>
        <w:widowControl/>
      </w:pPr>
      <w:r>
        <w:t>FRQ instruction should decompose each question into independently scorable opportunities. Learners should see:</w:t>
      </w:r>
    </w:p>
    <w:p>
      <w:pPr>
        <w:numPr>
          <w:ilvl w:val="0"/>
          <w:numId w:val="10"/>
        </w:numPr>
        <w:spacing w:after="160" w:line="280" w:lineRule="auto"/>
      </w:pPr>
      <w:r>
        <w:t>The requested operation.</w:t>
      </w:r>
    </w:p>
    <w:p>
      <w:pPr>
        <w:numPr>
          <w:ilvl w:val="0"/>
          <w:numId w:val="10"/>
        </w:numPr>
        <w:spacing w:after="160" w:line="280" w:lineRule="auto"/>
      </w:pPr>
      <w:r>
        <w:t>The relevant evidence or concept.</w:t>
      </w:r>
    </w:p>
    <w:p>
      <w:pPr>
        <w:numPr>
          <w:ilvl w:val="0"/>
          <w:numId w:val="10"/>
        </w:numPr>
        <w:spacing w:after="160" w:line="280" w:lineRule="auto"/>
      </w:pPr>
      <w:r>
        <w:t>The minimum complete response.</w:t>
      </w:r>
    </w:p>
    <w:p>
      <w:pPr>
        <w:numPr>
          <w:ilvl w:val="0"/>
          <w:numId w:val="10"/>
        </w:numPr>
        <w:spacing w:after="160" w:line="280" w:lineRule="auto"/>
      </w:pPr>
      <w:r>
        <w:t>Why a response earns or misses the point.</w:t>
      </w:r>
    </w:p>
    <w:p>
      <w:pPr>
        <w:numPr>
          <w:ilvl w:val="0"/>
          <w:numId w:val="10"/>
        </w:numPr>
        <w:spacing w:after="160" w:line="280" w:lineRule="auto"/>
      </w:pPr>
      <w:r>
        <w:t>A transfer task requiring the same operation in a new context.</w:t>
      </w:r>
    </w:p>
    <w:p>
      <w:pPr>
        <w:pStyle w:val="Heading2"/>
      </w:pPr>
      <w:r>
        <w:t>13.2 Task Operations</w:t>
      </w:r>
    </w:p>
    <w:p>
      <w:pPr>
        <w:widowControl/>
      </w:pPr>
      <w:r>
        <w:t>The system should explicitly teach common operations represented in the framework and released questions:</w:t>
      </w:r>
    </w:p>
    <w:p>
      <w:pPr>
        <w:numPr>
          <w:ilvl w:val="0"/>
          <w:numId w:val="10"/>
        </w:numPr>
        <w:spacing w:after="160" w:line="280" w:lineRule="auto"/>
      </w:pPr>
      <w:r>
        <w:t>Identify or determine.</w:t>
      </w:r>
    </w:p>
    <w:p>
      <w:pPr>
        <w:numPr>
          <w:ilvl w:val="0"/>
          <w:numId w:val="10"/>
        </w:numPr>
        <w:spacing w:after="160" w:line="280" w:lineRule="auto"/>
      </w:pPr>
      <w:r>
        <w:t>Describe.</w:t>
      </w:r>
    </w:p>
    <w:p>
      <w:pPr>
        <w:numPr>
          <w:ilvl w:val="0"/>
          <w:numId w:val="10"/>
        </w:numPr>
        <w:spacing w:after="160" w:line="280" w:lineRule="auto"/>
      </w:pPr>
      <w:r>
        <w:t>Explain.</w:t>
      </w:r>
    </w:p>
    <w:p>
      <w:pPr>
        <w:numPr>
          <w:ilvl w:val="0"/>
          <w:numId w:val="10"/>
        </w:numPr>
        <w:spacing w:after="160" w:line="280" w:lineRule="auto"/>
      </w:pPr>
      <w:r>
        <w:t>Predict.</w:t>
      </w:r>
    </w:p>
    <w:p>
      <w:pPr>
        <w:numPr>
          <w:ilvl w:val="0"/>
          <w:numId w:val="10"/>
        </w:numPr>
        <w:spacing w:after="160" w:line="280" w:lineRule="auto"/>
      </w:pPr>
      <w:r>
        <w:t>Justify.</w:t>
      </w:r>
    </w:p>
    <w:p>
      <w:pPr>
        <w:numPr>
          <w:ilvl w:val="0"/>
          <w:numId w:val="10"/>
        </w:numPr>
        <w:spacing w:after="160" w:line="280" w:lineRule="auto"/>
      </w:pPr>
      <w:r>
        <w:t>Calculate.</w:t>
      </w:r>
    </w:p>
    <w:p>
      <w:pPr>
        <w:numPr>
          <w:ilvl w:val="0"/>
          <w:numId w:val="10"/>
        </w:numPr>
        <w:spacing w:after="160" w:line="280" w:lineRule="auto"/>
      </w:pPr>
      <w:r>
        <w:t>Construct or represent.</w:t>
      </w:r>
    </w:p>
    <w:p>
      <w:pPr>
        <w:numPr>
          <w:ilvl w:val="0"/>
          <w:numId w:val="10"/>
        </w:numPr>
        <w:spacing w:after="160" w:line="280" w:lineRule="auto"/>
      </w:pPr>
      <w:r>
        <w:t>Support a claim with evidence.</w:t>
      </w:r>
    </w:p>
    <w:p>
      <w:pPr>
        <w:numPr>
          <w:ilvl w:val="0"/>
          <w:numId w:val="10"/>
        </w:numPr>
        <w:spacing w:after="160" w:line="280" w:lineRule="auto"/>
      </w:pPr>
      <w:r>
        <w:t>Evaluate a hypothesis or prediction.</w:t>
      </w:r>
    </w:p>
    <w:p>
      <w:pPr>
        <w:numPr>
          <w:ilvl w:val="0"/>
          <w:numId w:val="10"/>
        </w:numPr>
        <w:spacing w:after="160" w:line="280" w:lineRule="auto"/>
      </w:pPr>
      <w:r>
        <w:t>Propose an investigation.</w:t>
      </w:r>
    </w:p>
    <w:p>
      <w:pPr>
        <w:widowControl/>
      </w:pPr>
      <w:r>
        <w:t>Teaching should be based on official skill definitions and question-specific scoring guidance, not generic writing advice.</w:t>
      </w:r>
    </w:p>
    <w:p>
      <w:pPr>
        <w:pStyle w:val="Heading2"/>
      </w:pPr>
      <w:r>
        <w:t>13.3 Claim-Evidence-Reasoning</w:t>
      </w:r>
    </w:p>
    <w:p>
      <w:pPr>
        <w:widowControl/>
      </w:pPr>
      <w:r>
        <w:t>CER is a high-value scaffold for Science Practice 6:</w:t>
      </w:r>
    </w:p>
    <w:p>
      <w:pPr>
        <w:numPr>
          <w:ilvl w:val="0"/>
          <w:numId w:val="10"/>
        </w:numPr>
        <w:spacing w:after="160" w:line="280" w:lineRule="auto"/>
      </w:pPr>
      <w:r>
        <w:t>Claim: the answer or proposed relationship.</w:t>
      </w:r>
    </w:p>
    <w:p>
      <w:pPr>
        <w:numPr>
          <w:ilvl w:val="0"/>
          <w:numId w:val="10"/>
        </w:numPr>
        <w:spacing w:after="160" w:line="280" w:lineRule="auto"/>
      </w:pPr>
      <w:r>
        <w:t>Evidence: relevant biological principles, observations, or data.</w:t>
      </w:r>
    </w:p>
    <w:p>
      <w:pPr>
        <w:numPr>
          <w:ilvl w:val="0"/>
          <w:numId w:val="10"/>
        </w:numPr>
        <w:spacing w:after="160" w:line="280" w:lineRule="auto"/>
      </w:pPr>
      <w:r>
        <w:t>Reasoning: the connection between evidence and the claim.</w:t>
      </w:r>
    </w:p>
    <w:p>
      <w:pPr>
        <w:widowControl/>
      </w:pPr>
      <w:r>
        <w:t>However:</w:t>
      </w:r>
    </w:p>
    <w:p>
      <w:pPr>
        <w:numPr>
          <w:ilvl w:val="0"/>
          <w:numId w:val="10"/>
        </w:numPr>
        <w:spacing w:after="160" w:line="280" w:lineRule="auto"/>
      </w:pPr>
      <w:r>
        <w:t>An identify task may need only the requested item.</w:t>
      </w:r>
    </w:p>
    <w:p>
      <w:pPr>
        <w:numPr>
          <w:ilvl w:val="0"/>
          <w:numId w:val="10"/>
        </w:numPr>
        <w:spacing w:after="160" w:line="280" w:lineRule="auto"/>
      </w:pPr>
      <w:r>
        <w:t>A describe task may need an observable pattern without causal reasoning.</w:t>
      </w:r>
    </w:p>
    <w:p>
      <w:pPr>
        <w:numPr>
          <w:ilvl w:val="0"/>
          <w:numId w:val="10"/>
        </w:numPr>
        <w:spacing w:after="160" w:line="280" w:lineRule="auto"/>
      </w:pPr>
      <w:r>
        <w:t>A calculation may award the point for the correct result or required work.</w:t>
      </w:r>
    </w:p>
    <w:p>
      <w:pPr>
        <w:numPr>
          <w:ilvl w:val="0"/>
          <w:numId w:val="10"/>
        </w:numPr>
        <w:spacing w:after="160" w:line="280" w:lineRule="auto"/>
      </w:pPr>
      <w:r>
        <w:t>A graphing point follows representation criteria.</w:t>
      </w:r>
    </w:p>
    <w:p>
      <w:pPr>
        <w:numPr>
          <w:ilvl w:val="0"/>
          <w:numId w:val="10"/>
        </w:numPr>
        <w:spacing w:after="160" w:line="280" w:lineRule="auto"/>
      </w:pPr>
      <w:r>
        <w:t>A prediction and justification may be separate rubric opportunities.</w:t>
      </w:r>
    </w:p>
    <w:p>
      <w:pPr>
        <w:widowControl/>
      </w:pPr>
      <w:r>
        <w:t>Cramapple should teach CER where it matches the scoring opportunity and avoid padding every response into the same template.</w:t>
      </w:r>
    </w:p>
    <w:p>
      <w:pPr>
        <w:pStyle w:val="Heading2"/>
      </w:pPr>
      <w:r>
        <w:t>13.4 FRQ Practice Progression</w:t>
      </w:r>
    </w:p>
    <w:p>
      <w:pPr>
        <w:numPr>
          <w:ilvl w:val="0"/>
          <w:numId w:val="33"/>
        </w:numPr>
        <w:spacing w:after="160" w:line="280" w:lineRule="auto"/>
      </w:pPr>
      <w:r>
        <w:t>Single criterion with immediate feedback.</w:t>
      </w:r>
    </w:p>
    <w:p>
      <w:pPr>
        <w:numPr>
          <w:ilvl w:val="0"/>
          <w:numId w:val="33"/>
        </w:numPr>
        <w:spacing w:after="160" w:line="280" w:lineRule="auto"/>
      </w:pPr>
      <w:r>
        <w:t>Paired operations, such as predict plus justify.</w:t>
      </w:r>
    </w:p>
    <w:p>
      <w:pPr>
        <w:numPr>
          <w:ilvl w:val="0"/>
          <w:numId w:val="33"/>
        </w:numPr>
        <w:spacing w:after="160" w:line="280" w:lineRule="auto"/>
      </w:pPr>
      <w:r>
        <w:t>One short FRQ under light timing.</w:t>
      </w:r>
    </w:p>
    <w:p>
      <w:pPr>
        <w:numPr>
          <w:ilvl w:val="0"/>
          <w:numId w:val="33"/>
        </w:numPr>
        <w:spacing w:after="160" w:line="280" w:lineRule="auto"/>
      </w:pPr>
      <w:r>
        <w:t>Mixed short FRQs.</w:t>
      </w:r>
    </w:p>
    <w:p>
      <w:pPr>
        <w:numPr>
          <w:ilvl w:val="0"/>
          <w:numId w:val="33"/>
        </w:numPr>
        <w:spacing w:after="160" w:line="280" w:lineRule="auto"/>
      </w:pPr>
      <w:r>
        <w:t>Long-FRQ parts with graphs, methods, calculations, and arguments.</w:t>
      </w:r>
    </w:p>
    <w:p>
      <w:pPr>
        <w:numPr>
          <w:ilvl w:val="0"/>
          <w:numId w:val="33"/>
        </w:numPr>
        <w:spacing w:after="160" w:line="280" w:lineRule="auto"/>
      </w:pPr>
      <w:r>
        <w:t>Full timed FRQ section or representative subset.</w:t>
      </w:r>
    </w:p>
    <w:p>
      <w:pPr>
        <w:numPr>
          <w:ilvl w:val="0"/>
          <w:numId w:val="33"/>
        </w:numPr>
        <w:spacing w:after="160" w:line="280" w:lineRule="auto"/>
      </w:pPr>
      <w:r>
        <w:t>Delayed error-focused retrieval.</w:t>
      </w:r>
    </w:p>
    <w:p>
      <w:pPr>
        <w:pStyle w:val="Heading1"/>
      </w:pPr>
      <w:r>
        <w:t>14. User-Provided Questions</w:t>
      </w:r>
    </w:p>
    <w:p>
      <w:pPr>
        <w:widowControl/>
      </w:pPr>
      <w:r>
        <w:t>The system must support students arriving with a specific outside question.</w:t>
      </w:r>
    </w:p>
    <w:p>
      <w:pPr>
        <w:pStyle w:val="Heading2"/>
      </w:pPr>
      <w:r>
        <w:t>14.1 Modes</w:t>
      </w:r>
    </w:p>
    <w:p>
      <w:pPr>
        <w:numPr>
          <w:ilvl w:val="0"/>
          <w:numId w:val="10"/>
        </w:numPr>
        <w:spacing w:after="160" w:line="280" w:lineRule="auto"/>
      </w:pPr>
      <w:r>
        <w:t>Teach me the underlying concept.</w:t>
      </w:r>
    </w:p>
    <w:p>
      <w:pPr>
        <w:numPr>
          <w:ilvl w:val="0"/>
          <w:numId w:val="10"/>
        </w:numPr>
        <w:spacing w:after="160" w:line="280" w:lineRule="auto"/>
      </w:pPr>
      <w:r>
        <w:t>Give me a hint.</w:t>
      </w:r>
    </w:p>
    <w:p>
      <w:pPr>
        <w:numPr>
          <w:ilvl w:val="0"/>
          <w:numId w:val="10"/>
        </w:numPr>
        <w:spacing w:after="160" w:line="280" w:lineRule="auto"/>
      </w:pPr>
      <w:r>
        <w:t>Walk me through a solution.</w:t>
      </w:r>
    </w:p>
    <w:p>
      <w:pPr>
        <w:numPr>
          <w:ilvl w:val="0"/>
          <w:numId w:val="10"/>
        </w:numPr>
        <w:spacing w:after="160" w:line="280" w:lineRule="auto"/>
      </w:pPr>
      <w:r>
        <w:t>Check my work.</w:t>
      </w:r>
    </w:p>
    <w:p>
      <w:pPr>
        <w:numPr>
          <w:ilvl w:val="0"/>
          <w:numId w:val="10"/>
        </w:numPr>
        <w:spacing w:after="160" w:line="280" w:lineRule="auto"/>
      </w:pPr>
      <w:r>
        <w:t>Estimate how this would score.</w:t>
      </w:r>
    </w:p>
    <w:p>
      <w:pPr>
        <w:pStyle w:val="Heading2"/>
      </w:pPr>
      <w:r>
        <w:t>14.2 Teaching Rules</w:t>
      </w:r>
    </w:p>
    <w:p>
      <w:pPr>
        <w:numPr>
          <w:ilvl w:val="0"/>
          <w:numId w:val="10"/>
        </w:numPr>
        <w:spacing w:after="160" w:line="280" w:lineRule="auto"/>
      </w:pPr>
      <w:r>
        <w:t>Ask for the learner's attempt when appropriate.</w:t>
      </w:r>
    </w:p>
    <w:p>
      <w:pPr>
        <w:numPr>
          <w:ilvl w:val="0"/>
          <w:numId w:val="10"/>
        </w:numPr>
        <w:spacing w:after="160" w:line="280" w:lineRule="auto"/>
      </w:pPr>
      <w:r>
        <w:t>Classify the question to the active exam pack.</w:t>
      </w:r>
    </w:p>
    <w:p>
      <w:pPr>
        <w:numPr>
          <w:ilvl w:val="0"/>
          <w:numId w:val="10"/>
        </w:numPr>
        <w:spacing w:after="160" w:line="280" w:lineRule="auto"/>
      </w:pPr>
      <w:r>
        <w:t>Detect when the question is outside AP Biology scope.</w:t>
      </w:r>
    </w:p>
    <w:p>
      <w:pPr>
        <w:numPr>
          <w:ilvl w:val="0"/>
          <w:numId w:val="10"/>
        </w:numPr>
        <w:spacing w:after="160" w:line="280" w:lineRule="auto"/>
      </w:pPr>
      <w:r>
        <w:t>Ground teaching in approved concepts and skills.</w:t>
      </w:r>
    </w:p>
    <w:p>
      <w:pPr>
        <w:numPr>
          <w:ilvl w:val="0"/>
          <w:numId w:val="10"/>
        </w:numPr>
        <w:spacing w:after="160" w:line="280" w:lineRule="auto"/>
      </w:pPr>
      <w:r>
        <w:t>Separate source question wording from Cramapple-authored explanation.</w:t>
      </w:r>
    </w:p>
    <w:p>
      <w:pPr>
        <w:numPr>
          <w:ilvl w:val="0"/>
          <w:numId w:val="10"/>
        </w:numPr>
        <w:spacing w:after="160" w:line="280" w:lineRule="auto"/>
      </w:pPr>
      <w:r>
        <w:t>State uncertainty when extraction, diagrams, or context are incomplete.</w:t>
      </w:r>
    </w:p>
    <w:p>
      <w:pPr>
        <w:numPr>
          <w:ilvl w:val="0"/>
          <w:numId w:val="10"/>
        </w:numPr>
        <w:spacing w:after="160" w:line="280" w:lineRule="auto"/>
      </w:pPr>
      <w:r>
        <w:t>Never promote the question into canonical content without review.</w:t>
      </w:r>
    </w:p>
    <w:p>
      <w:pPr>
        <w:numPr>
          <w:ilvl w:val="0"/>
          <w:numId w:val="10"/>
        </w:numPr>
        <w:spacing w:after="160" w:line="280" w:lineRule="auto"/>
      </w:pPr>
      <w:r>
        <w:t>Keep cold orientation free of answer-bearing concepts, traps, rubric criteria, formula choices, or graph trends.</w:t>
      </w:r>
    </w:p>
    <w:p>
      <w:pPr>
        <w:numPr>
          <w:ilvl w:val="0"/>
          <w:numId w:val="10"/>
        </w:numPr>
        <w:spacing w:after="160" w:line="280" w:lineRule="auto"/>
      </w:pPr>
      <w:r>
        <w:t>Treat internal anonymous improvement use and public publication as separate decisions.</w:t>
      </w:r>
    </w:p>
    <w:p>
      <w:pPr>
        <w:numPr>
          <w:ilvl w:val="0"/>
          <w:numId w:val="10"/>
        </w:numPr>
        <w:spacing w:after="160" w:line="280" w:lineRule="auto"/>
      </w:pPr>
      <w:r>
        <w:t>Before public publication, sweep for the signed-in user's full proper name and reasonable first-name, last-name, and combined-name variants; remove or hold matches.</w:t>
      </w:r>
    </w:p>
    <w:p>
      <w:pPr>
        <w:pStyle w:val="Heading2"/>
      </w:pPr>
      <w:r>
        <w:t>14.3 Anonymous Improvement Use</w:t>
      </w:r>
    </w:p>
    <w:p>
      <w:pPr>
        <w:widowControl/>
      </w:pPr>
      <w:r>
        <w:t>Cramapple uses anonymous or deidentified student responses and outcome traces to improve grading, teaching, content, evaluation sets, prompts, model configurations, and intervention routing. Validator corrections, source versions, and adjudication status remain attached to improvement examples.</w:t>
      </w:r>
    </w:p>
    <w:p>
      <w:pPr>
        <w:widowControl/>
      </w:pPr>
      <w:r>
        <w:t>Names, account identifiers, payment information, parent identifiers, and direct contact information are excluded from improvement datasets. Terms and Conditions prohibit submission of personal or confidential information and govern residual edge cases. Counsel owns final consent, age, retention, deletion, and jurisdiction-specific requirements.</w:t>
      </w:r>
    </w:p>
    <w:p>
      <w:pPr>
        <w:pStyle w:val="Heading1"/>
      </w:pPr>
      <w:r>
        <w:t>15. Teaching Validation</w:t>
      </w:r>
    </w:p>
    <w:p>
      <w:pPr>
        <w:pStyle w:val="Heading2"/>
      </w:pPr>
      <w:r>
        <w:t>15.1 Validator Roles</w:t>
      </w:r>
    </w:p>
    <w:p>
      <w:pPr>
        <w:numPr>
          <w:ilvl w:val="0"/>
          <w:numId w:val="10"/>
        </w:numPr>
        <w:spacing w:after="160" w:line="280" w:lineRule="auto"/>
      </w:pPr>
      <w:r>
        <w:t>AP Biology content expert.</w:t>
      </w:r>
    </w:p>
    <w:p>
      <w:pPr>
        <w:numPr>
          <w:ilvl w:val="0"/>
          <w:numId w:val="10"/>
        </w:numPr>
        <w:spacing w:after="160" w:line="280" w:lineRule="auto"/>
      </w:pPr>
      <w:r>
        <w:t>AP Biology pedagogy reviewer.</w:t>
      </w:r>
    </w:p>
    <w:p>
      <w:pPr>
        <w:numPr>
          <w:ilvl w:val="0"/>
          <w:numId w:val="10"/>
        </w:numPr>
        <w:spacing w:after="160" w:line="280" w:lineRule="auto"/>
      </w:pPr>
      <w:r>
        <w:t>Experienced tutor or teacher.</w:t>
      </w:r>
    </w:p>
    <w:p>
      <w:pPr>
        <w:numPr>
          <w:ilvl w:val="0"/>
          <w:numId w:val="10"/>
        </w:numPr>
        <w:spacing w:after="160" w:line="280" w:lineRule="auto"/>
      </w:pPr>
      <w:r>
        <w:t>Grading reviewer for rubric-linked interventions.</w:t>
      </w:r>
    </w:p>
    <w:p>
      <w:pPr>
        <w:numPr>
          <w:ilvl w:val="0"/>
          <w:numId w:val="10"/>
        </w:numPr>
        <w:spacing w:after="160" w:line="280" w:lineRule="auto"/>
      </w:pPr>
      <w:r>
        <w:t>Lead validator for disagreement and release.</w:t>
      </w:r>
    </w:p>
    <w:p>
      <w:pPr>
        <w:widowControl/>
      </w:pPr>
      <w:r>
        <w:t>One person may hold multiple qualifications, but the system records which qualification supported each decision.</w:t>
      </w:r>
    </w:p>
    <w:p>
      <w:pPr>
        <w:pStyle w:val="Heading2"/>
      </w:pPr>
      <w:r>
        <w:t>15.2 Review Unit</w:t>
      </w:r>
    </w:p>
    <w:p>
      <w:pPr>
        <w:widowControl/>
      </w:pPr>
      <w:r>
        <w:t>Validators should review reusable instructional units rather than random prose:</w:t>
      </w:r>
    </w:p>
    <w:p>
      <w:pPr>
        <w:numPr>
          <w:ilvl w:val="0"/>
          <w:numId w:val="10"/>
        </w:numPr>
        <w:spacing w:after="160" w:line="280" w:lineRule="auto"/>
      </w:pPr>
      <w:r>
        <w:t>Diagnostic classification rule.</w:t>
      </w:r>
    </w:p>
    <w:p>
      <w:pPr>
        <w:numPr>
          <w:ilvl w:val="0"/>
          <w:numId w:val="10"/>
        </w:numPr>
        <w:spacing w:after="160" w:line="280" w:lineRule="auto"/>
      </w:pPr>
      <w:r>
        <w:t>Misconception and discriminating probe.</w:t>
      </w:r>
    </w:p>
    <w:p>
      <w:pPr>
        <w:numPr>
          <w:ilvl w:val="0"/>
          <w:numId w:val="10"/>
        </w:numPr>
        <w:spacing w:after="160" w:line="280" w:lineRule="auto"/>
      </w:pPr>
      <w:r>
        <w:t>Intervention pattern and examples.</w:t>
      </w:r>
    </w:p>
    <w:p>
      <w:pPr>
        <w:numPr>
          <w:ilvl w:val="0"/>
          <w:numId w:val="10"/>
        </w:numPr>
        <w:spacing w:after="160" w:line="280" w:lineRule="auto"/>
      </w:pPr>
      <w:r>
        <w:t>Hint ladder.</w:t>
      </w:r>
    </w:p>
    <w:p>
      <w:pPr>
        <w:numPr>
          <w:ilvl w:val="0"/>
          <w:numId w:val="10"/>
        </w:numPr>
        <w:spacing w:after="160" w:line="280" w:lineRule="auto"/>
      </w:pPr>
      <w:r>
        <w:t>Transfer item.</w:t>
      </w:r>
    </w:p>
    <w:p>
      <w:pPr>
        <w:numPr>
          <w:ilvl w:val="0"/>
          <w:numId w:val="10"/>
        </w:numPr>
        <w:spacing w:after="160" w:line="280" w:lineRule="auto"/>
      </w:pPr>
      <w:r>
        <w:t>Delayed retrieval variant.</w:t>
      </w:r>
    </w:p>
    <w:p>
      <w:pPr>
        <w:numPr>
          <w:ilvl w:val="0"/>
          <w:numId w:val="10"/>
        </w:numPr>
        <w:spacing w:after="160" w:line="280" w:lineRule="auto"/>
      </w:pPr>
      <w:r>
        <w:t>Recommendation explanation.</w:t>
      </w:r>
    </w:p>
    <w:p>
      <w:pPr>
        <w:numPr>
          <w:ilvl w:val="0"/>
          <w:numId w:val="10"/>
        </w:numPr>
        <w:spacing w:after="160" w:line="280" w:lineRule="auto"/>
      </w:pPr>
      <w:r>
        <w:t>Expected evidence and failure cases.</w:t>
      </w:r>
    </w:p>
    <w:p>
      <w:pPr>
        <w:widowControl/>
      </w:pPr>
      <w:r>
        <w:t>For production cases and model disagreements, the validator receives a compact evidence package containing the source, rubric version, anonymized response, grader rationale, competing diagnosis hypotheses, probes, intervention, independent retry, delayed outcome when available, and the reason for review.</w:t>
      </w:r>
    </w:p>
    <w:p>
      <w:pPr>
        <w:pStyle w:val="Heading2"/>
      </w:pPr>
      <w:r>
        <w:t>15.3 Teaching Release Gates</w:t>
      </w:r>
    </w:p>
    <w:p>
      <w:pPr>
        <w:widowControl/>
      </w:pPr>
      <w:r>
        <w:t>An instructional artifact should not publish until required reviewers confirm:</w:t>
      </w:r>
    </w:p>
    <w:p>
      <w:pPr>
        <w:numPr>
          <w:ilvl w:val="0"/>
          <w:numId w:val="10"/>
        </w:numPr>
        <w:spacing w:after="160" w:line="280" w:lineRule="auto"/>
      </w:pPr>
      <w:r>
        <w:t>Scientific accuracy.</w:t>
      </w:r>
    </w:p>
    <w:p>
      <w:pPr>
        <w:numPr>
          <w:ilvl w:val="0"/>
          <w:numId w:val="10"/>
        </w:numPr>
        <w:spacing w:after="160" w:line="280" w:lineRule="auto"/>
      </w:pPr>
      <w:r>
        <w:t>Alignment with the active exam specification.</w:t>
      </w:r>
    </w:p>
    <w:p>
      <w:pPr>
        <w:numPr>
          <w:ilvl w:val="0"/>
          <w:numId w:val="10"/>
        </w:numPr>
        <w:spacing w:after="160" w:line="280" w:lineRule="auto"/>
      </w:pPr>
      <w:r>
        <w:t>Correct diagnosis-to-intervention match.</w:t>
      </w:r>
    </w:p>
    <w:p>
      <w:pPr>
        <w:numPr>
          <w:ilvl w:val="0"/>
          <w:numId w:val="10"/>
        </w:numPr>
        <w:spacing w:after="160" w:line="280" w:lineRule="auto"/>
      </w:pPr>
      <w:r>
        <w:t>Appropriate support level.</w:t>
      </w:r>
    </w:p>
    <w:p>
      <w:pPr>
        <w:numPr>
          <w:ilvl w:val="0"/>
          <w:numId w:val="10"/>
        </w:numPr>
        <w:spacing w:after="160" w:line="280" w:lineRule="auto"/>
      </w:pPr>
      <w:r>
        <w:t>Clear and accessible language.</w:t>
      </w:r>
    </w:p>
    <w:p>
      <w:pPr>
        <w:numPr>
          <w:ilvl w:val="0"/>
          <w:numId w:val="10"/>
        </w:numPr>
        <w:spacing w:after="160" w:line="280" w:lineRule="auto"/>
      </w:pPr>
      <w:r>
        <w:t>No premature answer leakage.</w:t>
      </w:r>
    </w:p>
    <w:p>
      <w:pPr>
        <w:numPr>
          <w:ilvl w:val="0"/>
          <w:numId w:val="10"/>
        </w:numPr>
        <w:spacing w:after="160" w:line="280" w:lineRule="auto"/>
      </w:pPr>
      <w:r>
        <w:t>Valid transfer task.</w:t>
      </w:r>
    </w:p>
    <w:p>
      <w:pPr>
        <w:numPr>
          <w:ilvl w:val="0"/>
          <w:numId w:val="10"/>
        </w:numPr>
        <w:spacing w:after="160" w:line="280" w:lineRule="auto"/>
      </w:pPr>
      <w:r>
        <w:t>Appropriate uncertainty and source use.</w:t>
      </w:r>
    </w:p>
    <w:p>
      <w:pPr>
        <w:numPr>
          <w:ilvl w:val="0"/>
          <w:numId w:val="10"/>
        </w:numPr>
        <w:spacing w:after="160" w:line="280" w:lineRule="auto"/>
      </w:pPr>
      <w:r>
        <w:t>No conflict with grading criteria.</w:t>
      </w:r>
    </w:p>
    <w:p>
      <w:pPr>
        <w:pStyle w:val="Heading2"/>
      </w:pPr>
      <w:r>
        <w:t>15.4 Production Monitoring</w:t>
      </w:r>
    </w:p>
    <w:p>
      <w:pPr>
        <w:widowControl/>
      </w:pPr>
      <w:r>
        <w:t>Monitor:</w:t>
      </w:r>
    </w:p>
    <w:p>
      <w:pPr>
        <w:numPr>
          <w:ilvl w:val="0"/>
          <w:numId w:val="10"/>
        </w:numPr>
        <w:spacing w:after="160" w:line="280" w:lineRule="auto"/>
      </w:pPr>
      <w:r>
        <w:t>Immediate transfer gain.</w:t>
      </w:r>
    </w:p>
    <w:p>
      <w:pPr>
        <w:numPr>
          <w:ilvl w:val="0"/>
          <w:numId w:val="10"/>
        </w:numPr>
        <w:spacing w:after="160" w:line="280" w:lineRule="auto"/>
      </w:pPr>
      <w:r>
        <w:t>Delayed retention.</w:t>
      </w:r>
    </w:p>
    <w:p>
      <w:pPr>
        <w:numPr>
          <w:ilvl w:val="0"/>
          <w:numId w:val="10"/>
        </w:numPr>
        <w:spacing w:after="160" w:line="280" w:lineRule="auto"/>
      </w:pPr>
      <w:r>
        <w:t>Cross-context transfer.</w:t>
      </w:r>
    </w:p>
    <w:p>
      <w:pPr>
        <w:numPr>
          <w:ilvl w:val="0"/>
          <w:numId w:val="10"/>
        </w:numPr>
        <w:spacing w:after="160" w:line="280" w:lineRule="auto"/>
      </w:pPr>
      <w:r>
        <w:t>Hint dependence.</w:t>
      </w:r>
    </w:p>
    <w:p>
      <w:pPr>
        <w:numPr>
          <w:ilvl w:val="0"/>
          <w:numId w:val="10"/>
        </w:numPr>
        <w:spacing w:after="160" w:line="280" w:lineRule="auto"/>
      </w:pPr>
      <w:r>
        <w:t>Recommendation acceptance and completion.</w:t>
      </w:r>
    </w:p>
    <w:p>
      <w:pPr>
        <w:numPr>
          <w:ilvl w:val="0"/>
          <w:numId w:val="10"/>
        </w:numPr>
        <w:spacing w:after="160" w:line="280" w:lineRule="auto"/>
      </w:pPr>
      <w:r>
        <w:t>Student-reported confusion.</w:t>
      </w:r>
    </w:p>
    <w:p>
      <w:pPr>
        <w:numPr>
          <w:ilvl w:val="0"/>
          <w:numId w:val="10"/>
        </w:numPr>
        <w:spacing w:after="160" w:line="280" w:lineRule="auto"/>
      </w:pPr>
      <w:r>
        <w:t>Validator-reported defects.</w:t>
      </w:r>
    </w:p>
    <w:p>
      <w:pPr>
        <w:numPr>
          <w:ilvl w:val="0"/>
          <w:numId w:val="10"/>
        </w:numPr>
        <w:spacing w:after="160" w:line="280" w:lineRule="auto"/>
      </w:pPr>
      <w:r>
        <w:t>Disparities by accessibility or learner group.</w:t>
      </w:r>
    </w:p>
    <w:p>
      <w:pPr>
        <w:numPr>
          <w:ilvl w:val="0"/>
          <w:numId w:val="10"/>
        </w:numPr>
        <w:spacing w:after="160" w:line="280" w:lineRule="auto"/>
      </w:pPr>
      <w:r>
        <w:t>Model and content version drift.</w:t>
      </w:r>
    </w:p>
    <w:p>
      <w:pPr>
        <w:numPr>
          <w:ilvl w:val="0"/>
          <w:numId w:val="10"/>
        </w:numPr>
        <w:spacing w:after="160" w:line="280" w:lineRule="auto"/>
      </w:pPr>
      <w:r>
        <w:t>Effectiveness by skill-and-task key and intervention class.</w:t>
      </w:r>
    </w:p>
    <w:p>
      <w:pPr>
        <w:numPr>
          <w:ilvl w:val="0"/>
          <w:numId w:val="10"/>
        </w:numPr>
        <w:spacing w:after="160" w:line="280" w:lineRule="auto"/>
      </w:pPr>
      <w:r>
        <w:t xml:space="preserve">Repeated Park events and </w:t>
      </w:r>
      <w:r>
        <w:rPr>
          <w:rFonts w:ascii="Consolas" w:hAnsi="Consolas"/>
          <w:sz w:val="19"/>
        </w:rPr>
        <w:t>content_uncertain</w:t>
      </w:r>
      <w:r>
        <w:t xml:space="preserve"> rates.</w:t>
      </w:r>
    </w:p>
    <w:p>
      <w:pPr>
        <w:widowControl/>
      </w:pPr>
      <w:r>
        <w:t>High immediate gain with poor delayed retention is not success.</w:t>
      </w:r>
    </w:p>
    <w:p>
      <w:pPr>
        <w:widowControl/>
      </w:pPr>
      <w:r>
        <w:t>Intervention history must not become a generic learning-style preference. Cramapple may bias a route only when comparable evidence shows that the intervention improved independent or delayed performance for the learner on that skill and task type.</w:t>
      </w:r>
    </w:p>
    <w:p>
      <w:pPr>
        <w:pStyle w:val="Heading2"/>
      </w:pPr>
      <w:r>
        <w:t>15.5 Park and Return Policy</w:t>
      </w:r>
    </w:p>
    <w:p>
      <w:pPr>
        <w:widowControl/>
      </w:pPr>
      <w:r>
        <w:t>Move On is always available. Park is the system state used when the support budget is exhausted, expected benefit is low, validated content is unavailable, or the learner chooses to defer.</w:t>
      </w:r>
    </w:p>
    <w:p>
      <w:pPr>
        <w:widowControl/>
      </w:pPr>
      <w:r>
        <w:t xml:space="preserve">Let </w:t>
      </w:r>
      <w:r>
        <w:rPr>
          <w:rFonts w:ascii="Consolas" w:hAnsi="Consolas"/>
          <w:sz w:val="19"/>
        </w:rPr>
        <w:t>H</w:t>
      </w:r>
      <w:r>
        <w:t xml:space="preserve"> be hours until the exam, </w:t>
      </w:r>
      <w:r>
        <w:rPr>
          <w:rFonts w:ascii="Consolas" w:hAnsi="Consolas"/>
          <w:sz w:val="19"/>
        </w:rPr>
        <w:t>F</w:t>
      </w:r>
      <w:r>
        <w:t xml:space="preserve"> frustration from 0 to 1, and </w:t>
      </w:r>
      <w:r>
        <w:rPr>
          <w:rFonts w:ascii="Consolas" w:hAnsi="Consolas"/>
          <w:sz w:val="19"/>
        </w:rPr>
        <w:t>U</w:t>
      </w:r>
      <w:r>
        <w:t xml:space="preserve"> normalized expected exam utility from 0 to 1:</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100" w:type="dxa"/>
              <w:start w:w="180" w:type="dxa"/>
              <w:bottom w:w="100" w:type="dxa"/>
              <w:end w:w="180" w:type="dxa"/>
            </w:tcMar>
            <w:shd w:fill="F4F6F9"/>
          </w:tcPr>
          <w:p>
            <w:pPr>
              <w:spacing w:after="0" w:line="240" w:lineRule="auto"/>
            </w:pPr>
            <w:r>
              <w:rPr>
                <w:rFonts w:ascii="Consolas" w:hAnsi="Consolas"/>
                <w:color w:val="202D3A"/>
                <w:sz w:val="16"/>
              </w:rPr>
              <w:t>minimum reset R = 12 + 36F</w:t>
              <w:br/>
              <w:t>priority target P = 48 - 24U</w:t>
              <w:br/>
              <w:t>latest useful return L = max(0, H - 18)</w:t>
              <w:br/>
              <w:t>return delay = min(L, max(R, P))</w:t>
            </w:r>
          </w:p>
        </w:tc>
      </w:tr>
    </w:tbl>
    <w:p>
      <w:pPr>
        <w:spacing w:after="0"/>
      </w:pPr>
    </w:p>
    <w:p>
      <w:pPr>
        <w:widowControl/>
      </w:pPr>
      <w:r>
        <w:t xml:space="preserve">If </w:t>
      </w:r>
      <w:r>
        <w:rPr>
          <w:rFonts w:ascii="Consolas" w:hAnsi="Consolas"/>
          <w:sz w:val="19"/>
        </w:rPr>
        <w:t>L &lt; 12</w:t>
      </w:r>
      <w:r>
        <w:t>, do not automatically resurface the skill; offer optional concise review. This is a deterministic, explainable starting policy, not a claim of scientific optimality.</w:t>
      </w:r>
    </w:p>
    <w:p>
      <w:pPr>
        <w:pStyle w:val="Heading1"/>
      </w:pPr>
      <w:r>
        <w:t>16. Evaluation Framework</w:t>
      </w:r>
    </w:p>
    <w:p>
      <w:pPr>
        <w:pStyle w:val="Heading2"/>
      </w:pPr>
      <w:r>
        <w:t>16.1 Primary Product Outcomes</w:t>
      </w:r>
    </w:p>
    <w:p>
      <w:pPr>
        <w:numPr>
          <w:ilvl w:val="0"/>
          <w:numId w:val="10"/>
        </w:numPr>
        <w:spacing w:after="160" w:line="280" w:lineRule="auto"/>
      </w:pPr>
      <w:r>
        <w:t>Improvement on independent delayed retrieval.</w:t>
      </w:r>
    </w:p>
    <w:p>
      <w:pPr>
        <w:numPr>
          <w:ilvl w:val="0"/>
          <w:numId w:val="10"/>
        </w:numPr>
        <w:spacing w:after="160" w:line="280" w:lineRule="auto"/>
      </w:pPr>
      <w:r>
        <w:t>Improvement on unseen but aligned transfer items.</w:t>
      </w:r>
    </w:p>
    <w:p>
      <w:pPr>
        <w:numPr>
          <w:ilvl w:val="0"/>
          <w:numId w:val="10"/>
        </w:numPr>
        <w:spacing w:after="160" w:line="280" w:lineRule="auto"/>
      </w:pPr>
      <w:r>
        <w:t>Increase in earned FRQ criteria.</w:t>
      </w:r>
    </w:p>
    <w:p>
      <w:pPr>
        <w:numPr>
          <w:ilvl w:val="0"/>
          <w:numId w:val="10"/>
        </w:numPr>
        <w:spacing w:after="160" w:line="280" w:lineRule="auto"/>
      </w:pPr>
      <w:r>
        <w:t>Better calibration between confidence and performance.</w:t>
      </w:r>
    </w:p>
    <w:p>
      <w:pPr>
        <w:numPr>
          <w:ilvl w:val="0"/>
          <w:numId w:val="10"/>
        </w:numPr>
        <w:spacing w:after="160" w:line="280" w:lineRule="auto"/>
      </w:pPr>
      <w:r>
        <w:t>Higher completion of due retrieval.</w:t>
      </w:r>
    </w:p>
    <w:p>
      <w:pPr>
        <w:numPr>
          <w:ilvl w:val="0"/>
          <w:numId w:val="10"/>
        </w:numPr>
        <w:spacing w:after="160" w:line="280" w:lineRule="auto"/>
      </w:pPr>
      <w:r>
        <w:t>Useful study time directed to high-value gaps.</w:t>
      </w:r>
    </w:p>
    <w:p>
      <w:pPr>
        <w:pStyle w:val="Heading2"/>
      </w:pPr>
      <w:r>
        <w:t>16.2 Guardrail Outcomes</w:t>
      </w:r>
    </w:p>
    <w:p>
      <w:pPr>
        <w:numPr>
          <w:ilvl w:val="0"/>
          <w:numId w:val="10"/>
        </w:numPr>
        <w:spacing w:after="160" w:line="280" w:lineRule="auto"/>
      </w:pPr>
      <w:r>
        <w:t>No increase in scientifically incorrect explanations.</w:t>
      </w:r>
    </w:p>
    <w:p>
      <w:pPr>
        <w:numPr>
          <w:ilvl w:val="0"/>
          <w:numId w:val="10"/>
        </w:numPr>
        <w:spacing w:after="160" w:line="280" w:lineRule="auto"/>
      </w:pPr>
      <w:r>
        <w:t>No material overstatement of mastery or projected score.</w:t>
      </w:r>
    </w:p>
    <w:p>
      <w:pPr>
        <w:numPr>
          <w:ilvl w:val="0"/>
          <w:numId w:val="10"/>
        </w:numPr>
        <w:spacing w:after="160" w:line="280" w:lineRule="auto"/>
      </w:pPr>
      <w:r>
        <w:t>No systematic neglect of lower-weight prerequisite content.</w:t>
      </w:r>
    </w:p>
    <w:p>
      <w:pPr>
        <w:numPr>
          <w:ilvl w:val="0"/>
          <w:numId w:val="10"/>
        </w:numPr>
        <w:spacing w:after="160" w:line="280" w:lineRule="auto"/>
      </w:pPr>
      <w:r>
        <w:t>No excessive answer revelation.</w:t>
      </w:r>
    </w:p>
    <w:p>
      <w:pPr>
        <w:numPr>
          <w:ilvl w:val="0"/>
          <w:numId w:val="10"/>
        </w:numPr>
        <w:spacing w:after="160" w:line="280" w:lineRule="auto"/>
      </w:pPr>
      <w:r>
        <w:t>No excessive session burden from confidence prompts or diagnostics.</w:t>
      </w:r>
    </w:p>
    <w:p>
      <w:pPr>
        <w:numPr>
          <w:ilvl w:val="0"/>
          <w:numId w:val="10"/>
        </w:numPr>
        <w:spacing w:after="160" w:line="280" w:lineRule="auto"/>
      </w:pPr>
      <w:r>
        <w:t>No recommendation pattern that trains narrowly to released items.</w:t>
      </w:r>
    </w:p>
    <w:p>
      <w:pPr>
        <w:pStyle w:val="Heading2"/>
      </w:pPr>
      <w:r>
        <w:t>16.3 Experiments</w:t>
      </w:r>
    </w:p>
    <w:p>
      <w:pPr>
        <w:widowControl/>
      </w:pPr>
      <w:r>
        <w:t>Candidate controlled tests include:</w:t>
      </w:r>
    </w:p>
    <w:p>
      <w:pPr>
        <w:numPr>
          <w:ilvl w:val="0"/>
          <w:numId w:val="10"/>
        </w:numPr>
        <w:spacing w:after="160" w:line="280" w:lineRule="auto"/>
      </w:pPr>
      <w:r>
        <w:t>Attempt-first versus explanation-first for selected gaps.</w:t>
      </w:r>
    </w:p>
    <w:p>
      <w:pPr>
        <w:numPr>
          <w:ilvl w:val="0"/>
          <w:numId w:val="10"/>
        </w:numPr>
        <w:spacing w:after="160" w:line="280" w:lineRule="auto"/>
      </w:pPr>
      <w:r>
        <w:t>Immediate-only versus delayed retrieval.</w:t>
      </w:r>
    </w:p>
    <w:p>
      <w:pPr>
        <w:numPr>
          <w:ilvl w:val="0"/>
          <w:numId w:val="10"/>
        </w:numPr>
        <w:spacing w:after="160" w:line="280" w:lineRule="auto"/>
      </w:pPr>
      <w:r>
        <w:t>Blocked then interleaved versus blocked-only practice.</w:t>
      </w:r>
    </w:p>
    <w:p>
      <w:pPr>
        <w:numPr>
          <w:ilvl w:val="0"/>
          <w:numId w:val="10"/>
        </w:numPr>
        <w:spacing w:after="160" w:line="280" w:lineRule="auto"/>
      </w:pPr>
      <w:r>
        <w:t>Recommendation with reasoning versus recommendation alone.</w:t>
      </w:r>
    </w:p>
    <w:p>
      <w:pPr>
        <w:numPr>
          <w:ilvl w:val="0"/>
          <w:numId w:val="10"/>
        </w:numPr>
        <w:spacing w:after="160" w:line="280" w:lineRule="auto"/>
      </w:pPr>
      <w:r>
        <w:t>Criterion-level FRQ feedback versus holistic feedback.</w:t>
      </w:r>
    </w:p>
    <w:p>
      <w:pPr>
        <w:numPr>
          <w:ilvl w:val="0"/>
          <w:numId w:val="10"/>
        </w:numPr>
        <w:spacing w:after="160" w:line="280" w:lineRule="auto"/>
      </w:pPr>
      <w:r>
        <w:t>Different review intervals by days remaining.</w:t>
      </w:r>
    </w:p>
    <w:p>
      <w:pPr>
        <w:widowControl/>
      </w:pPr>
      <w:r>
        <w:t>Experiments require expert review and must not remove minimum-quality safeguards.</w:t>
      </w:r>
    </w:p>
    <w:p>
      <w:pPr>
        <w:pStyle w:val="Heading1"/>
      </w:pPr>
      <w:r>
        <w:t>17. MVP Teaching Scope</w:t>
      </w:r>
    </w:p>
    <w:p>
      <w:pPr>
        <w:pStyle w:val="Heading2"/>
      </w:pPr>
      <w:r>
        <w:t>17.1 Required</w:t>
      </w:r>
    </w:p>
    <w:p>
      <w:pPr>
        <w:numPr>
          <w:ilvl w:val="0"/>
          <w:numId w:val="10"/>
        </w:numPr>
        <w:spacing w:after="160" w:line="280" w:lineRule="auto"/>
      </w:pPr>
      <w:r>
        <w:t>Active AP Biology exam specification.</w:t>
      </w:r>
    </w:p>
    <w:p>
      <w:pPr>
        <w:numPr>
          <w:ilvl w:val="0"/>
          <w:numId w:val="10"/>
        </w:numPr>
        <w:spacing w:after="160" w:line="280" w:lineRule="auto"/>
      </w:pPr>
      <w:r>
        <w:t>Versioned taxonomy of units, learning objectives, practices, skills, task operations, and FRQ types.</w:t>
      </w:r>
    </w:p>
    <w:p>
      <w:pPr>
        <w:numPr>
          <w:ilvl w:val="0"/>
          <w:numId w:val="10"/>
        </w:numPr>
        <w:spacing w:after="160" w:line="280" w:lineRule="auto"/>
      </w:pPr>
      <w:r>
        <w:t>Short diagnostic or opportunistic diagnosis.</w:t>
      </w:r>
    </w:p>
    <w:p>
      <w:pPr>
        <w:numPr>
          <w:ilvl w:val="0"/>
          <w:numId w:val="10"/>
        </w:numPr>
        <w:spacing w:after="160" w:line="280" w:lineRule="auto"/>
      </w:pPr>
      <w:r>
        <w:t>Attempt-confidence-feedback-retry loop.</w:t>
      </w:r>
    </w:p>
    <w:p>
      <w:pPr>
        <w:numPr>
          <w:ilvl w:val="0"/>
          <w:numId w:val="10"/>
        </w:numPr>
        <w:spacing w:after="160" w:line="280" w:lineRule="auto"/>
      </w:pPr>
      <w:r>
        <w:t>Targeted intervention library for priority gaps.</w:t>
      </w:r>
    </w:p>
    <w:p>
      <w:pPr>
        <w:numPr>
          <w:ilvl w:val="0"/>
          <w:numId w:val="10"/>
        </w:numPr>
        <w:spacing w:after="160" w:line="280" w:lineRule="auto"/>
      </w:pPr>
      <w:r>
        <w:t>Same-session transfer and delayed review.</w:t>
      </w:r>
    </w:p>
    <w:p>
      <w:pPr>
        <w:numPr>
          <w:ilvl w:val="0"/>
          <w:numId w:val="10"/>
        </w:numPr>
        <w:spacing w:after="160" w:line="280" w:lineRule="auto"/>
      </w:pPr>
      <w:r>
        <w:t>Basic interleaving.</w:t>
      </w:r>
    </w:p>
    <w:p>
      <w:pPr>
        <w:numPr>
          <w:ilvl w:val="0"/>
          <w:numId w:val="10"/>
        </w:numPr>
        <w:spacing w:after="160" w:line="280" w:lineRule="auto"/>
      </w:pPr>
      <w:r>
        <w:t>Transparent next-action explanation.</w:t>
      </w:r>
    </w:p>
    <w:p>
      <w:pPr>
        <w:numPr>
          <w:ilvl w:val="0"/>
          <w:numId w:val="10"/>
        </w:numPr>
        <w:spacing w:after="160" w:line="280" w:lineRule="auto"/>
      </w:pPr>
      <w:r>
        <w:t>Criterion-level FRQ teaching.</w:t>
      </w:r>
    </w:p>
    <w:p>
      <w:pPr>
        <w:numPr>
          <w:ilvl w:val="0"/>
          <w:numId w:val="10"/>
        </w:numPr>
        <w:spacing w:after="160" w:line="280" w:lineRule="auto"/>
      </w:pPr>
      <w:r>
        <w:t>Learner progress based on durable evidence.</w:t>
      </w:r>
    </w:p>
    <w:p>
      <w:pPr>
        <w:numPr>
          <w:ilvl w:val="0"/>
          <w:numId w:val="10"/>
        </w:numPr>
        <w:spacing w:after="160" w:line="280" w:lineRule="auto"/>
      </w:pPr>
      <w:r>
        <w:t>Validator review and release workflow.</w:t>
      </w:r>
    </w:p>
    <w:p>
      <w:pPr>
        <w:pStyle w:val="Heading2"/>
      </w:pPr>
      <w:r>
        <w:t>17.2 Stage as Feasible</w:t>
      </w:r>
    </w:p>
    <w:p>
      <w:pPr>
        <w:numPr>
          <w:ilvl w:val="0"/>
          <w:numId w:val="10"/>
        </w:numPr>
        <w:spacing w:after="160" w:line="280" w:lineRule="auto"/>
      </w:pPr>
      <w:r>
        <w:t>Empirical learner-specific improvability model.</w:t>
      </w:r>
    </w:p>
    <w:p>
      <w:pPr>
        <w:numPr>
          <w:ilvl w:val="0"/>
          <w:numId w:val="10"/>
        </w:numPr>
        <w:spacing w:after="160" w:line="280" w:lineRule="auto"/>
      </w:pPr>
      <w:r>
        <w:t>Rich misconception graph.</w:t>
      </w:r>
    </w:p>
    <w:p>
      <w:pPr>
        <w:numPr>
          <w:ilvl w:val="0"/>
          <w:numId w:val="10"/>
        </w:numPr>
        <w:spacing w:after="160" w:line="280" w:lineRule="auto"/>
      </w:pPr>
      <w:r>
        <w:t>Image/document question intake.</w:t>
      </w:r>
    </w:p>
    <w:p>
      <w:pPr>
        <w:numPr>
          <w:ilvl w:val="0"/>
          <w:numId w:val="10"/>
        </w:numPr>
        <w:spacing w:after="160" w:line="280" w:lineRule="auto"/>
      </w:pPr>
      <w:r>
        <w:t>Adaptive experiment allocation.</w:t>
      </w:r>
    </w:p>
    <w:p>
      <w:pPr>
        <w:numPr>
          <w:ilvl w:val="0"/>
          <w:numId w:val="10"/>
        </w:numPr>
        <w:spacing w:after="160" w:line="280" w:lineRule="auto"/>
      </w:pPr>
      <w:r>
        <w:t>Full timed section simulation.</w:t>
      </w:r>
    </w:p>
    <w:p>
      <w:pPr>
        <w:pStyle w:val="Heading2"/>
      </w:pPr>
      <w:r>
        <w:t>17.3 Deferred</w:t>
      </w:r>
    </w:p>
    <w:p>
      <w:pPr>
        <w:numPr>
          <w:ilvl w:val="0"/>
          <w:numId w:val="10"/>
        </w:numPr>
        <w:spacing w:after="160" w:line="280" w:lineRule="auto"/>
      </w:pPr>
      <w:r>
        <w:t>Long-term course replacement.</w:t>
      </w:r>
    </w:p>
    <w:p>
      <w:pPr>
        <w:numPr>
          <w:ilvl w:val="0"/>
          <w:numId w:val="10"/>
        </w:numPr>
        <w:spacing w:after="160" w:line="280" w:lineRule="auto"/>
      </w:pPr>
      <w:r>
        <w:t>Guaranteed AP score prediction.</w:t>
      </w:r>
    </w:p>
    <w:p>
      <w:pPr>
        <w:numPr>
          <w:ilvl w:val="0"/>
          <w:numId w:val="10"/>
        </w:numPr>
        <w:spacing w:after="160" w:line="280" w:lineRule="auto"/>
      </w:pPr>
      <w:r>
        <w:t>Fully autonomous teaching publication.</w:t>
      </w:r>
    </w:p>
    <w:p>
      <w:pPr>
        <w:numPr>
          <w:ilvl w:val="0"/>
          <w:numId w:val="10"/>
        </w:numPr>
        <w:spacing w:after="160" w:line="280" w:lineRule="auto"/>
      </w:pPr>
      <w:r>
        <w:t>Parent-directed instructional control.</w:t>
      </w:r>
    </w:p>
    <w:p>
      <w:pPr>
        <w:numPr>
          <w:ilvl w:val="0"/>
          <w:numId w:val="10"/>
        </w:numPr>
        <w:spacing w:after="160" w:line="280" w:lineRule="auto"/>
      </w:pPr>
      <w:r>
        <w:t>Cross-subject pedagogy without exam-pack validation.</w:t>
      </w:r>
    </w:p>
    <w:p>
      <w:pPr>
        <w:pStyle w:val="Heading1"/>
      </w:pPr>
      <w:r>
        <w:t>18. Decisions Established Here</w:t>
      </w:r>
    </w:p>
    <w:p>
      <w:pPr>
        <w:numPr>
          <w:ilvl w:val="0"/>
          <w:numId w:val="34"/>
        </w:numPr>
        <w:spacing w:after="160" w:line="280" w:lineRule="auto"/>
      </w:pPr>
      <w:r>
        <w:t>The ten-day window optimizes exam-horizon retrieval and transfer, not guaranteed long-term retention.</w:t>
      </w:r>
    </w:p>
    <w:p>
      <w:pPr>
        <w:numPr>
          <w:ilvl w:val="0"/>
          <w:numId w:val="34"/>
        </w:numPr>
        <w:spacing w:after="160" w:line="280" w:lineRule="auto"/>
      </w:pPr>
      <w:r>
        <w:t>Attempt-first is the default, with documented exceptions.</w:t>
      </w:r>
    </w:p>
    <w:p>
      <w:pPr>
        <w:numPr>
          <w:ilvl w:val="0"/>
          <w:numId w:val="34"/>
        </w:numPr>
        <w:spacing w:after="160" w:line="280" w:lineRule="auto"/>
      </w:pPr>
      <w:r>
        <w:t>Weakness, improvability, and exam value are separate estimates.</w:t>
      </w:r>
    </w:p>
    <w:p>
      <w:pPr>
        <w:numPr>
          <w:ilvl w:val="0"/>
          <w:numId w:val="34"/>
        </w:numPr>
        <w:spacing w:after="160" w:line="280" w:lineRule="auto"/>
      </w:pPr>
      <w:r>
        <w:t>Improvability is updated from immediate transfer and delayed retention.</w:t>
      </w:r>
    </w:p>
    <w:p>
      <w:pPr>
        <w:numPr>
          <w:ilvl w:val="0"/>
          <w:numId w:val="34"/>
        </w:numPr>
        <w:spacing w:after="160" w:line="280" w:lineRule="auto"/>
      </w:pPr>
      <w:r>
        <w:t>College Board facts are versioned separately from Cramapple-derived planning values.</w:t>
      </w:r>
    </w:p>
    <w:p>
      <w:pPr>
        <w:numPr>
          <w:ilvl w:val="0"/>
          <w:numId w:val="34"/>
        </w:numPr>
        <w:spacing w:after="160" w:line="280" w:lineRule="auto"/>
      </w:pPr>
      <w:r>
        <w:t>Section, raw-point, unit, practice, and FRQ-part distributions guide prioritization.</w:t>
      </w:r>
    </w:p>
    <w:p>
      <w:pPr>
        <w:numPr>
          <w:ilvl w:val="0"/>
          <w:numId w:val="34"/>
        </w:numPr>
        <w:spacing w:after="160" w:line="280" w:lineRule="auto"/>
      </w:pPr>
      <w:r>
        <w:t>Unit weights apply to the MCQ section unless an official source states otherwise.</w:t>
      </w:r>
    </w:p>
    <w:p>
      <w:pPr>
        <w:numPr>
          <w:ilvl w:val="0"/>
          <w:numId w:val="34"/>
        </w:numPr>
        <w:spacing w:after="160" w:line="280" w:lineRule="auto"/>
      </w:pPr>
      <w:r>
        <w:t>Recommendations explain their reasoning.</w:t>
      </w:r>
    </w:p>
    <w:p>
      <w:pPr>
        <w:numPr>
          <w:ilvl w:val="0"/>
          <w:numId w:val="34"/>
        </w:numPr>
        <w:spacing w:after="160" w:line="280" w:lineRule="auto"/>
      </w:pPr>
      <w:r>
        <w:t>Interleaving is introduced deliberately and its difficulty is explained.</w:t>
      </w:r>
    </w:p>
    <w:p>
      <w:pPr>
        <w:numPr>
          <w:ilvl w:val="0"/>
          <w:numId w:val="34"/>
        </w:numPr>
        <w:spacing w:after="160" w:line="280" w:lineRule="auto"/>
      </w:pPr>
      <w:r>
        <w:t>FRQ teaching is criterion- and task-specific; CER is important but not universal.</w:t>
      </w:r>
    </w:p>
    <w:p>
      <w:pPr>
        <w:numPr>
          <w:ilvl w:val="0"/>
          <w:numId w:val="34"/>
        </w:numPr>
        <w:spacing w:after="160" w:line="280" w:lineRule="auto"/>
      </w:pPr>
      <w:r>
        <w:t>Improvement requires comparable, independent, and preferably delayed evidence.</w:t>
      </w:r>
    </w:p>
    <w:p>
      <w:pPr>
        <w:numPr>
          <w:ilvl w:val="0"/>
          <w:numId w:val="34"/>
        </w:numPr>
        <w:spacing w:after="160" w:line="280" w:lineRule="auto"/>
      </w:pPr>
      <w:r>
        <w:t>Tutors and AP experts validate pedagogy before launch.</w:t>
      </w:r>
    </w:p>
    <w:p>
      <w:pPr>
        <w:numPr>
          <w:ilvl w:val="0"/>
          <w:numId w:val="34"/>
        </w:numPr>
        <w:spacing w:after="160" w:line="280" w:lineRule="auto"/>
      </w:pPr>
      <w:r>
        <w:t>Ordinary learning and stuck escalation use one state model.</w:t>
      </w:r>
    </w:p>
    <w:p>
      <w:pPr>
        <w:numPr>
          <w:ilvl w:val="0"/>
          <w:numId w:val="34"/>
        </w:numPr>
        <w:spacing w:after="160" w:line="280" w:lineRule="auto"/>
      </w:pPr>
      <w:r>
        <w:t>Repeated failures are weighted by evidentiary strength; three misses are not automatically a stuck state.</w:t>
      </w:r>
    </w:p>
    <w:p>
      <w:pPr>
        <w:numPr>
          <w:ilvl w:val="0"/>
          <w:numId w:val="34"/>
        </w:numPr>
        <w:spacing w:after="160" w:line="280" w:lineRule="auto"/>
      </w:pPr>
      <w:r>
        <w:t>Sideways, Apart, and Down are selected through discriminating probes when feasible, with reversible choice under ambiguity.</w:t>
      </w:r>
    </w:p>
    <w:p>
      <w:pPr>
        <w:numPr>
          <w:ilvl w:val="0"/>
          <w:numId w:val="34"/>
        </w:numPr>
        <w:spacing w:after="160" w:line="280" w:lineRule="auto"/>
      </w:pPr>
      <w:r>
        <w:t>Move On is always available, and Park uses an exam-schedule-aware return formula.</w:t>
      </w:r>
    </w:p>
    <w:p>
      <w:pPr>
        <w:numPr>
          <w:ilvl w:val="0"/>
          <w:numId w:val="34"/>
        </w:numPr>
        <w:spacing w:after="160" w:line="280" w:lineRule="auto"/>
      </w:pPr>
      <w:r>
        <w:t>Intervention effectiveness is tracked by skill and task type, not as a general learning-style preference.</w:t>
      </w:r>
    </w:p>
    <w:p>
      <w:pPr>
        <w:numPr>
          <w:ilvl w:val="0"/>
          <w:numId w:val="34"/>
        </w:numPr>
        <w:spacing w:after="160" w:line="280" w:lineRule="auto"/>
      </w:pPr>
      <w:r>
        <w:t>Anonymous student responses are used to improve Cramapple; public publication is separately gated.</w:t>
      </w:r>
    </w:p>
    <w:p>
      <w:pPr>
        <w:pStyle w:val="Heading1"/>
      </w:pPr>
      <w:r>
        <w:t>19. Open Questions</w:t>
      </w:r>
    </w:p>
    <w:p>
      <w:pPr>
        <w:numPr>
          <w:ilvl w:val="0"/>
          <w:numId w:val="10"/>
        </w:numPr>
        <w:spacing w:after="160" w:line="280" w:lineRule="auto"/>
      </w:pPr>
      <w:r>
        <w:t>What is the shortest diagnostic that produces useful ranking evidence?</w:t>
      </w:r>
    </w:p>
    <w:p>
      <w:pPr>
        <w:numPr>
          <w:ilvl w:val="0"/>
          <w:numId w:val="10"/>
        </w:numPr>
        <w:spacing w:after="160" w:line="280" w:lineRule="auto"/>
      </w:pPr>
      <w:r>
        <w:t>Which AP Biology gaps do expert tutors judge most responsive within ten days?</w:t>
      </w:r>
    </w:p>
    <w:p>
      <w:pPr>
        <w:numPr>
          <w:ilvl w:val="0"/>
          <w:numId w:val="10"/>
        </w:numPr>
        <w:spacing w:after="160" w:line="280" w:lineRule="auto"/>
      </w:pPr>
      <w:r>
        <w:t>Which misconceptions have reliable discriminating probes?</w:t>
      </w:r>
    </w:p>
    <w:p>
      <w:pPr>
        <w:numPr>
          <w:ilvl w:val="0"/>
          <w:numId w:val="10"/>
        </w:numPr>
        <w:spacing w:after="160" w:line="280" w:lineRule="auto"/>
      </w:pPr>
      <w:r>
        <w:t>What confidence scale creates useful evidence without interrupting flow?</w:t>
      </w:r>
    </w:p>
    <w:p>
      <w:pPr>
        <w:numPr>
          <w:ilvl w:val="0"/>
          <w:numId w:val="10"/>
        </w:numPr>
        <w:spacing w:after="160" w:line="280" w:lineRule="auto"/>
      </w:pPr>
      <w:r>
        <w:t>How should time cost and fatigue affect next-action ranking?</w:t>
      </w:r>
    </w:p>
    <w:p>
      <w:pPr>
        <w:numPr>
          <w:ilvl w:val="0"/>
          <w:numId w:val="10"/>
        </w:numPr>
        <w:spacing w:after="160" w:line="280" w:lineRule="auto"/>
      </w:pPr>
      <w:r>
        <w:t>What minimum delayed evidence is required before saying a learner improved?</w:t>
      </w:r>
    </w:p>
    <w:p>
      <w:pPr>
        <w:numPr>
          <w:ilvl w:val="0"/>
          <w:numId w:val="10"/>
        </w:numPr>
        <w:spacing w:after="160" w:line="280" w:lineRule="auto"/>
      </w:pPr>
      <w:r>
        <w:t>Which released materials may be stored, transformed, or displayed under applicable rights?</w:t>
      </w:r>
    </w:p>
    <w:p>
      <w:pPr>
        <w:numPr>
          <w:ilvl w:val="0"/>
          <w:numId w:val="10"/>
        </w:numPr>
        <w:spacing w:after="160" w:line="280" w:lineRule="auto"/>
      </w:pPr>
      <w:r>
        <w:t>How should recommendations change for learners targeting a 3 versus a 5?</w:t>
      </w:r>
    </w:p>
    <w:p>
      <w:pPr>
        <w:numPr>
          <w:ilvl w:val="0"/>
          <w:numId w:val="10"/>
        </w:numPr>
        <w:spacing w:after="160" w:line="280" w:lineRule="auto"/>
      </w:pPr>
      <w:r>
        <w:t>What study schedule is appropriate when fewer than three days remain?</w:t>
      </w:r>
    </w:p>
    <w:p>
      <w:pPr>
        <w:numPr>
          <w:ilvl w:val="0"/>
          <w:numId w:val="10"/>
        </w:numPr>
        <w:spacing w:after="160" w:line="280" w:lineRule="auto"/>
      </w:pPr>
      <w:r>
        <w:t>Which interventions require deterministic authored text rather than model-generated expression?</w:t>
      </w:r>
    </w:p>
    <w:p>
      <w:pPr>
        <w:pStyle w:val="Heading1"/>
      </w:pPr>
      <w:r>
        <w:t>20. Sources</w:t>
      </w:r>
    </w:p>
    <w:p>
      <w:pPr>
        <w:pStyle w:val="Heading2"/>
      </w:pPr>
      <w:r>
        <w:t>20.1 College Board</w:t>
      </w:r>
    </w:p>
    <w:p>
      <w:pPr>
        <w:numPr>
          <w:ilvl w:val="0"/>
          <w:numId w:val="10"/>
        </w:numPr>
        <w:spacing w:after="160" w:line="280" w:lineRule="auto"/>
      </w:pPr>
      <w:r>
        <w:t>AP Biology Course and Exam Description, effective fall 2025: https://apcentral.collegeboard.org/media/pdf/ap-biology-course-and-exam-description.pdf</w:t>
      </w:r>
    </w:p>
    <w:p>
      <w:pPr>
        <w:numPr>
          <w:ilvl w:val="0"/>
          <w:numId w:val="10"/>
        </w:numPr>
        <w:spacing w:after="160" w:line="280" w:lineRule="auto"/>
      </w:pPr>
      <w:r>
        <w:t>AP Biology course and official unit/science-practice weighting: https://apcentral.collegeboard.org/courses/ap-biology</w:t>
      </w:r>
    </w:p>
    <w:p>
      <w:pPr>
        <w:numPr>
          <w:ilvl w:val="0"/>
          <w:numId w:val="10"/>
        </w:numPr>
        <w:spacing w:after="160" w:line="280" w:lineRule="auto"/>
      </w:pPr>
      <w:r>
        <w:t>AP Biology exam format and May 4, 2026 exam information: https://apcentral.collegeboard.org/courses/ap-biology/exam</w:t>
      </w:r>
    </w:p>
    <w:p>
      <w:pPr>
        <w:numPr>
          <w:ilvl w:val="0"/>
          <w:numId w:val="10"/>
        </w:numPr>
        <w:spacing w:after="160" w:line="280" w:lineRule="auto"/>
      </w:pPr>
      <w:r>
        <w:t>AP Biology released FRQs and scoring information: https://apcentral.collegeboard.org/courses/ap-biology/exam/past-exam-questions</w:t>
      </w:r>
    </w:p>
    <w:p>
      <w:pPr>
        <w:numPr>
          <w:ilvl w:val="0"/>
          <w:numId w:val="10"/>
        </w:numPr>
        <w:spacing w:after="160" w:line="280" w:lineRule="auto"/>
      </w:pPr>
      <w:r>
        <w:t>AP Biology CED clarifications and corrections: https://apcentral.collegeboard.org/media/pdf/ap-biology-ced-clarifications-and-corrections.pdf</w:t>
      </w:r>
    </w:p>
    <w:p>
      <w:pPr>
        <w:pStyle w:val="Heading2"/>
      </w:pPr>
      <w:r>
        <w:t>20.2 Learning Science</w:t>
      </w:r>
    </w:p>
    <w:p>
      <w:pPr>
        <w:numPr>
          <w:ilvl w:val="0"/>
          <w:numId w:val="10"/>
        </w:numPr>
        <w:spacing w:after="160" w:line="280" w:lineRule="auto"/>
      </w:pPr>
      <w:r>
        <w:t>Roediger, H. L., and Karpicke, J. D. (2006). Test-enhanced learning. Psychological Science. https://doi.org/10.1111/j.1467-9280.2006.01693.x</w:t>
      </w:r>
    </w:p>
    <w:p>
      <w:pPr>
        <w:numPr>
          <w:ilvl w:val="0"/>
          <w:numId w:val="10"/>
        </w:numPr>
        <w:spacing w:after="160" w:line="280" w:lineRule="auto"/>
      </w:pPr>
      <w:r>
        <w:t>Karpicke, J. D., and Roediger, H. L. (2008). The critical importance of retrieval for learning. Science. https://doi.org/10.1126/science.1152408</w:t>
      </w:r>
    </w:p>
    <w:p>
      <w:pPr>
        <w:numPr>
          <w:ilvl w:val="0"/>
          <w:numId w:val="10"/>
        </w:numPr>
        <w:spacing w:after="160" w:line="280" w:lineRule="auto"/>
      </w:pPr>
      <w:r>
        <w:t>Cepeda, N. J., Pashler, H., Vul, E., Wixted, J. T., and Rohrer, D. (2006). Distributed practice in verbal recall tasks. Psychological Bulletin. https://doi.org/10.1037/0033-2909.132.3.354</w:t>
      </w:r>
    </w:p>
    <w:p>
      <w:pPr>
        <w:numPr>
          <w:ilvl w:val="0"/>
          <w:numId w:val="10"/>
        </w:numPr>
        <w:spacing w:after="160" w:line="280" w:lineRule="auto"/>
      </w:pPr>
      <w:r>
        <w:t>Rohrer, D., and Taylor, K. (2007). The shuffling of mathematics problems improves learning. Instructional Science. https://doi.org/10.1007/s11251-007-9015-8</w:t>
      </w:r>
    </w:p>
    <w:p>
      <w:pPr>
        <w:numPr>
          <w:ilvl w:val="0"/>
          <w:numId w:val="10"/>
        </w:numPr>
        <w:spacing w:after="160" w:line="280" w:lineRule="auto"/>
      </w:pPr>
      <w:r>
        <w:t>Dunlosky, J., and Rawson, K. A. (2012). Overconfidence produces underachievement. Learning and Instruction. https://doi.org/10.1016/j.learninstruc.2011.08.003</w:t>
      </w:r>
    </w:p>
    <w:p>
      <w:pPr>
        <w:widowControl/>
      </w:pPr>
      <w:r>
        <w:t>Research citations support design hypotheses. Cramapple-specific intervals, rankings, messages, and effect claims require validation in the product's own context.</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A636C"/>
        <w:sz w:val="18"/>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b/>
        <w:color w:val="5A636C"/>
        <w:sz w:val="17"/>
      </w:rPr>
      <w:t>CRAMAPPLE | TEACHING AND PEDAGOGY DESIGN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720"/>
        </w:tabs>
        <w:ind w:left="720" w:hanging="360"/>
      </w:pPr>
    </w:lvl>
  </w:abstractNum>
  <w:num w:numId="10">
    <w:abstractNumId w:val="9"/>
  </w:num>
  <w:abstractNum w:abstractNumId="10">
    <w:multiLevelType w:val="singleLevel"/>
    <w:lvl w:ilvl="0">
      <w:start w:val="1"/>
      <w:numFmt w:val="decimal"/>
      <w:lvlText w:val="%1."/>
      <w:lvlJc w:val="left"/>
      <w:pPr>
        <w:tabs>
          <w:tab w:val="num" w:pos="720"/>
        </w:tabs>
        <w:ind w:left="720" w:hanging="360"/>
      </w:pPr>
    </w:lvl>
  </w:abstractNum>
  <w:num w:numId="11">
    <w:abstractNumId w:val="10"/>
  </w:num>
  <w:abstractNum w:abstractNumId="11">
    <w:multiLevelType w:val="singleLevel"/>
    <w:lvl w:ilvl="0">
      <w:start w:val="2"/>
      <w:numFmt w:val="decimal"/>
      <w:lvlText w:val="%1."/>
      <w:lvlJc w:val="left"/>
      <w:pPr>
        <w:tabs>
          <w:tab w:val="num" w:pos="720"/>
        </w:tabs>
        <w:ind w:left="720" w:hanging="360"/>
      </w:pPr>
    </w:lvl>
  </w:abstractNum>
  <w:num w:numId="12">
    <w:abstractNumId w:val="11"/>
  </w:num>
  <w:abstractNum w:abstractNumId="12">
    <w:multiLevelType w:val="singleLevel"/>
    <w:lvl w:ilvl="0">
      <w:start w:val="3"/>
      <w:numFmt w:val="decimal"/>
      <w:lvlText w:val="%1."/>
      <w:lvlJc w:val="left"/>
      <w:pPr>
        <w:tabs>
          <w:tab w:val="num" w:pos="720"/>
        </w:tabs>
        <w:ind w:left="720" w:hanging="360"/>
      </w:pPr>
    </w:lvl>
  </w:abstractNum>
  <w:num w:numId="13">
    <w:abstractNumId w:val="12"/>
  </w:num>
  <w:abstractNum w:abstractNumId="13">
    <w:multiLevelType w:val="singleLevel"/>
    <w:lvl w:ilvl="0">
      <w:start w:val="4"/>
      <w:numFmt w:val="decimal"/>
      <w:lvlText w:val="%1."/>
      <w:lvlJc w:val="left"/>
      <w:pPr>
        <w:tabs>
          <w:tab w:val="num" w:pos="720"/>
        </w:tabs>
        <w:ind w:left="720" w:hanging="360"/>
      </w:pPr>
    </w:lvl>
  </w:abstractNum>
  <w:num w:numId="14">
    <w:abstractNumId w:val="13"/>
  </w:num>
  <w:abstractNum w:abstractNumId="14">
    <w:multiLevelType w:val="singleLevel"/>
    <w:lvl w:ilvl="0">
      <w:start w:val="5"/>
      <w:numFmt w:val="decimal"/>
      <w:lvlText w:val="%1."/>
      <w:lvlJc w:val="left"/>
      <w:pPr>
        <w:tabs>
          <w:tab w:val="num" w:pos="720"/>
        </w:tabs>
        <w:ind w:left="720" w:hanging="360"/>
      </w:pPr>
    </w:lvl>
  </w:abstractNum>
  <w:num w:numId="15">
    <w:abstractNumId w:val="14"/>
  </w:num>
  <w:abstractNum w:abstractNumId="15">
    <w:multiLevelType w:val="singleLevel"/>
    <w:lvl w:ilvl="0">
      <w:start w:val="6"/>
      <w:numFmt w:val="decimal"/>
      <w:lvlText w:val="%1."/>
      <w:lvlJc w:val="left"/>
      <w:pPr>
        <w:tabs>
          <w:tab w:val="num" w:pos="720"/>
        </w:tabs>
        <w:ind w:left="720" w:hanging="360"/>
      </w:pPr>
    </w:lvl>
  </w:abstractNum>
  <w:num w:numId="16">
    <w:abstractNumId w:val="15"/>
  </w:num>
  <w:abstractNum w:abstractNumId="16">
    <w:multiLevelType w:val="singleLevel"/>
    <w:lvl w:ilvl="0">
      <w:start w:val="7"/>
      <w:numFmt w:val="decimal"/>
      <w:lvlText w:val="%1."/>
      <w:lvlJc w:val="left"/>
      <w:pPr>
        <w:tabs>
          <w:tab w:val="num" w:pos="720"/>
        </w:tabs>
        <w:ind w:left="720" w:hanging="360"/>
      </w:pPr>
    </w:lvl>
  </w:abstractNum>
  <w:num w:numId="17">
    <w:abstractNumId w:val="16"/>
  </w:num>
  <w:abstractNum w:abstractNumId="17">
    <w:multiLevelType w:val="singleLevel"/>
    <w:lvl w:ilvl="0">
      <w:start w:val="8"/>
      <w:numFmt w:val="decimal"/>
      <w:lvlText w:val="%1."/>
      <w:lvlJc w:val="left"/>
      <w:pPr>
        <w:tabs>
          <w:tab w:val="num" w:pos="720"/>
        </w:tabs>
        <w:ind w:left="720" w:hanging="360"/>
      </w:pPr>
    </w:lvl>
  </w:abstractNum>
  <w:num w:numId="18">
    <w:abstractNumId w:val="17"/>
  </w:num>
  <w:abstractNum w:abstractNumId="18">
    <w:multiLevelType w:val="singleLevel"/>
    <w:lvl w:ilvl="0">
      <w:start w:val="9"/>
      <w:numFmt w:val="decimal"/>
      <w:lvlText w:val="%1."/>
      <w:lvlJc w:val="left"/>
      <w:pPr>
        <w:tabs>
          <w:tab w:val="num" w:pos="720"/>
        </w:tabs>
        <w:ind w:left="720" w:hanging="360"/>
      </w:pPr>
    </w:lvl>
  </w:abstractNum>
  <w:num w:numId="19">
    <w:abstractNumId w:val="18"/>
  </w:num>
  <w:abstractNum w:abstractNumId="19">
    <w:multiLevelType w:val="singleLevel"/>
    <w:lvl w:ilvl="0">
      <w:start w:val="10"/>
      <w:numFmt w:val="decimal"/>
      <w:lvlText w:val="%1."/>
      <w:lvlJc w:val="left"/>
      <w:pPr>
        <w:tabs>
          <w:tab w:val="num" w:pos="720"/>
        </w:tabs>
        <w:ind w:left="720" w:hanging="360"/>
      </w:pPr>
    </w:lvl>
  </w:abstractNum>
  <w:num w:numId="20">
    <w:abstractNumId w:val="19"/>
  </w:num>
  <w:abstractNum w:abstractNumId="20">
    <w:multiLevelType w:val="singleLevel"/>
    <w:lvl w:ilvl="0">
      <w:start w:val="11"/>
      <w:numFmt w:val="decimal"/>
      <w:lvlText w:val="%1."/>
      <w:lvlJc w:val="left"/>
      <w:pPr>
        <w:tabs>
          <w:tab w:val="num" w:pos="720"/>
        </w:tabs>
        <w:ind w:left="720" w:hanging="360"/>
      </w:pPr>
    </w:lvl>
  </w:abstractNum>
  <w:num w:numId="21">
    <w:abstractNumId w:val="20"/>
  </w:num>
  <w:abstractNum w:abstractNumId="21">
    <w:multiLevelType w:val="singleLevel"/>
    <w:lvl w:ilvl="0">
      <w:start w:val="12"/>
      <w:numFmt w:val="decimal"/>
      <w:lvlText w:val="%1."/>
      <w:lvlJc w:val="left"/>
      <w:pPr>
        <w:tabs>
          <w:tab w:val="num" w:pos="720"/>
        </w:tabs>
        <w:ind w:left="720" w:hanging="360"/>
      </w:pPr>
    </w:lvl>
  </w:abstractNum>
  <w:num w:numId="22">
    <w:abstractNumId w:val="21"/>
  </w:num>
  <w:abstractNum w:abstractNumId="22">
    <w:multiLevelType w:val="singleLevel"/>
    <w:lvl w:ilvl="0">
      <w:start w:val="1"/>
      <w:numFmt w:val="decimal"/>
      <w:lvlText w:val="%1."/>
      <w:lvlJc w:val="left"/>
      <w:pPr>
        <w:tabs>
          <w:tab w:val="num" w:pos="720"/>
        </w:tabs>
        <w:ind w:left="720" w:hanging="360"/>
      </w:pPr>
    </w:lvl>
  </w:abstractNum>
  <w:num w:numId="23">
    <w:abstractNumId w:val="22"/>
  </w:num>
  <w:abstractNum w:abstractNumId="23">
    <w:multiLevelType w:val="singleLevel"/>
    <w:lvl w:ilvl="0">
      <w:start w:val="1"/>
      <w:numFmt w:val="decimal"/>
      <w:lvlText w:val="%1."/>
      <w:lvlJc w:val="left"/>
      <w:pPr>
        <w:tabs>
          <w:tab w:val="num" w:pos="720"/>
        </w:tabs>
        <w:ind w:left="720" w:hanging="360"/>
      </w:pPr>
    </w:lvl>
  </w:abstractNum>
  <w:num w:numId="24">
    <w:abstractNumId w:val="23"/>
  </w:num>
  <w:abstractNum w:abstractNumId="24">
    <w:multiLevelType w:val="singleLevel"/>
    <w:lvl w:ilvl="0">
      <w:start w:val="2"/>
      <w:numFmt w:val="decimal"/>
      <w:lvlText w:val="%1."/>
      <w:lvlJc w:val="left"/>
      <w:pPr>
        <w:tabs>
          <w:tab w:val="num" w:pos="720"/>
        </w:tabs>
        <w:ind w:left="720" w:hanging="360"/>
      </w:pPr>
    </w:lvl>
  </w:abstractNum>
  <w:num w:numId="25">
    <w:abstractNumId w:val="24"/>
  </w:num>
  <w:abstractNum w:abstractNumId="25">
    <w:multiLevelType w:val="singleLevel"/>
    <w:lvl w:ilvl="0">
      <w:start w:val="3"/>
      <w:numFmt w:val="decimal"/>
      <w:lvlText w:val="%1."/>
      <w:lvlJc w:val="left"/>
      <w:pPr>
        <w:tabs>
          <w:tab w:val="num" w:pos="720"/>
        </w:tabs>
        <w:ind w:left="720" w:hanging="360"/>
      </w:pPr>
    </w:lvl>
  </w:abstractNum>
  <w:num w:numId="26">
    <w:abstractNumId w:val="25"/>
  </w:num>
  <w:abstractNum w:abstractNumId="26">
    <w:multiLevelType w:val="singleLevel"/>
    <w:lvl w:ilvl="0">
      <w:start w:val="4"/>
      <w:numFmt w:val="decimal"/>
      <w:lvlText w:val="%1."/>
      <w:lvlJc w:val="left"/>
      <w:pPr>
        <w:tabs>
          <w:tab w:val="num" w:pos="720"/>
        </w:tabs>
        <w:ind w:left="720" w:hanging="360"/>
      </w:pPr>
    </w:lvl>
  </w:abstractNum>
  <w:num w:numId="27">
    <w:abstractNumId w:val="26"/>
  </w:num>
  <w:abstractNum w:abstractNumId="27">
    <w:multiLevelType w:val="singleLevel"/>
    <w:lvl w:ilvl="0">
      <w:start w:val="5"/>
      <w:numFmt w:val="decimal"/>
      <w:lvlText w:val="%1."/>
      <w:lvlJc w:val="left"/>
      <w:pPr>
        <w:tabs>
          <w:tab w:val="num" w:pos="720"/>
        </w:tabs>
        <w:ind w:left="720" w:hanging="360"/>
      </w:pPr>
    </w:lvl>
  </w:abstractNum>
  <w:num w:numId="28">
    <w:abstractNumId w:val="27"/>
  </w:num>
  <w:abstractNum w:abstractNumId="28">
    <w:multiLevelType w:val="singleLevel"/>
    <w:lvl w:ilvl="0">
      <w:start w:val="6"/>
      <w:numFmt w:val="decimal"/>
      <w:lvlText w:val="%1."/>
      <w:lvlJc w:val="left"/>
      <w:pPr>
        <w:tabs>
          <w:tab w:val="num" w:pos="720"/>
        </w:tabs>
        <w:ind w:left="720" w:hanging="360"/>
      </w:pPr>
    </w:lvl>
  </w:abstractNum>
  <w:num w:numId="29">
    <w:abstractNumId w:val="28"/>
  </w:num>
  <w:abstractNum w:abstractNumId="29">
    <w:multiLevelType w:val="singleLevel"/>
    <w:lvl w:ilvl="0">
      <w:start w:val="7"/>
      <w:numFmt w:val="decimal"/>
      <w:lvlText w:val="%1."/>
      <w:lvlJc w:val="left"/>
      <w:pPr>
        <w:tabs>
          <w:tab w:val="num" w:pos="720"/>
        </w:tabs>
        <w:ind w:left="720" w:hanging="360"/>
      </w:pPr>
    </w:lvl>
  </w:abstractNum>
  <w:num w:numId="30">
    <w:abstractNumId w:val="29"/>
  </w:num>
  <w:abstractNum w:abstractNumId="30">
    <w:multiLevelType w:val="singleLevel"/>
    <w:lvl w:ilvl="0">
      <w:start w:val="8"/>
      <w:numFmt w:val="decimal"/>
      <w:lvlText w:val="%1."/>
      <w:lvlJc w:val="left"/>
      <w:pPr>
        <w:tabs>
          <w:tab w:val="num" w:pos="720"/>
        </w:tabs>
        <w:ind w:left="720" w:hanging="360"/>
      </w:pPr>
    </w:lvl>
  </w:abstractNum>
  <w:num w:numId="31">
    <w:abstractNumId w:val="30"/>
  </w:num>
  <w:abstractNum w:abstractNumId="31">
    <w:multiLevelType w:val="singleLevel"/>
    <w:lvl w:ilvl="0">
      <w:start w:val="1"/>
      <w:numFmt w:val="decimal"/>
      <w:lvlText w:val="%1."/>
      <w:lvlJc w:val="left"/>
      <w:pPr>
        <w:tabs>
          <w:tab w:val="num" w:pos="720"/>
        </w:tabs>
        <w:ind w:left="720" w:hanging="360"/>
      </w:pPr>
    </w:lvl>
  </w:abstractNum>
  <w:num w:numId="32">
    <w:abstractNumId w:val="31"/>
  </w:num>
  <w:abstractNum w:abstractNumId="32">
    <w:multiLevelType w:val="singleLevel"/>
    <w:lvl w:ilvl="0">
      <w:start w:val="1"/>
      <w:numFmt w:val="decimal"/>
      <w:lvlText w:val="%1."/>
      <w:lvlJc w:val="left"/>
      <w:pPr>
        <w:tabs>
          <w:tab w:val="num" w:pos="720"/>
        </w:tabs>
        <w:ind w:left="720" w:hanging="360"/>
      </w:pPr>
    </w:lvl>
  </w:abstractNum>
  <w:num w:numId="33">
    <w:abstractNumId w:val="32"/>
  </w:num>
  <w:abstractNum w:abstractNumId="33">
    <w:multiLevelType w:val="singleLevel"/>
    <w:lvl w:ilvl="0">
      <w:start w:val="1"/>
      <w:numFmt w:val="decimal"/>
      <w:lvlText w:val="%1."/>
      <w:lvlJc w:val="left"/>
      <w:pPr>
        <w:tabs>
          <w:tab w:val="num" w:pos="720"/>
        </w:tabs>
        <w:ind w:left="720" w:hanging="360"/>
      </w:pPr>
    </w:lvl>
  </w:abstractNum>
  <w:num w:numId="34">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202D3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Cramapple Teaching and Pedagogy Design</dc:title>
  <dc:subject>Canonical planning draft</dc:subject>
  <dc:creator>Cramapple</dc:creator>
  <cp:keywords>Cramapple, architecture, AP exams, teaching, grading, validation</cp:keywords>
  <dc:description>generated by python-docx</dc:description>
  <cp:lastModifiedBy/>
  <cp:revision>1</cp:revision>
  <dcterms:created xsi:type="dcterms:W3CDTF">2013-12-23T23:15:00Z</dcterms:created>
  <dcterms:modified xsi:type="dcterms:W3CDTF">2013-12-23T23:15:00Z</dcterms:modified>
  <cp:category/>
</cp:coreProperties>
</file>