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5E8A"/>
          <w:sz w:val="52"/>
          <w:szCs w:val="52"/>
        </w:rPr>
        <w:t xml:space="preserve">CRAMAPPLE</w:t>
      </w:r>
    </w:p>
    <w:p>
      <w:pPr>
        <w:spacing w:after="60"/>
      </w:pPr>
      <w:r>
        <w:rPr>
          <w:rFonts w:ascii="Arial" w:cs="Arial" w:eastAsia="Arial" w:hAnsi="Arial"/>
          <w:color w:val="333333"/>
          <w:sz w:val="32"/>
          <w:szCs w:val="32"/>
        </w:rPr>
        <w:t xml:space="preserve">Economics — Cost, Pricing &amp; Unit Model</w:t>
      </w:r>
    </w:p>
    <w:p>
      <w:pPr>
        <w:spacing w:after="80"/>
      </w:pPr>
      <w:r>
        <w:rPr>
          <w:rFonts w:ascii="Arial" w:cs="Arial" w:eastAsia="Arial" w:hAnsi="Arial"/>
          <w:i/>
          <w:iCs/>
          <w:color w:val="666666"/>
          <w:sz w:val="18"/>
          <w:szCs w:val="18"/>
        </w:rPr>
        <w:t xml:space="preserve">Working Document  |  June 2026  |  Internal Use Only</w:t>
      </w:r>
    </w:p>
    <w:p>
      <w:pPr>
        <w:pBdr>
          <w:bottom w:val="single" w:color="1B5E8A" w:sz="4" w:space="1"/>
        </w:pBdr>
        <w:spacing w:after="200" w:before="200"/>
      </w:pPr>
      <w:r>
        <w:t xml:space="preserve"/>
      </w:r>
    </w:p>
    <w:p>
      <w:pPr>
        <w:spacing w:after="120"/>
      </w:pPr>
      <w:r>
        <w:t xml:space="preserve"/>
      </w:r>
    </w:p>
    <w:p>
      <w:pPr>
        <w:pStyle w:val="Heading1"/>
      </w:pPr>
      <w:r>
        <w:t xml:space="preserve">Pricing Decision</w:t>
      </w:r>
    </w:p>
    <w:p>
      <w:pPr>
        <w:spacing w:after="160"/>
      </w:pPr>
      <w:r>
        <w:rPr>
          <w:rFonts w:ascii="Arial" w:cs="Arial" w:eastAsia="Arial" w:hAnsi="Arial"/>
          <w:color w:val="333333"/>
          <w:sz w:val="22"/>
          <w:szCs w:val="22"/>
        </w:rPr>
        <w:t xml:space="preserve">Base price is set at $39.99 per subject, one-time purchase. This is above the original $29.99 hypothesis and reflects three considerations:</w:t>
      </w:r>
    </w:p>
    <w:p>
      <w:pPr>
        <w:pStyle w:val="ListParagraph"/>
        <w:numPr>
          <w:ilvl w:val="0"/>
          <w:numId w:val="2"/>
        </w:numPr>
        <w:spacing w:after="80"/>
      </w:pPr>
      <w:r>
        <w:rPr>
          <w:rFonts w:ascii="Arial" w:cs="Arial" w:eastAsia="Arial" w:hAnsi="Arial"/>
          <w:sz w:val="22"/>
          <w:szCs w:val="22"/>
        </w:rPr>
        <w:t xml:space="preserve">Quality signal: $29.99 reads as a mobile app. $39.99 reads as a product someone built carefully. In an edtech purchase made by a parent on behalf of a student taking a high-stakes exam, the higher price likely improves conversion rather than hurting it.</w:t>
      </w:r>
    </w:p>
    <w:p>
      <w:pPr>
        <w:pStyle w:val="ListParagraph"/>
        <w:numPr>
          <w:ilvl w:val="0"/>
          <w:numId w:val="2"/>
        </w:numPr>
        <w:spacing w:after="80"/>
      </w:pPr>
      <w:r>
        <w:rPr>
          <w:rFonts w:ascii="Arial" w:cs="Arial" w:eastAsia="Arial" w:hAnsi="Arial"/>
          <w:sz w:val="22"/>
          <w:szCs w:val="22"/>
        </w:rPr>
        <w:t xml:space="preserve">Margin against variable costs: AI inference costs, payment processing, and refunds are all variable. The $10 difference gives meaningful buffer against any of these running higher than modeled.</w:t>
      </w:r>
    </w:p>
    <w:p>
      <w:pPr>
        <w:pStyle w:val="ListParagraph"/>
        <w:numPr>
          <w:ilvl w:val="0"/>
          <w:numId w:val="2"/>
        </w:numPr>
        <w:spacing w:after="80"/>
      </w:pPr>
      <w:r>
        <w:rPr>
          <w:rFonts w:ascii="Arial" w:cs="Arial" w:eastAsia="Arial" w:hAnsi="Arial"/>
          <w:sz w:val="22"/>
          <w:szCs w:val="22"/>
        </w:rPr>
        <w:t xml:space="preserve">Referral program headroom: A 20% referral fee at $29.99 is $6 — not meaningful enough to motivate a tutor recommendation. At $39.99 it is $8, which is a credible incentive for a recurring referral relationship.</w:t>
      </w:r>
    </w:p>
    <w:p>
      <w:pPr>
        <w:spacing w:after="120"/>
      </w:pPr>
      <w:r>
        <w:t xml:space="preserve"/>
      </w:r>
    </w:p>
    <w:p>
      <w:pPr>
        <w:spacing w:after="160"/>
      </w:pPr>
      <w:r>
        <w:rPr>
          <w:rFonts w:ascii="Arial" w:cs="Arial" w:eastAsia="Arial" w:hAnsi="Arial"/>
          <w:color w:val="333333"/>
          <w:sz w:val="22"/>
          <w:szCs w:val="22"/>
        </w:rPr>
        <w:t xml:space="preserve">A tiered pricing structure (base access vs. unlimited) remains a future option to be evaluated once August usage data establishes what a typical session costs. No context cap will be implemented for the launch.</w:t>
      </w:r>
    </w:p>
    <w:p>
      <w:pPr>
        <w:spacing w:after="120"/>
      </w:pPr>
      <w:r>
        <w:t xml:space="preserve"/>
      </w:r>
    </w:p>
    <w:p>
      <w:pPr>
        <w:pStyle w:val="Heading1"/>
      </w:pPr>
      <w:r>
        <w:t xml:space="preserve">Competitive Price Context</w:t>
      </w:r>
    </w:p>
    <w:p>
      <w:pPr>
        <w:spacing w:after="160"/>
      </w:pPr>
      <w:r>
        <w:rPr>
          <w:rFonts w:ascii="Arial" w:cs="Arial" w:eastAsia="Arial" w:hAnsi="Arial"/>
          <w:color w:val="333333"/>
          <w:sz w:val="22"/>
          <w:szCs w:val="22"/>
        </w:rPr>
        <w:t xml:space="preserve">Cramapple's $39.99 one-time price compares favorably against every consumer alternative in the AP prep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36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Relevant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specialist tutor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$600–1,200 engagement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Cramapple is 1/10th–1/30th the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Kaplan AP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$399–999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Cramapple is 90% cheaper with more personalization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Albert.io (student)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$79/year per subject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Cramapple 50% cheaper, one-time vs. recurring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Fiveable (all subjects)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$79/year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taking 3 subjects over 2 years pays $158 at Fiveable vs. $119.97 at Cramapple — owned permanently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Khan Academy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price-sensitive alternative. Cramapple answer: criterion FRQ grading and score optimization that Khan does not offer.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Cramapple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$39.99 one-time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Positioned as a complement to tutoring (tutor referral program) and a superior alternative to subscription platforms for the median AP student</w:t>
            </w:r>
          </w:p>
        </w:tc>
      </w:tr>
    </w:tbl>
    <w:p>
      <w:pPr>
        <w:spacing w:after="120"/>
      </w:pPr>
      <w:r>
        <w:t xml:space="preserve"/>
      </w:r>
    </w:p>
    <w:p>
      <w:pPr>
        <w:pStyle w:val="Heading1"/>
      </w:pPr>
      <w:r>
        <w:t xml:space="preserve">The Subscription Problem</w:t>
      </w:r>
    </w:p>
    <w:p>
      <w:pPr>
        <w:spacing w:after="160"/>
      </w:pPr>
      <w:r>
        <w:rPr>
          <w:rFonts w:ascii="Arial" w:cs="Arial" w:eastAsia="Arial" w:hAnsi="Arial"/>
          <w:color w:val="333333"/>
          <w:sz w:val="22"/>
          <w:szCs w:val="22"/>
        </w:rPr>
        <w:t xml:space="preserve">Approximately 85% of students who take an AP exam take 5 or fewer over their entire high school career. Subscription products price for a student who takes 10 subjects across 4 years — a profile that represents a small minority of the addressable market.</w:t>
      </w:r>
    </w:p>
    <w:p>
      <w:pPr>
        <w:spacing w:after="160"/>
      </w:pPr>
      <w:r>
        <w:rPr>
          <w:rFonts w:ascii="Arial" w:cs="Arial" w:eastAsia="Arial" w:hAnsi="Arial"/>
          <w:color w:val="333333"/>
          <w:sz w:val="22"/>
          <w:szCs w:val="22"/>
        </w:rPr>
        <w:t xml:space="preserve">The practical consequence: a student taking 3 subjects spread across two school years pays for two full years of Albert or Fiveable access and may use each subscription intensively for only 3–4 weeks. The one-time purchase model is not just more affordable — it is structurally more honest about how AP prep is actually consumed.</w:t>
      </w:r>
    </w:p>
    <w:p>
      <w:pPr>
        <w:spacing w:after="120"/>
      </w:pPr>
      <w:r>
        <w:t xml:space="preserve"/>
      </w:r>
    </w:p>
    <w:p>
      <w:pPr>
        <w:pStyle w:val="Heading1"/>
      </w:pPr>
      <w:r>
        <w:t xml:space="preserve">Variable Cost Model</w:t>
      </w:r>
    </w:p>
    <w:p>
      <w:pPr>
        <w:pStyle w:val="Heading2"/>
      </w:pPr>
      <w:r>
        <w:t xml:space="preserve">AI Inference</w:t>
      </w:r>
    </w:p>
    <w:p>
      <w:pPr>
        <w:spacing w:after="160"/>
      </w:pPr>
      <w:r>
        <w:rPr>
          <w:rFonts w:ascii="Arial" w:cs="Arial" w:eastAsia="Arial" w:hAnsi="Arial"/>
          <w:color w:val="333333"/>
          <w:sz w:val="22"/>
          <w:szCs w:val="22"/>
        </w:rPr>
        <w:t xml:space="preserve">AI inference is the primary variable cost and the one with the most uncertainty at this stage. The key inputs are:</w:t>
      </w:r>
    </w:p>
    <w:p>
      <w:pPr>
        <w:pStyle w:val="ListParagraph"/>
        <w:numPr>
          <w:ilvl w:val="0"/>
          <w:numId w:val="2"/>
        </w:numPr>
        <w:spacing w:after="80"/>
      </w:pPr>
      <w:r>
        <w:rPr>
          <w:rFonts w:ascii="Arial" w:cs="Arial" w:eastAsia="Arial" w:hAnsi="Arial"/>
          <w:sz w:val="22"/>
          <w:szCs w:val="22"/>
        </w:rPr>
        <w:t xml:space="preserve">Sessions per user: placeholder 6 (light user = 3, heavy user = 10). August data will replace this.</w:t>
      </w:r>
    </w:p>
    <w:p>
      <w:pPr>
        <w:pStyle w:val="ListParagraph"/>
        <w:numPr>
          <w:ilvl w:val="0"/>
          <w:numId w:val="2"/>
        </w:numPr>
        <w:spacing w:after="80"/>
      </w:pPr>
      <w:r>
        <w:rPr>
          <w:rFonts w:ascii="Arial" w:cs="Arial" w:eastAsia="Arial" w:hAnsi="Arial"/>
          <w:sz w:val="22"/>
          <w:szCs w:val="22"/>
        </w:rPr>
        <w:t xml:space="preserve">Exchanges per session: estimated 10, mixing MC, instruction, and FRQ turns.</w:t>
      </w:r>
    </w:p>
    <w:p>
      <w:pPr>
        <w:pStyle w:val="ListParagraph"/>
        <w:numPr>
          <w:ilvl w:val="0"/>
          <w:numId w:val="2"/>
        </w:numPr>
        <w:spacing w:after="80"/>
      </w:pPr>
      <w:r>
        <w:rPr>
          <w:rFonts w:ascii="Arial" w:cs="Arial" w:eastAsia="Arial" w:hAnsi="Arial"/>
          <w:sz w:val="22"/>
          <w:szCs w:val="22"/>
        </w:rPr>
        <w:t xml:space="preserve">Input tokens per exchange: ~2,500, including the session-opening system prompt that loads canonical content, student activity record, and scoring criteria. This system prompt is likely the single largest input cost driver per session.</w:t>
      </w:r>
    </w:p>
    <w:p>
      <w:pPr>
        <w:pStyle w:val="ListParagraph"/>
        <w:numPr>
          <w:ilvl w:val="0"/>
          <w:numId w:val="2"/>
        </w:numPr>
        <w:spacing w:after="80"/>
      </w:pPr>
      <w:r>
        <w:rPr>
          <w:rFonts w:ascii="Arial" w:cs="Arial" w:eastAsia="Arial" w:hAnsi="Arial"/>
          <w:sz w:val="22"/>
          <w:szCs w:val="22"/>
        </w:rPr>
        <w:t xml:space="preserve">Output tokens per exchange: ~500. FRQ criterion feedback runs ~600 tokens; MC responses ~150. Mix matters significantly.</w:t>
      </w:r>
    </w:p>
    <w:p>
      <w:pPr>
        <w:pStyle w:val="ListParagraph"/>
        <w:numPr>
          <w:ilvl w:val="0"/>
          <w:numId w:val="2"/>
        </w:numPr>
        <w:spacing w:after="80"/>
      </w:pPr>
      <w:r>
        <w:rPr>
          <w:rFonts w:ascii="Arial" w:cs="Arial" w:eastAsia="Arial" w:hAnsi="Arial"/>
          <w:sz w:val="22"/>
          <w:szCs w:val="22"/>
        </w:rPr>
        <w:t xml:space="preserve">Model rates: Claude Sonnet ~$3.00/1M input, ~$15.00/1M output. Update when model selection is finalized.</w:t>
      </w:r>
    </w:p>
    <w:p>
      <w:pPr>
        <w:spacing w:after="120"/>
      </w:pPr>
      <w:r>
        <w:t xml:space="preserve"/>
      </w:r>
    </w:p>
    <w:p>
      <w:pPr>
        <w:spacing w:after="160"/>
      </w:pPr>
      <w:r>
        <w:rPr>
          <w:rFonts w:ascii="Arial" w:cs="Arial" w:eastAsia="Arial" w:hAnsi="Arial"/>
          <w:color w:val="333333"/>
          <w:sz w:val="22"/>
          <w:szCs w:val="22"/>
        </w:rPr>
        <w:t xml:space="preserve">At base assumptions, inference cost per user runs approximately $1.35–$3.50 depending on session intensity. The inference sensitivity table in the financial model shows cost per user across a range of session counts and output token rates.</w:t>
      </w:r>
    </w:p>
    <w:p>
      <w:pPr>
        <w:spacing w:after="120"/>
      </w:pPr>
      <w:r>
        <w:t xml:space="preserve"/>
      </w:r>
    </w:p>
    <w:p>
      <w:pPr>
        <w:pStyle w:val="Heading2"/>
      </w:pPr>
      <w:r>
        <w:t xml:space="preserve">Other Variable Costs</w:t>
      </w:r>
    </w:p>
    <w:p>
      <w:pPr>
        <w:pStyle w:val="ListParagraph"/>
        <w:numPr>
          <w:ilvl w:val="0"/>
          <w:numId w:val="2"/>
        </w:numPr>
        <w:spacing w:after="80"/>
      </w:pPr>
      <w:r>
        <w:rPr>
          <w:rFonts w:ascii="Arial" w:cs="Arial" w:eastAsia="Arial" w:hAnsi="Arial"/>
          <w:sz w:val="22"/>
          <w:szCs w:val="22"/>
        </w:rPr>
        <w:t xml:space="preserve">Payment processing: Stripe standard 2.9% + $0.30 per transaction. At $39.99, approximately $1.46 per sale.</w:t>
      </w:r>
    </w:p>
    <w:p>
      <w:pPr>
        <w:pStyle w:val="ListParagraph"/>
        <w:numPr>
          <w:ilvl w:val="0"/>
          <w:numId w:val="2"/>
        </w:numPr>
        <w:spacing w:after="80"/>
      </w:pPr>
      <w:r>
        <w:rPr>
          <w:rFonts w:ascii="Arial" w:cs="Arial" w:eastAsia="Arial" w:hAnsi="Arial"/>
          <w:sz w:val="22"/>
          <w:szCs w:val="22"/>
        </w:rPr>
        <w:t xml:space="preserve">Referral fees: 20% of sale price = $8.00 per referred user. Performance-based; no budget cap. Cost scales directly with referral channel success.</w:t>
      </w:r>
    </w:p>
    <w:p>
      <w:pPr>
        <w:pStyle w:val="ListParagraph"/>
        <w:numPr>
          <w:ilvl w:val="0"/>
          <w:numId w:val="2"/>
        </w:numPr>
        <w:spacing w:after="80"/>
      </w:pPr>
      <w:r>
        <w:rPr>
          <w:rFonts w:ascii="Arial" w:cs="Arial" w:eastAsia="Arial" w:hAnsi="Arial"/>
          <w:sz w:val="22"/>
          <w:szCs w:val="22"/>
        </w:rPr>
        <w:t xml:space="preserve">Support: $1.00 per user placeholder. Adjust as support volume becomes visible.</w:t>
      </w:r>
    </w:p>
    <w:p>
      <w:pPr>
        <w:pStyle w:val="ListParagraph"/>
        <w:numPr>
          <w:ilvl w:val="0"/>
          <w:numId w:val="2"/>
        </w:numPr>
        <w:spacing w:after="80"/>
      </w:pPr>
      <w:r>
        <w:rPr>
          <w:rFonts w:ascii="Arial" w:cs="Arial" w:eastAsia="Arial" w:hAnsi="Arial"/>
          <w:sz w:val="22"/>
          <w:szCs w:val="22"/>
        </w:rPr>
        <w:t xml:space="preserve">Refunds: 5% rate assumed. Higher in early periods if grading quality is questioned.</w:t>
      </w:r>
    </w:p>
    <w:p>
      <w:pPr>
        <w:spacing w:after="120"/>
      </w:pPr>
      <w:r>
        <w:t xml:space="preserve"/>
      </w:r>
    </w:p>
    <w:p>
      <w:pPr>
        <w:pStyle w:val="Heading2"/>
      </w:pPr>
      <w:r>
        <w:t xml:space="preserve">Contribution Margin at Base Assumptions</w:t>
      </w:r>
    </w:p>
    <w:p>
      <w:pPr>
        <w:spacing w:after="160"/>
      </w:pPr>
      <w:r>
        <w:rPr>
          <w:rFonts w:ascii="Arial" w:cs="Arial" w:eastAsia="Arial" w:hAnsi="Arial"/>
          <w:color w:val="333333"/>
          <w:sz w:val="22"/>
          <w:szCs w:val="22"/>
        </w:rPr>
        <w:t xml:space="preserve">At $39.99 price, 6 sessions, and base inference assumptions, estimated contribution per user is approximately $30–34 after all variable costs. Contribution margin in the 75–85% range. This is directional until August usage data is available.</w:t>
      </w:r>
    </w:p>
    <w:p>
      <w:pPr>
        <w:spacing w:after="120"/>
      </w:pPr>
      <w:r>
        <w:t xml:space="preserve"/>
      </w:r>
    </w:p>
    <w:p>
      <w:pPr>
        <w:pStyle w:val="Heading1"/>
      </w:pPr>
      <w:r>
        <w:t xml:space="preserve">Acquisition Cost Framework</w:t>
      </w:r>
    </w:p>
    <w:p>
      <w:pPr>
        <w:pStyle w:val="Heading2"/>
      </w:pPr>
      <w:r>
        <w:t xml:space="preserve">Fixed Spend Channels</w:t>
      </w:r>
    </w:p>
    <w:p>
      <w:pPr>
        <w:spacing w:after="160"/>
      </w:pPr>
      <w:r>
        <w:rPr>
          <w:rFonts w:ascii="Arial" w:cs="Arial" w:eastAsia="Arial" w:hAnsi="Arial"/>
          <w:color w:val="333333"/>
          <w:sz w:val="22"/>
          <w:szCs w:val="22"/>
        </w:rPr>
        <w:t xml:space="preserve">Two fixed channels where budget is set monthly and results are optimized over time:</w:t>
      </w:r>
    </w:p>
    <w:p>
      <w:pPr>
        <w:pStyle w:val="ListParagraph"/>
        <w:numPr>
          <w:ilvl w:val="0"/>
          <w:numId w:val="2"/>
        </w:numPr>
        <w:spacing w:after="80"/>
      </w:pPr>
      <w:r>
        <w:rPr>
          <w:rFonts w:ascii="Arial" w:cs="Arial" w:eastAsia="Arial" w:hAnsi="Arial"/>
          <w:sz w:val="22"/>
          <w:szCs w:val="22"/>
        </w:rPr>
        <w:t xml:space="preserve">Influencer / creator spend: Monthly budget input in model. Starting hypothesis $500/month for Spring 2027 push.</w:t>
      </w:r>
    </w:p>
    <w:p>
      <w:pPr>
        <w:pStyle w:val="ListParagraph"/>
        <w:numPr>
          <w:ilvl w:val="0"/>
          <w:numId w:val="2"/>
        </w:numPr>
        <w:spacing w:after="80"/>
      </w:pPr>
      <w:r>
        <w:rPr>
          <w:rFonts w:ascii="Arial" w:cs="Arial" w:eastAsia="Arial" w:hAnsi="Arial"/>
          <w:sz w:val="22"/>
          <w:szCs w:val="22"/>
        </w:rPr>
        <w:t xml:space="preserve">Paid social / ads: Monthly budget input in model. Starting hypothesis $500/month. Platform mix TBD (Instagram, TikTok).</w:t>
      </w:r>
    </w:p>
    <w:p>
      <w:pPr>
        <w:spacing w:after="160"/>
      </w:pPr>
      <w:r>
        <w:rPr>
          <w:rFonts w:ascii="Arial" w:cs="Arial" w:eastAsia="Arial" w:hAnsi="Arial"/>
          <w:color w:val="333333"/>
          <w:sz w:val="22"/>
          <w:szCs w:val="22"/>
        </w:rPr>
        <w:t xml:space="preserve">Conversion rate assumption: 2–3% on paid social (industry benchmark for edtech). August campaigns will replace this with actuals. Current CPC placeholder is $1.50 — replace after first campaign.</w:t>
      </w:r>
    </w:p>
    <w:p>
      <w:pPr>
        <w:spacing w:after="120"/>
      </w:pPr>
      <w:r>
        <w:t xml:space="preserve"/>
      </w:r>
    </w:p>
    <w:p>
      <w:pPr>
        <w:pStyle w:val="Heading2"/>
      </w:pPr>
      <w:r>
        <w:t xml:space="preserve">Performance Channels</w:t>
      </w:r>
    </w:p>
    <w:p>
      <w:pPr>
        <w:spacing w:after="160"/>
      </w:pPr>
      <w:r>
        <w:rPr>
          <w:rFonts w:ascii="Arial" w:cs="Arial" w:eastAsia="Arial" w:hAnsi="Arial"/>
          <w:color w:val="333333"/>
          <w:sz w:val="22"/>
          <w:szCs w:val="22"/>
        </w:rPr>
        <w:t xml:space="preserve">Referral is structured as a performance channel — no budget, cost triggered only by successful sales. Design intent: tutors recommend Cramapple as a between-session drilling tool. Cramapple does the repetitive FRQ practice that tutors do not want to spend session time on.</w:t>
      </w:r>
    </w:p>
    <w:p>
      <w:pPr>
        <w:pStyle w:val="ListParagraph"/>
        <w:numPr>
          <w:ilvl w:val="0"/>
          <w:numId w:val="2"/>
        </w:numPr>
        <w:spacing w:after="80"/>
      </w:pPr>
      <w:r>
        <w:rPr>
          <w:rFonts w:ascii="Arial" w:cs="Arial" w:eastAsia="Arial" w:hAnsi="Arial"/>
          <w:sz w:val="22"/>
          <w:szCs w:val="22"/>
        </w:rPr>
        <w:t xml:space="preserve">Referral fee: 20% of sale ($8.00 at $39.99)</w:t>
      </w:r>
    </w:p>
    <w:p>
      <w:pPr>
        <w:pStyle w:val="ListParagraph"/>
        <w:numPr>
          <w:ilvl w:val="0"/>
          <w:numId w:val="2"/>
        </w:numPr>
        <w:spacing w:after="80"/>
      </w:pPr>
      <w:r>
        <w:rPr>
          <w:rFonts w:ascii="Arial" w:cs="Arial" w:eastAsia="Arial" w:hAnsi="Arial"/>
          <w:sz w:val="22"/>
          <w:szCs w:val="22"/>
        </w:rPr>
        <w:t xml:space="preserve">No budget cap — scales with program success</w:t>
      </w:r>
    </w:p>
    <w:p>
      <w:pPr>
        <w:pStyle w:val="ListParagraph"/>
        <w:numPr>
          <w:ilvl w:val="0"/>
          <w:numId w:val="2"/>
        </w:numPr>
        <w:spacing w:after="80"/>
      </w:pPr>
      <w:r>
        <w:rPr>
          <w:rFonts w:ascii="Arial" w:cs="Arial" w:eastAsia="Arial" w:hAnsi="Arial"/>
          <w:sz w:val="22"/>
          <w:szCs w:val="22"/>
        </w:rPr>
        <w:t xml:space="preserve">Referral % of users estimated at 0% at launch, growing to 10–15% by Spring 2027 as tutor channel matures</w:t>
      </w:r>
    </w:p>
    <w:p>
      <w:pPr>
        <w:pStyle w:val="ListParagraph"/>
        <w:numPr>
          <w:ilvl w:val="0"/>
          <w:numId w:val="2"/>
        </w:numPr>
        <w:spacing w:after="80"/>
      </w:pPr>
      <w:r>
        <w:rPr>
          <w:rFonts w:ascii="Arial" w:cs="Arial" w:eastAsia="Arial" w:hAnsi="Arial"/>
          <w:sz w:val="22"/>
          <w:szCs w:val="22"/>
        </w:rPr>
        <w:t xml:space="preserve">Formal referral program infrastructure not required for August launch</w:t>
      </w:r>
    </w:p>
    <w:p>
      <w:pPr>
        <w:spacing w:after="120"/>
      </w:pPr>
      <w:r>
        <w:t xml:space="preserve"/>
      </w:r>
    </w:p>
    <w:p>
      <w:pPr>
        <w:pStyle w:val="Heading2"/>
      </w:pPr>
      <w:r>
        <w:t xml:space="preserve">CAC Dynamics</w:t>
      </w:r>
    </w:p>
    <w:p>
      <w:pPr>
        <w:spacing w:after="160"/>
      </w:pPr>
      <w:r>
        <w:rPr>
          <w:rFonts w:ascii="Arial" w:cs="Arial" w:eastAsia="Arial" w:hAnsi="Arial"/>
          <w:color w:val="333333"/>
          <w:sz w:val="22"/>
          <w:szCs w:val="22"/>
        </w:rPr>
        <w:t xml:space="preserve">Two CAC views are tracked in the financial model:</w:t>
      </w:r>
    </w:p>
    <w:p>
      <w:pPr>
        <w:pStyle w:val="ListParagraph"/>
        <w:numPr>
          <w:ilvl w:val="0"/>
          <w:numId w:val="2"/>
        </w:numPr>
        <w:spacing w:after="80"/>
      </w:pPr>
      <w:r>
        <w:rPr>
          <w:rFonts w:ascii="Arial" w:cs="Arial" w:eastAsia="Arial" w:hAnsi="Arial"/>
          <w:sz w:val="22"/>
          <w:szCs w:val="22"/>
        </w:rPr>
        <w:t xml:space="preserve">Paid-channel CAC: Total paid spend divided by paid-channel users only. This is the true cost of buying a customer through advertising.</w:t>
      </w:r>
    </w:p>
    <w:p>
      <w:pPr>
        <w:pStyle w:val="ListParagraph"/>
        <w:numPr>
          <w:ilvl w:val="0"/>
          <w:numId w:val="2"/>
        </w:numPr>
        <w:spacing w:after="80"/>
      </w:pPr>
      <w:r>
        <w:rPr>
          <w:rFonts w:ascii="Arial" w:cs="Arial" w:eastAsia="Arial" w:hAnsi="Arial"/>
          <w:sz w:val="22"/>
          <w:szCs w:val="22"/>
        </w:rPr>
        <w:t xml:space="preserve">Blended CAC: Total paid spend divided by all users, including organic and referral. Organic and referral users dilute CAC significantly. As word of mouth and the tutor referral channel mature, blended CAC will fall even with flat ad spend.</w:t>
      </w:r>
    </w:p>
    <w:p>
      <w:pPr>
        <w:spacing w:after="160"/>
      </w:pPr>
      <w:r>
        <w:rPr>
          <w:rFonts w:ascii="Arial" w:cs="Arial" w:eastAsia="Arial" w:hAnsi="Arial"/>
          <w:color w:val="333333"/>
          <w:sz w:val="22"/>
          <w:szCs w:val="22"/>
        </w:rPr>
        <w:t xml:space="preserve">For a one-time purchase product with no LTV beyond the initial transaction, CAC payback is immediate. The question is whether CAC is below contribution margin per user. At base assumptions it is — substantially. The risk is if conversion rates are lower than modeled or inference costs run higher than expected.</w:t>
      </w:r>
    </w:p>
    <w:p>
      <w:pPr>
        <w:spacing w:after="120"/>
      </w:pPr>
      <w:r>
        <w:t xml:space="preserve"/>
      </w:r>
    </w:p>
    <w:p>
      <w:pPr>
        <w:pStyle w:val="Heading1"/>
      </w:pPr>
      <w:r>
        <w:t xml:space="preserve">Key Metrics</w:t>
      </w:r>
    </w:p>
    <w:p>
      <w:pPr>
        <w:spacing w:after="160"/>
      </w:pPr>
      <w:r>
        <w:rPr>
          <w:rFonts w:ascii="Arial" w:cs="Arial" w:eastAsia="Arial" w:hAnsi="Arial"/>
          <w:color w:val="333333"/>
          <w:sz w:val="22"/>
          <w:szCs w:val="22"/>
        </w:rPr>
        <w:t xml:space="preserve">Revenue per user and CAC are the primary metrics. Supporting metrics:</w:t>
      </w:r>
    </w:p>
    <w:p>
      <w:pPr>
        <w:pStyle w:val="ListParagraph"/>
        <w:numPr>
          <w:ilvl w:val="0"/>
          <w:numId w:val="2"/>
        </w:numPr>
        <w:spacing w:after="80"/>
      </w:pPr>
      <w:r>
        <w:rPr>
          <w:rFonts w:ascii="Arial" w:cs="Arial" w:eastAsia="Arial" w:hAnsi="Arial"/>
          <w:sz w:val="22"/>
          <w:szCs w:val="22"/>
        </w:rPr>
        <w:t xml:space="preserve">Inference cost per user: tracked by session intensity. Replaces placeholder after August.</w:t>
      </w:r>
    </w:p>
    <w:p>
      <w:pPr>
        <w:pStyle w:val="ListParagraph"/>
        <w:numPr>
          <w:ilvl w:val="0"/>
          <w:numId w:val="2"/>
        </w:numPr>
        <w:spacing w:after="80"/>
      </w:pPr>
      <w:r>
        <w:rPr>
          <w:rFonts w:ascii="Arial" w:cs="Arial" w:eastAsia="Arial" w:hAnsi="Arial"/>
          <w:sz w:val="22"/>
          <w:szCs w:val="22"/>
        </w:rPr>
        <w:t xml:space="preserve">Contribution margin per user: net revenue minus all variable costs per user. Target $30+.</w:t>
      </w:r>
    </w:p>
    <w:p>
      <w:pPr>
        <w:pStyle w:val="ListParagraph"/>
        <w:numPr>
          <w:ilvl w:val="0"/>
          <w:numId w:val="2"/>
        </w:numPr>
        <w:spacing w:after="80"/>
      </w:pPr>
      <w:r>
        <w:rPr>
          <w:rFonts w:ascii="Arial" w:cs="Arial" w:eastAsia="Arial" w:hAnsi="Arial"/>
          <w:sz w:val="22"/>
          <w:szCs w:val="22"/>
        </w:rPr>
        <w:t xml:space="preserve">Blended CAC: target below $15 once referral and organic channels are contributing.</w:t>
      </w:r>
    </w:p>
    <w:p>
      <w:pPr>
        <w:pStyle w:val="ListParagraph"/>
        <w:numPr>
          <w:ilvl w:val="0"/>
          <w:numId w:val="2"/>
        </w:numPr>
        <w:spacing w:after="80"/>
      </w:pPr>
      <w:r>
        <w:rPr>
          <w:rFonts w:ascii="Arial" w:cs="Arial" w:eastAsia="Arial" w:hAnsi="Arial"/>
          <w:sz w:val="22"/>
          <w:szCs w:val="22"/>
        </w:rPr>
        <w:t xml:space="preserve">Refund rate: flag if it exceeds 8% — signals grading quality issue.</w:t>
      </w:r>
    </w:p>
    <w:p>
      <w:pPr>
        <w:pStyle w:val="ListParagraph"/>
        <w:numPr>
          <w:ilvl w:val="0"/>
          <w:numId w:val="2"/>
        </w:numPr>
        <w:spacing w:after="80"/>
      </w:pPr>
      <w:r>
        <w:rPr>
          <w:rFonts w:ascii="Arial" w:cs="Arial" w:eastAsia="Arial" w:hAnsi="Arial"/>
          <w:sz w:val="22"/>
          <w:szCs w:val="22"/>
        </w:rPr>
        <w:t xml:space="preserve">Referral conversion: percentage of users acquired through referral channel. Leading indicator of tutor channel health.</w:t>
      </w:r>
    </w:p>
    <w:p>
      <w:pPr>
        <w:spacing w:after="120"/>
      </w:pPr>
      <w:r>
        <w:t xml:space="preserve"/>
      </w:r>
    </w:p>
    <w:p>
      <w:pPr>
        <w:pBdr>
          <w:bottom w:val="single" w:color="1B5E8A" w:sz="4" w:space="1"/>
        </w:pBdr>
        <w:spacing w:after="200" w:before="200"/>
      </w:pPr>
      <w:r>
        <w:t xml:space="preserve"/>
      </w:r>
    </w:p>
    <w:p>
      <w:pPr>
        <w:pStyle w:val="Heading1"/>
      </w:pPr>
      <w:r>
        <w:t xml:space="preserve">Financial Model</w:t>
      </w:r>
    </w:p>
    <w:p>
      <w:pPr>
        <w:spacing w:after="160"/>
      </w:pPr>
      <w:r>
        <w:rPr>
          <w:rFonts w:ascii="Arial" w:cs="Arial" w:eastAsia="Arial" w:hAnsi="Arial"/>
          <w:color w:val="333333"/>
          <w:sz w:val="22"/>
          <w:szCs w:val="22"/>
        </w:rPr>
        <w:t xml:space="preserve">The full financial model is maintained as a separate Excel file in this repository. It includes four worksheets:</w:t>
      </w:r>
    </w:p>
    <w:p>
      <w:pPr>
        <w:pStyle w:val="ListParagraph"/>
        <w:numPr>
          <w:ilvl w:val="0"/>
          <w:numId w:val="2"/>
        </w:numPr>
        <w:spacing w:after="80"/>
      </w:pPr>
      <w:r>
        <w:rPr>
          <w:rFonts w:ascii="Arial" w:cs="Arial" w:eastAsia="Arial" w:hAnsi="Arial"/>
          <w:sz w:val="22"/>
          <w:szCs w:val="22"/>
        </w:rPr>
        <w:t xml:space="preserve">Assumptions: All input variables in blue. Yellow-highlighted cells require real data before the model should be presented externally.</w:t>
      </w:r>
    </w:p>
    <w:p>
      <w:pPr>
        <w:pStyle w:val="ListParagraph"/>
        <w:numPr>
          <w:ilvl w:val="0"/>
          <w:numId w:val="2"/>
        </w:numPr>
        <w:spacing w:after="80"/>
      </w:pPr>
      <w:r>
        <w:rPr>
          <w:rFonts w:ascii="Arial" w:cs="Arial" w:eastAsia="Arial" w:hAnsi="Arial"/>
          <w:sz w:val="22"/>
          <w:szCs w:val="22"/>
        </w:rPr>
        <w:t xml:space="preserve">P&amp;L Model: Period-by-period revenue, variable costs, contribution margin, per-user metrics, and CAC across Aug 2026 through FY 2027.</w:t>
      </w:r>
    </w:p>
    <w:p>
      <w:pPr>
        <w:pStyle w:val="ListParagraph"/>
        <w:numPr>
          <w:ilvl w:val="0"/>
          <w:numId w:val="2"/>
        </w:numPr>
        <w:spacing w:after="80"/>
      </w:pPr>
      <w:r>
        <w:rPr>
          <w:rFonts w:ascii="Arial" w:cs="Arial" w:eastAsia="Arial" w:hAnsi="Arial"/>
          <w:sz w:val="22"/>
          <w:szCs w:val="22"/>
        </w:rPr>
        <w:t xml:space="preserve">Scenarios: Spring 2027 Bear / Base / Bull stress test across users, inference cost, and refund rate.</w:t>
      </w:r>
    </w:p>
    <w:p>
      <w:pPr>
        <w:pStyle w:val="ListParagraph"/>
        <w:numPr>
          <w:ilvl w:val="0"/>
          <w:numId w:val="2"/>
        </w:numPr>
        <w:spacing w:after="80"/>
      </w:pPr>
      <w:r>
        <w:rPr>
          <w:rFonts w:ascii="Arial" w:cs="Arial" w:eastAsia="Arial" w:hAnsi="Arial"/>
          <w:sz w:val="22"/>
          <w:szCs w:val="22"/>
        </w:rPr>
        <w:t xml:space="preserve">Inference Sensitivity: Cost-per-user lookup table across session count and output token rate assumptions.</w:t>
      </w:r>
    </w:p>
    <w:p>
      <w:pPr>
        <w:spacing w:after="120"/>
      </w:pPr>
      <w:r>
        <w:t xml:space="preserve"/>
      </w:r>
    </w:p>
    <w:p>
      <w:pPr>
        <w:spacing w:after="160"/>
      </w:pPr>
      <w:r>
        <w:rPr>
          <w:rFonts w:ascii="Arial" w:cs="Arial" w:eastAsia="Arial" w:hAnsi="Arial"/>
          <w:color w:val="333333"/>
          <w:sz w:val="22"/>
          <w:szCs w:val="22"/>
        </w:rPr>
        <w:t xml:space="preserve">Model file: </w:t>
      </w:r>
      <w:hyperlink w:history="1" r:id="rId4-_t3gwejjsusuo4kv1wq">
        <w:r>
          <w:rPr>
            <w:rFonts w:ascii="Arial" w:cs="Arial" w:eastAsia="Arial" w:hAnsi="Arial"/>
            <w:color w:val="1B5E8A"/>
            <w:sz w:val="22"/>
            <w:szCs w:val="22"/>
            <w:u w:val="single"/>
          </w:rPr>
          <w:t xml:space="preserve">Cramapple_Financial_Model.xlsx — github.com/david-bloom/Cramapple/tree/main/docs</w:t>
        </w:r>
      </w:hyperlink>
    </w:p>
    <w:p>
      <w:pPr>
        <w:spacing w:after="120"/>
      </w:pPr>
      <w:r>
        <w:t xml:space="preserve"/>
      </w:r>
    </w:p>
    <w:p>
      <w:pPr>
        <w:pBdr>
          <w:bottom w:val="single" w:color="1B5E8A" w:sz="4" w:space="1"/>
        </w:pBdr>
        <w:spacing w:after="200" w:before="200"/>
      </w:pPr>
      <w:r>
        <w:t xml:space="preserve"/>
      </w:r>
    </w:p>
    <w:p>
      <w:pPr>
        <w:pStyle w:val="Heading1"/>
      </w:pPr>
      <w:r>
        <w:t xml:space="preserve">Open Items</w:t>
      </w:r>
    </w:p>
    <w:p>
      <w:pPr>
        <w:pStyle w:val="ListParagraph"/>
        <w:numPr>
          <w:ilvl w:val="0"/>
          <w:numId w:val="2"/>
        </w:numPr>
        <w:spacing w:after="80"/>
      </w:pPr>
      <w:r>
        <w:rPr>
          <w:rFonts w:ascii="Arial" w:cs="Arial" w:eastAsia="Arial" w:hAnsi="Arial"/>
          <w:sz w:val="22"/>
          <w:szCs w:val="22"/>
        </w:rPr>
        <w:t xml:space="preserve">Inference cost per user: replace placeholder with actuals after August sessions</w:t>
      </w:r>
    </w:p>
    <w:p>
      <w:pPr>
        <w:pStyle w:val="ListParagraph"/>
        <w:numPr>
          <w:ilvl w:val="0"/>
          <w:numId w:val="2"/>
        </w:numPr>
        <w:spacing w:after="80"/>
      </w:pPr>
      <w:r>
        <w:rPr>
          <w:rFonts w:ascii="Arial" w:cs="Arial" w:eastAsia="Arial" w:hAnsi="Arial"/>
          <w:sz w:val="22"/>
          <w:szCs w:val="22"/>
        </w:rPr>
        <w:t xml:space="preserve">CPC and conversion rate: replace with first paid campaign actuals</w:t>
      </w:r>
    </w:p>
    <w:p>
      <w:pPr>
        <w:pStyle w:val="ListParagraph"/>
        <w:numPr>
          <w:ilvl w:val="0"/>
          <w:numId w:val="2"/>
        </w:numPr>
        <w:spacing w:after="80"/>
      </w:pPr>
      <w:r>
        <w:rPr>
          <w:rFonts w:ascii="Arial" w:cs="Arial" w:eastAsia="Arial" w:hAnsi="Arial"/>
          <w:sz w:val="22"/>
          <w:szCs w:val="22"/>
        </w:rPr>
        <w:t xml:space="preserve">Refund rate: establish actual rate after first 30-day window</w:t>
      </w:r>
    </w:p>
    <w:p>
      <w:pPr>
        <w:pStyle w:val="ListParagraph"/>
        <w:numPr>
          <w:ilvl w:val="0"/>
          <w:numId w:val="2"/>
        </w:numPr>
        <w:spacing w:after="80"/>
      </w:pPr>
      <w:r>
        <w:rPr>
          <w:rFonts w:ascii="Arial" w:cs="Arial" w:eastAsia="Arial" w:hAnsi="Arial"/>
          <w:sz w:val="22"/>
          <w:szCs w:val="22"/>
        </w:rPr>
        <w:t xml:space="preserve">Tiered pricing (base vs. unlimited): evaluate after August usage data</w:t>
      </w:r>
    </w:p>
    <w:p>
      <w:pPr>
        <w:pStyle w:val="ListParagraph"/>
        <w:numPr>
          <w:ilvl w:val="0"/>
          <w:numId w:val="2"/>
        </w:numPr>
        <w:spacing w:after="80"/>
      </w:pPr>
      <w:r>
        <w:rPr>
          <w:rFonts w:ascii="Arial" w:cs="Arial" w:eastAsia="Arial" w:hAnsi="Arial"/>
          <w:sz w:val="22"/>
          <w:szCs w:val="22"/>
        </w:rPr>
        <w:t xml:space="preserve">Bundle pricing (multi-subject): model separately when second subject is scoped</w:t>
      </w:r>
    </w:p>
    <w:p>
      <w:pPr>
        <w:pStyle w:val="ListParagraph"/>
        <w:numPr>
          <w:ilvl w:val="0"/>
          <w:numId w:val="2"/>
        </w:numPr>
        <w:spacing w:after="80"/>
      </w:pPr>
      <w:r>
        <w:rPr>
          <w:rFonts w:ascii="Arial" w:cs="Arial" w:eastAsia="Arial" w:hAnsi="Arial"/>
          <w:sz w:val="22"/>
          <w:szCs w:val="22"/>
        </w:rPr>
        <w:t xml:space="preserve">Referral program mechanics: formalize before Spring 2027 push</w:t>
      </w:r>
    </w:p>
    <w:p>
      <w:pPr>
        <w:spacing w:after="120"/>
      </w:pPr>
      <w:r>
        <w:t xml:space="preserve"/>
      </w:r>
    </w:p>
    <w:p>
      <w:pPr>
        <w:spacing w:after="80"/>
      </w:pPr>
      <w:r>
        <w:rPr>
          <w:rFonts w:ascii="Arial" w:cs="Arial" w:eastAsia="Arial" w:hAnsi="Arial"/>
          <w:i/>
          <w:iCs/>
          <w:color w:val="666666"/>
          <w:sz w:val="18"/>
          <w:szCs w:val="18"/>
        </w:rPr>
        <w:t xml:space="preserve">Document status: Working draft. Key assumptions flagged in model require replacement with actuals.</w:t>
      </w:r>
    </w:p>
    <w:p>
      <w:pPr>
        <w:spacing w:after="80"/>
      </w:pPr>
      <w:r>
        <w:rPr>
          <w:rFonts w:ascii="Arial" w:cs="Arial" w:eastAsia="Arial" w:hAnsi="Arial"/>
          <w:i/>
          <w:iCs/>
          <w:color w:val="666666"/>
          <w:sz w:val="18"/>
          <w:szCs w:val="18"/>
        </w:rPr>
        <w:t xml:space="preserve">Owner: David Bloom  |  Model owner: David Bloom  |  Next review: Post-August cohort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8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5E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_t3gwejjsusuo4kv1wq" Type="http://schemas.openxmlformats.org/officeDocument/2006/relationships/hyperlink" Target="https://github.com/david-bloom/Cramapple/tree/main/doc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2026-06-09T18:36:24.696Z</dcterms:created>
  <dcterms:modified xsi:type="dcterms:W3CDTF">2026-06-09T18:36:24.696Z</dcterms:modified>
</cp:coreProperties>
</file>

<file path=docProps/custom.xml><?xml version="1.0" encoding="utf-8"?>
<Properties xmlns="http://schemas.openxmlformats.org/officeDocument/2006/custom-properties" xmlns:vt="http://schemas.openxmlformats.org/officeDocument/2006/docPropsVTypes"/>
</file>