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4E79"/>
          <w:sz w:val="52"/>
          <w:szCs w:val="52"/>
        </w:rPr>
        <w:t xml:space="preserve">Test Strategy</w:t>
      </w:r>
    </w:p>
    <w:p>
      <w:pPr>
        <w:spacing w:after="60" w:before="0"/>
      </w:pPr>
      <w:r>
        <w:rPr>
          <w:rFonts w:ascii="Calibri" w:cs="Calibri" w:eastAsia="Calibri" w:hAnsi="Calibri"/>
          <w:color w:val="2E75B6"/>
          <w:sz w:val="36"/>
          <w:szCs w:val="36"/>
        </w:rPr>
        <w:t xml:space="preserve">Feature Domain – iDaVIE Sub-team 5</w:t>
      </w:r>
    </w:p>
    <w:p>
      <w:pPr>
        <w:spacing w:after="200" w:before="0"/>
      </w:pPr>
      <w:r>
        <w:rPr>
          <w:rFonts w:ascii="Calibri" w:cs="Calibri" w:eastAsia="Calibri" w:hAnsi="Calibri"/>
          <w:color w:val="666666"/>
          <w:sz w:val="20"/>
          <w:szCs w:val="20"/>
        </w:rPr>
        <w:t>Version 1.0  |  iDaVIE Refactoring Project</w:t>
      </w:r>
    </w:p>
    <w:p>
      <w:pPr>
        <w:pBdr>
          <w:bottom w:val="single" w:color="2E75B6" w:sz="6" w:space="4"/>
        </w:pBdr>
        <w:spacing w:after="0" w:before="0"/>
      </w:pPr>
    </w:p>
    <w:p>
      <w:pPr>
        <w:spacing w:after="0" w:before="180"/>
      </w:pPr>
    </w:p>
    <w:p>
      <w:pPr>
        <w:pStyle w:val="Heading1"/>
        <w:spacing w:after="120" w:before="280"/>
      </w:pPr>
      <w:r>
        <w:rPr>
          <w:rFonts w:ascii="Calibri" w:cs="Calibri" w:eastAsia="Calibri" w:hAnsi="Calibri"/>
          <w:b/>
          <w:bCs/>
          <w:color w:val="1F4E79"/>
          <w:sz w:val="28"/>
          <w:szCs w:val="28"/>
        </w:rPr>
        <w:t xml:space="preserve">1.  Introduction and Scope</w:t>
      </w:r>
    </w:p>
    <w:p>
      <w:pPr>
        <w:spacing w:after="60" w:before="60"/>
      </w:pPr>
      <w:r>
        <w:rPr>
          <w:rFonts w:ascii="Calibri" w:cs="Calibri" w:eastAsia="Calibri" w:hAnsi="Calibri"/>
          <w:sz w:val="22"/>
          <w:szCs w:val="22"/>
        </w:rPr>
        <w:t xml:space="preserve">iDaVIE (immersive Data Visualisation Interactive Explorer) is a VR astronomy platform for exploring three-dimensional FITS data cubes. Sub-team 5 owns the feature domain: the pure-C# model and service layer responsible for storing, querying, and exporting astronomical source annotations.</w:t>
      </w:r>
    </w:p>
    <w:p>
      <w:pPr>
        <w:spacing w:after="60" w:before="60"/>
      </w:pPr>
      <w:r>
        <w:rPr>
          <w:rFonts w:ascii="Calibri" w:cs="Calibri" w:eastAsia="Calibri" w:hAnsi="Calibri"/>
          <w:sz w:val="22"/>
          <w:szCs w:val="22"/>
        </w:rPr>
        <w:t xml:space="preserve">This document describes the test strategy for the classes in Assets/Scripts/FeatureData/ (namespaces DataFeatures, iDaVIE.Domain.Feature, and iDaVIE.Application.Feature) together with their supporting services.</w:t>
      </w:r>
    </w:p>
    <w:p>
      <w:pPr>
        <w:spacing w:after="60" w:before="60"/>
      </w:pPr>
      <w:r>
        <w:rPr>
          <w:rFonts w:ascii="Calibri" w:cs="Calibri" w:eastAsia="Calibri" w:hAnsi="Calibri"/>
          <w:sz w:val="22"/>
          <w:szCs w:val="22"/>
        </w:rPr>
        <w:t xml:space="preserve">The strategy covers the following scope:</w:t>
      </w:r>
    </w:p>
    <w:p>
      <w:pPr>
        <w:pStyle w:val="ListParagraph"/>
        <w:numPr>
          <w:ilvl w:val="0"/>
          <w:numId w:val="2"/>
        </w:numPr>
        <w:spacing w:after="40" w:before="40"/>
      </w:pPr>
      <w:r>
        <w:rPr>
          <w:rFonts w:ascii="Calibri" w:cs="Calibri" w:eastAsia="Calibri" w:hAnsi="Calibri"/>
          <w:sz w:val="22"/>
          <w:szCs w:val="22"/>
        </w:rPr>
        <w:t xml:space="preserve">Domain model classes: Feature, FeatureSet, FeatureCatalog</w:t>
      </w:r>
    </w:p>
    <w:p>
      <w:pPr>
        <w:pStyle w:val="ListParagraph"/>
        <w:numPr>
          <w:ilvl w:val="0"/>
          <w:numId w:val="2"/>
        </w:numPr>
        <w:spacing w:after="40" w:before="40"/>
      </w:pPr>
      <w:r>
        <w:rPr>
          <w:rFonts w:ascii="Calibri" w:cs="Calibri" w:eastAsia="Calibri" w:hAnsi="Calibri"/>
          <w:sz w:val="22"/>
          <w:szCs w:val="22"/>
        </w:rPr>
        <w:t xml:space="preserve">Application-layer orchestrator: FeatureSetService</w:t>
      </w:r>
    </w:p>
    <w:p>
      <w:pPr>
        <w:pStyle w:val="ListParagraph"/>
        <w:numPr>
          <w:ilvl w:val="0"/>
          <w:numId w:val="2"/>
        </w:numPr>
        <w:spacing w:after="40" w:before="40"/>
      </w:pPr>
      <w:r>
        <w:rPr>
          <w:rFonts w:ascii="Calibri" w:cs="Calibri" w:eastAsia="Calibri" w:hAnsi="Calibri"/>
          <w:sz w:val="22"/>
          <w:szCs w:val="22"/>
        </w:rPr>
        <w:t xml:space="preserve">Persistence/serialisation service: VoTableExportService</w:t>
      </w:r>
    </w:p>
    <w:p>
      <w:pPr>
        <w:spacing w:after="60" w:before="60"/>
      </w:pPr>
      <w:r>
        <w:rPr>
          <w:rFonts w:ascii="Calibri" w:cs="Calibri" w:eastAsia="Calibri" w:hAnsi="Calibri"/>
          <w:sz w:val="22"/>
          <w:szCs w:val="22"/>
        </w:rPr>
        <w:t xml:space="preserve">The following are explicitly out of scope for this strategy:</w:t>
      </w:r>
    </w:p>
    <w:p>
      <w:pPr>
        <w:pStyle w:val="ListParagraph"/>
        <w:numPr>
          <w:ilvl w:val="0"/>
          <w:numId w:val="2"/>
        </w:numPr>
        <w:spacing w:after="40" w:before="40"/>
      </w:pPr>
      <w:r>
        <w:rPr>
          <w:rFonts w:ascii="Calibri" w:cs="Calibri" w:eastAsia="Calibri" w:hAnsi="Calibri"/>
          <w:sz w:val="22"/>
          <w:szCs w:val="22"/>
        </w:rPr>
        <w:t xml:space="preserve">Unity MonoBehaviour classes (FeatureSetRenderer, FeatureVisualiser, FeatureMenuController) – these require a running Unity runtime and are tested through manual integration or Unity Test Runner play-mode tests owned by separate work packages.</w:t>
      </w:r>
    </w:p>
    <w:p>
      <w:pPr>
        <w:pStyle w:val="ListParagraph"/>
        <w:numPr>
          <w:ilvl w:val="0"/>
          <w:numId w:val="2"/>
        </w:numPr>
        <w:spacing w:after="40" w:before="40"/>
      </w:pPr>
      <w:r>
        <w:rPr>
          <w:rFonts w:ascii="Calibri" w:cs="Calibri" w:eastAsia="Calibri" w:hAnsi="Calibri"/>
          <w:sz w:val="22"/>
          <w:szCs w:val="22"/>
        </w:rPr>
        <w:t xml:space="preserve">The AstTool native DLL for coordinate transformation – this is a third-party binary with its own testing responsibilities.</w:t>
      </w:r>
    </w:p>
    <w:p>
      <w:pPr>
        <w:pStyle w:val="ListParagraph"/>
        <w:numPr>
          <w:ilvl w:val="0"/>
          <w:numId w:val="2"/>
        </w:numPr>
        <w:spacing w:after="40" w:before="40"/>
      </w:pPr>
      <w:r>
        <w:rPr>
          <w:rFonts w:ascii="Calibri" w:cs="Calibri" w:eastAsia="Calibri" w:hAnsi="Calibri"/>
          <w:sz w:val="22"/>
          <w:szCs w:val="22"/>
        </w:rPr>
        <w:t xml:space="preserve">WP2 data-loading components (IFeatureTableLoader implementations) – out of sub-team 5’s responsibility boundary.</w:t>
      </w:r>
    </w:p>
    <w:p>
      <w:pPr>
        <w:spacing w:after="0" w:before="120"/>
      </w:pPr>
    </w:p>
    <w:p>
      <w:pPr>
        <w:pStyle w:val="Heading1"/>
        <w:spacing w:after="120" w:before="280"/>
      </w:pPr>
      <w:r>
        <w:rPr>
          <w:rFonts w:ascii="Calibri" w:cs="Calibri" w:eastAsia="Calibri" w:hAnsi="Calibri"/>
          <w:b/>
          <w:bCs/>
          <w:color w:val="1F4E79"/>
          <w:sz w:val="28"/>
          <w:szCs w:val="28"/>
        </w:rPr>
        <w:t xml:space="preserve">2.  Test Objectives</w:t>
      </w:r>
    </w:p>
    <w:p>
      <w:pPr>
        <w:spacing w:after="60" w:before="60"/>
      </w:pPr>
      <w:r>
        <w:rPr>
          <w:rFonts w:ascii="Calibri" w:cs="Calibri" w:eastAsia="Calibri" w:hAnsi="Calibri"/>
          <w:sz w:val="22"/>
          <w:szCs w:val="22"/>
        </w:rPr>
        <w:t xml:space="preserve">The tests pursue four specific objectives:</w:t>
      </w:r>
    </w:p>
    <w:p>
      <w:pPr>
        <w:pStyle w:val="ListParagraph"/>
        <w:numPr>
          <w:ilvl w:val="0"/>
          <w:numId w:val="2"/>
        </w:numPr>
        <w:spacing w:after="40" w:before="40"/>
      </w:pPr>
      <w:r>
        <w:rPr>
          <w:rFonts w:ascii="Calibri" w:cs="Calibri" w:eastAsia="Calibri" w:hAnsi="Calibri"/>
          <w:b/>
          <w:bCs/>
          <w:sz w:val="22"/>
          <w:szCs w:val="22"/>
        </w:rPr>
        <w:t xml:space="preserve">Correctness of computed geometry.</w:t>
      </w:r>
      <w:r>
        <w:rPr>
          <w:rFonts w:ascii="Calibri" w:cs="Calibri" w:eastAsia="Calibri" w:hAnsi="Calibri"/>
          <w:sz w:val="22"/>
          <w:szCs w:val="22"/>
        </w:rPr>
        <w:t xml:space="preserve">Correctness of computed geometry: </w:t>
      </w:r>
    </w:p>
    <w:p>
      <w:pPr>
        <w:pStyle w:val="ListParagraph"/>
        <w:numPr>
          <w:ilvl w:val="0"/>
          <w:numId w:val="3"/>
        </w:numPr>
        <w:spacing w:after="30" w:before="30"/>
      </w:pPr>
      <w:r>
        <w:rPr>
          <w:rFonts w:ascii="Calibri" w:cs="Calibri" w:eastAsia="Calibri" w:hAnsi="Calibri"/>
          <w:sz w:val="20"/>
          <w:szCs w:val="20"/>
        </w:rPr>
        <w:t xml:space="preserve">Center must return the exact midpoint of the two stored corner vectors.</w:t>
      </w:r>
    </w:p>
    <w:p>
      <w:pPr>
        <w:pStyle w:val="ListParagraph"/>
        <w:numPr>
          <w:ilvl w:val="0"/>
          <w:numId w:val="3"/>
        </w:numPr>
        <w:spacing w:after="30" w:before="30"/>
      </w:pPr>
      <w:r>
        <w:rPr>
          <w:rFonts w:ascii="Calibri" w:cs="Calibri" w:eastAsia="Calibri" w:hAnsi="Calibri"/>
          <w:sz w:val="20"/>
          <w:szCs w:val="20"/>
        </w:rPr>
        <w:t xml:space="preserve">Size must equal (max − min + 1) per axis, reflecting the 1-based voxel-inclusive convention.</w:t>
      </w:r>
    </w:p>
    <w:p>
      <w:pPr>
        <w:pStyle w:val="ListParagraph"/>
        <w:numPr>
          <w:ilvl w:val="0"/>
          <w:numId w:val="3"/>
        </w:numPr>
        <w:spacing w:after="30" w:before="30"/>
      </w:pPr>
      <w:r>
        <w:rPr>
          <w:rFonts w:ascii="Calibri" w:cs="Calibri" w:eastAsia="Calibri" w:hAnsi="Calibri"/>
          <w:sz w:val="20"/>
          <w:szCs w:val="20"/>
        </w:rPr>
        <w:t xml:space="preserve">ContainsPoint must use inclusive boundary comparisons (≥ min, ≤ max) on all three axes.</w:t>
      </w:r>
    </w:p>
    <w:p>
      <w:pPr>
        <w:pStyle w:val="ListParagraph"/>
        <w:numPr>
          <w:ilvl w:val="0"/>
          <w:numId w:val="2"/>
        </w:numPr>
        <w:spacing w:after="40" w:before="40"/>
      </w:pPr>
      <w:r>
        <w:rPr>
          <w:rFonts w:ascii="Calibri" w:cs="Calibri" w:eastAsia="Calibri" w:hAnsi="Calibri"/>
          <w:b/>
          <w:bCs/>
          <w:sz w:val="22"/>
          <w:szCs w:val="22"/>
        </w:rPr>
        <w:t xml:space="preserve">Domain event propagation.</w:t>
      </w:r>
      <w:r>
        <w:rPr>
          <w:rFonts w:ascii="Calibri" w:cs="Calibri" w:eastAsia="Calibri" w:hAnsi="Calibri"/>
          <w:sz w:val="22"/>
          <w:szCs w:val="22"/>
        </w:rPr>
        <w:t xml:space="preserve">Domain event propagation: </w:t>
      </w:r>
    </w:p>
    <w:p>
      <w:pPr>
        <w:pStyle w:val="ListParagraph"/>
        <w:numPr>
          <w:ilvl w:val="0"/>
          <w:numId w:val="3"/>
        </w:numPr>
        <w:spacing w:after="30" w:before="30"/>
      </w:pPr>
      <w:r>
        <w:rPr>
          <w:rFonts w:ascii="Calibri" w:cs="Calibri" w:eastAsia="Calibri" w:hAnsi="Calibri"/>
          <w:sz w:val="20"/>
          <w:szCs w:val="20"/>
        </w:rPr>
        <w:t xml:space="preserve">Every mutation that changes visual state (SetBounds, Center setter, Size setter, Visible, Selected, CubeColor) must fire a FeatureDirty notification through to the parent FeatureSet.</w:t>
      </w:r>
    </w:p>
    <w:p>
      <w:pPr>
        <w:pStyle w:val="ListParagraph"/>
        <w:numPr>
          <w:ilvl w:val="0"/>
          <w:numId w:val="3"/>
        </w:numPr>
        <w:spacing w:after="30" w:before="30"/>
      </w:pPr>
      <w:r>
        <w:rPr>
          <w:rFonts w:ascii="Calibri" w:cs="Calibri" w:eastAsia="Calibri" w:hAnsi="Calibri"/>
          <w:sz w:val="20"/>
          <w:szCs w:val="20"/>
        </w:rPr>
        <w:t xml:space="preserve">Add() must wire the parent back-reference; Remove() must clear it and trigger a full-redraw signal.</w:t>
      </w:r>
    </w:p>
    <w:p>
      <w:pPr>
        <w:pStyle w:val="ListParagraph"/>
        <w:numPr>
          <w:ilvl w:val="0"/>
          <w:numId w:val="2"/>
        </w:numPr>
        <w:spacing w:after="40" w:before="40"/>
      </w:pPr>
      <w:r>
        <w:rPr>
          <w:rFonts w:ascii="Calibri" w:cs="Calibri" w:eastAsia="Calibri" w:hAnsi="Calibri"/>
          <w:b/>
          <w:bCs/>
          <w:sz w:val="22"/>
          <w:szCs w:val="22"/>
        </w:rPr>
        <w:t xml:space="preserve">End-to-end data integrity.</w:t>
      </w:r>
      <w:r>
        <w:rPr>
          <w:rFonts w:ascii="Calibri" w:cs="Calibri" w:eastAsia="Calibri" w:hAnsi="Calibri"/>
          <w:sz w:val="22"/>
          <w:szCs w:val="22"/>
        </w:rPr>
        <w:t xml:space="preserve">End-to-end data integrity: </w:t>
      </w:r>
    </w:p>
    <w:p>
      <w:pPr>
        <w:pStyle w:val="ListParagraph"/>
        <w:numPr>
          <w:ilvl w:val="0"/>
          <w:numId w:val="3"/>
        </w:numPr>
        <w:spacing w:after="30" w:before="30"/>
      </w:pPr>
      <w:r>
        <w:rPr>
          <w:rFonts w:ascii="Calibri" w:cs="Calibri" w:eastAsia="Calibri" w:hAnsi="Calibri"/>
          <w:sz w:val="20"/>
          <w:szCs w:val="20"/>
        </w:rPr>
        <w:t xml:space="preserve">A VOTable exported immediately after in-memory edits must reflect the domain-computed Center, the new CornerMin/CornerMax from SetBounds, updated RawData values, and the edited Flag.</w:t>
      </w:r>
    </w:p>
    <w:p>
      <w:pPr>
        <w:pStyle w:val="ListParagraph"/>
        <w:numPr>
          <w:ilvl w:val="0"/>
          <w:numId w:val="3"/>
        </w:numPr>
        <w:spacing w:after="30" w:before="30"/>
      </w:pPr>
      <w:r>
        <w:rPr>
          <w:rFonts w:ascii="Calibri" w:cs="Calibri" w:eastAsia="Calibri" w:hAnsi="Calibri"/>
          <w:sz w:val="20"/>
          <w:szCs w:val="20"/>
        </w:rPr>
        <w:t xml:space="preserve">Unedited features in the same set must remain unchanged.</w:t>
      </w:r>
    </w:p>
    <w:p>
      <w:pPr>
        <w:pStyle w:val="ListParagraph"/>
        <w:numPr>
          <w:ilvl w:val="0"/>
          <w:numId w:val="2"/>
        </w:numPr>
        <w:spacing w:after="40" w:before="40"/>
      </w:pPr>
      <w:r>
        <w:rPr>
          <w:rFonts w:ascii="Calibri" w:cs="Calibri" w:eastAsia="Calibri" w:hAnsi="Calibri"/>
          <w:b/>
          <w:bCs/>
          <w:sz w:val="22"/>
          <w:szCs w:val="22"/>
        </w:rPr>
        <w:t xml:space="preserve">Isolation.</w:t>
      </w:r>
      <w:r>
        <w:rPr>
          <w:rFonts w:ascii="Calibri" w:cs="Calibri" w:eastAsia="Calibri" w:hAnsi="Calibri"/>
          <w:sz w:val="22"/>
          <w:szCs w:val="22"/>
        </w:rPr>
        <w:t xml:space="preserve">Isolation from non-deterministic subsystems: </w:t>
      </w:r>
    </w:p>
    <w:p>
      <w:pPr>
        <w:pStyle w:val="ListParagraph"/>
        <w:numPr>
          <w:ilvl w:val="0"/>
          <w:numId w:val="3"/>
        </w:numPr>
        <w:spacing w:after="30" w:before="30"/>
      </w:pPr>
      <w:r>
        <w:rPr>
          <w:rFonts w:ascii="Calibri" w:cs="Calibri" w:eastAsia="Calibri" w:hAnsi="Calibri"/>
          <w:sz w:val="20"/>
          <w:szCs w:val="20"/>
        </w:rPr>
        <w:t xml:space="preserve">All tests must run without the Unity runtime, without the AstTool DLL, and without the file system, so the suite is reproducible on any developer machine and in CI.</w:t>
      </w:r>
    </w:p>
    <w:p>
      <w:pPr>
        <w:spacing w:after="0" w:before="120"/>
      </w:pPr>
    </w:p>
    <w:p>
      <w:pPr>
        <w:pStyle w:val="Heading1"/>
        <w:spacing w:after="120" w:before="280"/>
      </w:pPr>
      <w:r>
        <w:rPr>
          <w:rFonts w:ascii="Calibri" w:cs="Calibri" w:eastAsia="Calibri" w:hAnsi="Calibri"/>
          <w:b/>
          <w:bCs/>
          <w:color w:val="1F4E79"/>
          <w:sz w:val="28"/>
          <w:szCs w:val="28"/>
        </w:rPr>
        <w:t xml:space="preserve">3.  Components Under Test</w:t>
      </w:r>
    </w:p>
    <w:p>
      <w:pPr>
        <w:spacing w:after="60" w:before="60"/>
      </w:pPr>
      <w:r>
        <w:rPr>
          <w:rFonts w:ascii="Calibri" w:cs="Calibri" w:eastAsia="Calibri" w:hAnsi="Calibri"/>
          <w:sz w:val="22"/>
          <w:szCs w:val="22"/>
        </w:rPr>
        <w:t xml:space="preserve">The table below lists each testable component, its primary responsibility, the test type applied, and current implementation status.</w:t>
      </w:r>
    </w:p>
    <w:p>
      <w:pPr>
        <w:spacing w:after="0" w:before="80"/>
      </w:pP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400"/>
        <w:gridCol w:w="3626"/>
        <w:gridCol w:w="1600"/>
        <w:gridCol w:w="1400"/>
      </w:tblGrid>
      <w:tr>
        <w:trPr>
          <w:tblHeader/>
        </w:trPr>
        <w:tc>
          <w:tcPr>
            <w:tcW w:type="dxa" w:w="2400"/>
            <w:tcBorders>
              <w:top w:val="single" w:color="AACDE0" w:sz="4"/>
              <w:left w:val="single" w:color="AACDE0" w:sz="4"/>
              <w:bottom w:val="single" w:color="AACDE0" w:sz="4"/>
              <w:right w:val="single" w:color="AACDE0" w:sz="4"/>
            </w:tcBorders>
            <w:shd w:fill="D6E4F0" w:val="clear"/>
            <w:tcMar>
              <w:top w:type="dxa" w:w="100"/>
              <w:left w:type="dxa" w:w="140"/>
              <w:bottom w:type="dxa" w:w="100"/>
              <w:right w:type="dxa" w:w="140"/>
            </w:tcMar>
            <w:vAlign w:val="center"/>
          </w:tcPr>
          <w:p>
            <w:r>
              <w:rPr>
                <w:rFonts w:ascii="Calibri" w:cs="Calibri" w:eastAsia="Calibri" w:hAnsi="Calibri"/>
                <w:b/>
                <w:bCs/>
                <w:color w:val="1F4E79"/>
                <w:sz w:val="20"/>
                <w:szCs w:val="20"/>
              </w:rPr>
              <w:t xml:space="preserve">Class</w:t>
            </w:r>
          </w:p>
        </w:tc>
        <w:tc>
          <w:tcPr>
            <w:tcW w:type="dxa" w:w="3626"/>
            <w:tcBorders>
              <w:top w:val="single" w:color="AACDE0" w:sz="4"/>
              <w:left w:val="single" w:color="AACDE0" w:sz="4"/>
              <w:bottom w:val="single" w:color="AACDE0" w:sz="4"/>
              <w:right w:val="single" w:color="AACDE0" w:sz="4"/>
            </w:tcBorders>
            <w:shd w:fill="D6E4F0" w:val="clear"/>
            <w:tcMar>
              <w:top w:type="dxa" w:w="100"/>
              <w:left w:type="dxa" w:w="140"/>
              <w:bottom w:type="dxa" w:w="100"/>
              <w:right w:type="dxa" w:w="140"/>
            </w:tcMar>
            <w:vAlign w:val="center"/>
          </w:tcPr>
          <w:p>
            <w:r>
              <w:rPr>
                <w:rFonts w:ascii="Calibri" w:cs="Calibri" w:eastAsia="Calibri" w:hAnsi="Calibri"/>
                <w:b/>
                <w:bCs/>
                <w:color w:val="1F4E79"/>
                <w:sz w:val="20"/>
                <w:szCs w:val="20"/>
              </w:rPr>
              <w:t xml:space="preserve">Responsibility</w:t>
            </w:r>
          </w:p>
        </w:tc>
        <w:tc>
          <w:tcPr>
            <w:tcW w:type="dxa" w:w="1600"/>
            <w:tcBorders>
              <w:top w:val="single" w:color="AACDE0" w:sz="4"/>
              <w:left w:val="single" w:color="AACDE0" w:sz="4"/>
              <w:bottom w:val="single" w:color="AACDE0" w:sz="4"/>
              <w:right w:val="single" w:color="AACDE0" w:sz="4"/>
            </w:tcBorders>
            <w:shd w:fill="D6E4F0" w:val="clear"/>
            <w:tcMar>
              <w:top w:type="dxa" w:w="100"/>
              <w:left w:type="dxa" w:w="140"/>
              <w:bottom w:type="dxa" w:w="100"/>
              <w:right w:type="dxa" w:w="140"/>
            </w:tcMar>
            <w:vAlign w:val="center"/>
          </w:tcPr>
          <w:p>
            <w:r>
              <w:rPr>
                <w:rFonts w:ascii="Calibri" w:cs="Calibri" w:eastAsia="Calibri" w:hAnsi="Calibri"/>
                <w:b/>
                <w:bCs/>
                <w:color w:val="1F4E79"/>
                <w:sz w:val="20"/>
                <w:szCs w:val="20"/>
              </w:rPr>
              <w:t xml:space="preserve">Test Type</w:t>
            </w:r>
          </w:p>
        </w:tc>
        <w:tc>
          <w:tcPr>
            <w:tcW w:type="dxa" w:w="1400"/>
            <w:tcBorders>
              <w:top w:val="single" w:color="AACDE0" w:sz="4"/>
              <w:left w:val="single" w:color="AACDE0" w:sz="4"/>
              <w:bottom w:val="single" w:color="AACDE0" w:sz="4"/>
              <w:right w:val="single" w:color="AACDE0" w:sz="4"/>
            </w:tcBorders>
            <w:shd w:fill="D6E4F0" w:val="clear"/>
            <w:tcMar>
              <w:top w:type="dxa" w:w="100"/>
              <w:left w:type="dxa" w:w="140"/>
              <w:bottom w:type="dxa" w:w="100"/>
              <w:right w:type="dxa" w:w="140"/>
            </w:tcMar>
            <w:vAlign w:val="center"/>
          </w:tcPr>
          <w:p>
            <w:r>
              <w:rPr>
                <w:rFonts w:ascii="Calibri" w:cs="Calibri" w:eastAsia="Calibri" w:hAnsi="Calibri"/>
                <w:b/>
                <w:bCs/>
                <w:color w:val="1F4E79"/>
                <w:sz w:val="20"/>
                <w:szCs w:val="20"/>
              </w:rPr>
              <w:t xml:space="preserve">Status</w:t>
            </w:r>
          </w:p>
        </w:tc>
      </w:tr>
      <w:tr>
        <w:tc>
          <w:tcPr>
            <w:tcW w:type="dxa" w:w="24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bCs/>
                <w:sz w:val="20"/>
                <w:szCs w:val="20"/>
              </w:rPr>
              <w:t xml:space="preserve">Feature</w:t>
            </w:r>
          </w:p>
        </w:tc>
        <w:tc>
          <w:tcPr>
            <w:tcW w:type="dxa" w:w="3626"/>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Pure domain object: voxel bounding box, computed properties (Center, Size, ContainsPoint), dirty notification chain</w:t>
            </w:r>
          </w:p>
        </w:tc>
        <w:tc>
          <w:tcPr>
            <w:tcW w:type="dxa" w:w="16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Unit + Scenario</w:t>
            </w:r>
          </w:p>
        </w:tc>
        <w:tc>
          <w:tcPr>
            <w:tcW w:type="dxa" w:w="14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bCs/>
                <w:sz w:val="20"/>
                <w:szCs w:val="20"/>
              </w:rPr>
              <w:t xml:space="preserve">Implemented</w:t>
            </w:r>
          </w:p>
        </w:tc>
      </w:tr>
      <w:tr>
        <w:tc>
          <w:tcPr>
            <w:tcW w:type="dxa" w:w="2400"/>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bCs/>
                <w:sz w:val="20"/>
                <w:szCs w:val="20"/>
              </w:rPr>
              <w:t xml:space="preserve">FeatureSet</w:t>
            </w:r>
          </w:p>
        </w:tc>
        <w:tc>
          <w:tcPr>
            <w:tcW w:type="dxa" w:w="3626"/>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Ordered collection of Features, SetType classification, FeatureDirty event, parent wiring on Add/Remove</w:t>
            </w:r>
          </w:p>
        </w:tc>
        <w:tc>
          <w:tcPr>
            <w:tcW w:type="dxa" w:w="1600"/>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Unit (via Scenario)</w:t>
            </w:r>
          </w:p>
        </w:tc>
        <w:tc>
          <w:tcPr>
            <w:tcW w:type="dxa" w:w="1400"/>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bCs/>
                <w:sz w:val="20"/>
                <w:szCs w:val="20"/>
              </w:rPr>
              <w:t xml:space="preserve">Implemented</w:t>
            </w:r>
          </w:p>
        </w:tc>
      </w:tr>
      <w:tr>
        <w:tc>
          <w:tcPr>
            <w:tcW w:type="dxa" w:w="24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bCs/>
                <w:sz w:val="20"/>
                <w:szCs w:val="20"/>
              </w:rPr>
              <w:t xml:space="preserve">VoTableExportService</w:t>
            </w:r>
          </w:p>
        </w:tc>
        <w:tc>
          <w:tcPr>
            <w:tcW w:type="dxa" w:w="3626"/>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Serialises a FeatureSet to VOTable 1.3 XML; reads domain properties and delegates coordinate conversion to ICoordinateTransformer</w:t>
            </w:r>
          </w:p>
        </w:tc>
        <w:tc>
          <w:tcPr>
            <w:tcW w:type="dxa" w:w="16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Scenario (integration)</w:t>
            </w:r>
          </w:p>
        </w:tc>
        <w:tc>
          <w:tcPr>
            <w:tcW w:type="dxa" w:w="14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bCs/>
                <w:sz w:val="20"/>
                <w:szCs w:val="20"/>
              </w:rPr>
              <w:t xml:space="preserve">Implemented</w:t>
            </w:r>
          </w:p>
        </w:tc>
      </w:tr>
      <w:tr>
        <w:tc>
          <w:tcPr>
            <w:tcW w:type="dxa" w:w="2400"/>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bCs/>
                <w:sz w:val="20"/>
                <w:szCs w:val="20"/>
              </w:rPr>
              <w:t xml:space="preserve">FeatureCatalog</w:t>
            </w:r>
          </w:p>
        </w:tc>
        <w:tc>
          <w:tcPr>
            <w:tcW w:type="dxa" w:w="3626"/>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Typed registries (Mask/Imported/User/Selection sets), factory methods, persistence delegation via IFeaturePersistenceService</w:t>
            </w:r>
          </w:p>
        </w:tc>
        <w:tc>
          <w:tcPr>
            <w:tcW w:type="dxa" w:w="1600"/>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Planned unit (mock stub)</w:t>
            </w:r>
          </w:p>
        </w:tc>
        <w:tc>
          <w:tcPr>
            <w:tcW w:type="dxa" w:w="1400"/>
            <w:tcBorders>
              <w:top w:val="none" w:color="FFFFFF" w:sz="0"/>
              <w:left w:val="single" w:color="AACDE0" w:sz="4"/>
              <w:bottom w:val="single" w:color="AACDE0" w:sz="4"/>
              <w:right w:val="single" w:color="AACDE0" w:sz="4"/>
            </w:tcBorders>
            <w:shd w:fill="FFFFFF"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Planned</w:t>
            </w:r>
          </w:p>
        </w:tc>
      </w:tr>
      <w:tr>
        <w:tc>
          <w:tcPr>
            <w:tcW w:type="dxa" w:w="24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bCs/>
                <w:sz w:val="20"/>
                <w:szCs w:val="20"/>
              </w:rPr>
              <w:t xml:space="preserve">FeatureSetService</w:t>
            </w:r>
          </w:p>
        </w:tc>
        <w:tc>
          <w:tcPr>
            <w:tcW w:type="dxa" w:w="3626"/>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Application-layer orchestrator: SelectAtPosition, CreateSelectionFeature, Select/Deselect, AddSelectedFeatureToUserSet, ExportToVoTable</w:t>
            </w:r>
          </w:p>
        </w:tc>
        <w:tc>
          <w:tcPr>
            <w:tcW w:type="dxa" w:w="16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Planned unit (mock catalog/loader)</w:t>
            </w:r>
          </w:p>
        </w:tc>
        <w:tc>
          <w:tcPr>
            <w:tcW w:type="dxa" w:w="1400"/>
            <w:tcBorders>
              <w:top w:val="none" w:color="FFFFFF" w:sz="0"/>
              <w:left w:val="single" w:color="AACDE0" w:sz="4"/>
              <w:bottom w:val="single" w:color="AACDE0" w:sz="4"/>
              <w:right w:val="single" w:color="AACDE0" w:sz="4"/>
            </w:tcBorders>
            <w:shd w:fill="F0F7FC" w:val="clear"/>
            <w:tcMar>
              <w:top w:type="dxa" w:w="80"/>
              <w:left w:type="dxa" w:w="140"/>
              <w:bottom w:type="dxa" w:w="80"/>
              <w:right w:type="dxa" w:w="140"/>
            </w:tcMar>
            <w:vAlign w:val="top"/>
          </w:tcPr>
          <w:p>
            <w:r>
              <w:rPr>
                <w:rFonts w:ascii="Calibri" w:cs="Calibri" w:eastAsia="Calibri" w:hAnsi="Calibri"/>
                <w:b w:val="false"/>
                <w:bCs w:val="false"/>
                <w:sz w:val="20"/>
                <w:szCs w:val="20"/>
              </w:rPr>
              <w:t xml:space="preserve">Planned</w:t>
            </w:r>
          </w:p>
        </w:tc>
      </w:tr>
    </w:tbl>
    <w:p>
      <w:pPr>
        <w:spacing w:after="0" w:before="120"/>
      </w:pPr>
    </w:p>
    <w:p>
      <w:pPr>
        <w:pStyle w:val="Heading1"/>
        <w:spacing w:after="120" w:before="280"/>
      </w:pPr>
      <w:r>
        <w:rPr>
          <w:rFonts w:ascii="Calibri" w:cs="Calibri" w:eastAsia="Calibri" w:hAnsi="Calibri"/>
          <w:b/>
          <w:bCs/>
          <w:color w:val="1F4E79"/>
          <w:sz w:val="28"/>
          <w:szCs w:val="28"/>
        </w:rPr>
        <w:t xml:space="preserve">4.  Test Types and Approach</w:t>
      </w:r>
    </w:p>
    <w:p>
      <w:pPr>
        <w:pStyle w:val="Heading2"/>
        <w:spacing w:after="80" w:before="220"/>
      </w:pPr>
      <w:r>
        <w:rPr>
          <w:rFonts w:ascii="Calibri" w:cs="Calibri" w:eastAsia="Calibri" w:hAnsi="Calibri"/>
          <w:b/>
          <w:bCs/>
          <w:color w:val="2E75B6"/>
          <w:sz w:val="24"/>
          <w:szCs w:val="24"/>
        </w:rPr>
        <w:t xml:space="preserve">4.1  Unit Tests – Feature Geometry</w:t>
      </w:r>
    </w:p>
    <w:p>
      <w:pPr>
        <w:spacing w:after="60" w:before="60"/>
      </w:pPr>
      <w:r>
        <w:rPr>
          <w:rFonts w:ascii="Calibri" w:cs="Calibri" w:eastAsia="Calibri" w:hAnsi="Calibri"/>
          <w:sz w:val="22"/>
          <w:szCs w:val="22"/>
        </w:rPr>
        <w:t xml:space="preserve">Unit tests target individual computed properties of Feature in isolation. All tests are parameterised using NUnit’s [TestCase] attribute, providing five representative input combinations per property. The cases are chosen to exercise typical use, axis-aligned edge values, negative coordinates, and degenerate boxes (min == max).</w:t>
      </w:r>
    </w:p>
    <w:p>
      <w:pPr>
        <w:spacing w:after="60" w:before="60"/>
      </w:pPr>
      <w:r>
        <w:rPr>
          <w:rFonts w:ascii="Calibri" w:cs="Calibri" w:eastAsia="Calibri" w:hAnsi="Calibri"/>
          <w:sz w:val="22"/>
          <w:szCs w:val="22"/>
        </w:rPr>
        <w:t xml:space="preserve">The three property families currently covered are:</w:t>
      </w:r>
    </w:p>
    <w:p>
      <w:pPr>
        <w:pStyle w:val="ListParagraph"/>
        <w:numPr>
          <w:ilvl w:val="0"/>
          <w:numId w:val="2"/>
        </w:numPr>
        <w:spacing w:after="40" w:before="40"/>
      </w:pPr>
      <w:r>
        <w:rPr>
          <w:rFonts w:ascii="Calibri" w:cs="Calibri" w:eastAsia="Calibri" w:hAnsi="Calibri"/>
          <w:sz w:val="22"/>
          <w:szCs w:val="22"/>
        </w:rPr>
        <w:t xml:space="preserve">Center – five cases verify that the midpoint formula (corner0 + corner1) / 2 is exact for both integer and fractional coordinate values.</w:t>
      </w:r>
    </w:p>
    <w:p>
      <w:pPr>
        <w:pStyle w:val="ListParagraph"/>
        <w:numPr>
          <w:ilvl w:val="0"/>
          <w:numId w:val="2"/>
        </w:numPr>
        <w:spacing w:after="40" w:before="40"/>
      </w:pPr>
      <w:r>
        <w:rPr>
          <w:rFonts w:ascii="Calibri" w:cs="Calibri" w:eastAsia="Calibri" w:hAnsi="Calibri"/>
          <w:sz w:val="22"/>
          <w:szCs w:val="22"/>
        </w:rPr>
        <w:t xml:space="preserve">Size – five cases verify the +1 voxel padding: a 0–99 box has size 100, a degenerate 0–0 box has size 1.</w:t>
      </w:r>
    </w:p>
    <w:p>
      <w:pPr>
        <w:pStyle w:val="ListParagraph"/>
        <w:numPr>
          <w:ilvl w:val="0"/>
          <w:numId w:val="2"/>
        </w:numPr>
        <w:spacing w:after="40" w:before="40"/>
      </w:pPr>
      <w:r>
        <w:rPr>
          <w:rFonts w:ascii="Calibri" w:cs="Calibri" w:eastAsia="Calibri" w:hAnsi="Calibri"/>
          <w:sz w:val="22"/>
          <w:szCs w:val="22"/>
        </w:rPr>
        <w:t xml:space="preserve">ContainsPoint – five cases verify inclusive boundary membership: interior points, both min and max corners, and points placed just outside each boundary.</w:t>
      </w:r>
    </w:p>
    <w:p>
      <w:pPr>
        <w:spacing w:after="60" w:before="60"/>
      </w:pPr>
      <w:r>
        <w:rPr>
          <w:rFonts w:ascii="Calibri" w:cs="Calibri" w:eastAsia="Calibri" w:hAnsi="Calibri"/>
          <w:sz w:val="22"/>
          <w:szCs w:val="22"/>
        </w:rPr>
        <w:t xml:space="preserve">Each test constructs a Feature directly via its public constructor, with no test doubles required. The constructor invokes SetBounds internally, so constructor and geometry are exercised together.</w:t>
      </w:r>
    </w:p>
    <w:p>
      <w:pPr>
        <w:pStyle w:val="Heading2"/>
        <w:spacing w:after="80" w:before="220"/>
      </w:pPr>
      <w:r>
        <w:rPr>
          <w:rFonts w:ascii="Calibri" w:cs="Calibri" w:eastAsia="Calibri" w:hAnsi="Calibri"/>
          <w:b/>
          <w:bCs/>
          <w:color w:val="2E75B6"/>
          <w:sz w:val="24"/>
          <w:szCs w:val="24"/>
        </w:rPr>
        <w:t xml:space="preserve">4.2  Scenario Tests – End-to-End Mask, Edit, and Export</w:t>
      </w:r>
    </w:p>
    <w:p>
      <w:pPr>
        <w:spacing w:after="60" w:before="60"/>
      </w:pPr>
      <w:r>
        <w:rPr>
          <w:rFonts w:ascii="Calibri" w:cs="Calibri" w:eastAsia="Calibri" w:hAnsi="Calibri"/>
          <w:sz w:val="22"/>
          <w:szCs w:val="22"/>
        </w:rPr>
        <w:t xml:space="preserve">A single scenario test (Scenario_MaskFeaturesEditedAndExported_VoTableReflectsEdits) exercises the full lifecycle of a mask-derived feature set through four sequential phases, verifying that the domain objects and the serialiser collaborate correctly:</w:t>
      </w:r>
    </w:p>
    <w:p>
      <w:pPr>
        <w:pStyle w:val="ListParagraph"/>
        <w:numPr>
          <w:ilvl w:val="0"/>
          <w:numId w:val="2"/>
        </w:numPr>
        <w:spacing w:after="40" w:before="40"/>
      </w:pPr>
      <w:r>
        <w:rPr>
          <w:rFonts w:ascii="Calibri" w:cs="Calibri" w:eastAsia="Calibri" w:hAnsi="Calibri"/>
          <w:sz w:val="22"/>
          <w:szCs w:val="22"/>
        </w:rPr>
        <w:t xml:space="preserve">Phase 1 – Construct a FeatureSet of type Mask with two RawData column keys (SUM, PEAK).</w:t>
      </w:r>
    </w:p>
    <w:p>
      <w:pPr>
        <w:pStyle w:val="ListParagraph"/>
        <w:numPr>
          <w:ilvl w:val="0"/>
          <w:numId w:val="2"/>
        </w:numPr>
        <w:spacing w:after="40" w:before="40"/>
      </w:pPr>
      <w:r>
        <w:rPr>
          <w:rFonts w:ascii="Calibri" w:cs="Calibri" w:eastAsia="Calibri" w:hAnsi="Calibri"/>
          <w:sz w:val="22"/>
          <w:szCs w:val="22"/>
        </w:rPr>
        <w:t xml:space="preserve">Phase 2 – Add three Feature instances. Assert list count, parent wiring (FeatureSetParent is set by Add()), initial computed Center and Size for a nominated feature, and that ContainsPoint returns true for a probe inside the initial bounds.</w:t>
      </w:r>
    </w:p>
    <w:p>
      <w:pPr>
        <w:pStyle w:val="ListParagraph"/>
        <w:numPr>
          <w:ilvl w:val="0"/>
          <w:numId w:val="2"/>
        </w:numPr>
        <w:spacing w:after="40" w:before="40"/>
      </w:pPr>
      <w:r>
        <w:rPr>
          <w:rFonts w:ascii="Calibri" w:cs="Calibri" w:eastAsia="Calibri" w:hAnsi="Calibri"/>
          <w:sz w:val="22"/>
          <w:szCs w:val="22"/>
        </w:rPr>
        <w:t xml:space="preserve">Phase 3 – Edit the nominated feature: update Flag, call SetBounds with a symmetrically shrunk bounding box, and update RawData. Assert that the probe is now outside the new bounds, that the symmetric shrink preserved Center, that Size decreased correctly, that a FeatureDirty event was raised for that feature’s index, and that the two untouched features retain their original state.</w:t>
      </w:r>
    </w:p>
    <w:p>
      <w:pPr>
        <w:pStyle w:val="ListParagraph"/>
        <w:numPr>
          <w:ilvl w:val="0"/>
          <w:numId w:val="2"/>
        </w:numPr>
        <w:spacing w:after="40" w:before="40"/>
      </w:pPr>
      <w:r>
        <w:rPr>
          <w:rFonts w:ascii="Calibri" w:cs="Calibri" w:eastAsia="Calibri" w:hAnsi="Calibri"/>
          <w:sz w:val="22"/>
          <w:szCs w:val="22"/>
        </w:rPr>
        <w:t xml:space="preserve">Phase 4 – Export the set via VoTableExportService with the IdentityTransformer stub. Assert three TR rows in the output XML, sixteen TD elements per row (fourteen fixed + two RawData), and the correct column values for all three features – with particular attention to the edited center, bounds, flag, and RawData for the modified feature.</w:t>
      </w:r>
    </w:p>
    <w:p>
      <w:pPr>
        <w:spacing w:after="60" w:before="60"/>
      </w:pPr>
      <w:r>
        <w:rPr>
          <w:rFonts w:ascii="Calibri" w:cs="Calibri" w:eastAsia="Calibri" w:hAnsi="Calibri"/>
          <w:sz w:val="22"/>
          <w:szCs w:val="22"/>
        </w:rPr>
        <w:t xml:space="preserve">This scenario is deliberately written as a single linear test rather than multiple isolated tests to reflect a realistic workflow, make assertion context self-evident, and keep setup overhead minimal.</w:t>
      </w:r>
    </w:p>
    <w:p>
      <w:pPr>
        <w:pStyle w:val="Heading2"/>
        <w:spacing w:after="80" w:before="220"/>
      </w:pPr>
      <w:r>
        <w:rPr>
          <w:rFonts w:ascii="Calibri" w:cs="Calibri" w:eastAsia="Calibri" w:hAnsi="Calibri"/>
          <w:b/>
          <w:bCs/>
          <w:color w:val="2E75B6"/>
          <w:sz w:val="24"/>
          <w:szCs w:val="24"/>
        </w:rPr>
        <w:t xml:space="preserve">4.3  Property-Based Tests – Invariant Verification with FsCheck</w:t>
      </w:r>
    </w:p>
    <w:p>
      <w:pPr>
        <w:spacing w:after="60" w:before="60"/>
      </w:pPr>
      <w:r>
        <w:rPr>
          <w:rFonts w:ascii="Calibri" w:cs="Calibri" w:eastAsia="Calibri" w:hAnsi="Calibri"/>
          <w:sz w:val="22"/>
          <w:szCs w:val="22"/>
        </w:rPr>
        <w:t xml:space="preserve">The test project includes FsCheck 3.3 (via FsCheck.NUnit), enabling generative testing. Property-based tests complement the parameterised unit tests by exploring a large space of random inputs automatically. The following invariants are identified as high-value candidates for property tests:</w:t>
      </w:r>
    </w:p>
    <w:p>
      <w:pPr>
        <w:pStyle w:val="ListParagraph"/>
        <w:numPr>
          <w:ilvl w:val="0"/>
          <w:numId w:val="2"/>
        </w:numPr>
        <w:spacing w:after="40" w:before="40"/>
      </w:pPr>
      <w:r>
        <w:rPr>
          <w:rFonts w:ascii="Calibri" w:cs="Calibri" w:eastAsia="Calibri" w:hAnsi="Calibri"/>
          <w:b/>
          <w:bCs/>
          <w:sz w:val="22"/>
          <w:szCs w:val="22"/>
        </w:rPr>
        <w:t xml:space="preserve">Volume consistency.</w:t>
      </w:r>
      <w:r>
        <w:rPr>
          <w:rFonts w:ascii="Calibri" w:cs="Calibri" w:eastAsia="Calibri" w:hAnsi="Calibri"/>
          <w:sz w:val="22"/>
          <w:szCs w:val="22"/>
        </w:rPr>
        <w:t xml:space="preserve">Volume consistency: </w:t>
      </w:r>
    </w:p>
    <w:p>
      <w:pPr>
        <w:pStyle w:val="ListParagraph"/>
        <w:numPr>
          <w:ilvl w:val="0"/>
          <w:numId w:val="3"/>
        </w:numPr>
        <w:spacing w:after="30" w:before="30"/>
      </w:pPr>
      <w:r>
        <w:rPr>
          <w:rFonts w:ascii="Calibri" w:cs="Calibri" w:eastAsia="Calibri" w:hAnsi="Calibri"/>
          <w:sz w:val="20"/>
          <w:szCs w:val="20"/>
        </w:rPr>
        <w:t xml:space="preserve">For any Feature, Volume == Size.X * Size.Y * Size.Z. Because Volume is a derived property, this is a structural consistency check rather than a business rule, making it ideal for FsCheck.</w:t>
      </w:r>
    </w:p>
    <w:p>
      <w:pPr>
        <w:pStyle w:val="ListParagraph"/>
        <w:numPr>
          <w:ilvl w:val="0"/>
          <w:numId w:val="2"/>
        </w:numPr>
        <w:spacing w:after="40" w:before="40"/>
      </w:pPr>
      <w:r>
        <w:rPr>
          <w:rFonts w:ascii="Calibri" w:cs="Calibri" w:eastAsia="Calibri" w:hAnsi="Calibri"/>
          <w:b/>
          <w:bCs/>
          <w:sz w:val="22"/>
          <w:szCs w:val="22"/>
        </w:rPr>
        <w:t xml:space="preserve">Self-containment.</w:t>
      </w:r>
      <w:r>
        <w:rPr>
          <w:rFonts w:ascii="Calibri" w:cs="Calibri" w:eastAsia="Calibri" w:hAnsi="Calibri"/>
          <w:sz w:val="22"/>
          <w:szCs w:val="22"/>
        </w:rPr>
        <w:t xml:space="preserve">Self-containment: </w:t>
      </w:r>
    </w:p>
    <w:p>
      <w:pPr>
        <w:pStyle w:val="ListParagraph"/>
        <w:numPr>
          <w:ilvl w:val="0"/>
          <w:numId w:val="3"/>
        </w:numPr>
        <w:spacing w:after="30" w:before="30"/>
      </w:pPr>
      <w:r>
        <w:rPr>
          <w:rFonts w:ascii="Calibri" w:cs="Calibri" w:eastAsia="Calibri" w:hAnsi="Calibri"/>
          <w:sz w:val="20"/>
          <w:szCs w:val="20"/>
        </w:rPr>
        <w:t xml:space="preserve">For any non-degenerate Feature (minX &lt;= maxX, minY &lt;= maxY, minZ &lt;= maxZ), ContainsPoint(Center) is always true. Any formula error in Center or ContainsPoint will violate this.</w:t>
      </w:r>
    </w:p>
    <w:p>
      <w:pPr>
        <w:pStyle w:val="ListParagraph"/>
        <w:numPr>
          <w:ilvl w:val="0"/>
          <w:numId w:val="2"/>
        </w:numPr>
        <w:spacing w:after="40" w:before="40"/>
      </w:pPr>
      <w:r>
        <w:rPr>
          <w:rFonts w:ascii="Calibri" w:cs="Calibri" w:eastAsia="Calibri" w:hAnsi="Calibri"/>
          <w:b/>
          <w:bCs/>
          <w:sz w:val="22"/>
          <w:szCs w:val="22"/>
        </w:rPr>
        <w:t xml:space="preserve">Dirty propagation.</w:t>
      </w:r>
      <w:r>
        <w:rPr>
          <w:rFonts w:ascii="Calibri" w:cs="Calibri" w:eastAsia="Calibri" w:hAnsi="Calibri"/>
          <w:sz w:val="22"/>
          <w:szCs w:val="22"/>
        </w:rPr>
        <w:t xml:space="preserve">Dirty propagation: </w:t>
      </w:r>
    </w:p>
    <w:p>
      <w:pPr>
        <w:pStyle w:val="ListParagraph"/>
        <w:numPr>
          <w:ilvl w:val="0"/>
          <w:numId w:val="3"/>
        </w:numPr>
        <w:spacing w:after="30" w:before="30"/>
      </w:pPr>
      <w:r>
        <w:rPr>
          <w:rFonts w:ascii="Calibri" w:cs="Calibri" w:eastAsia="Calibri" w:hAnsi="Calibri"/>
          <w:sz w:val="20"/>
          <w:szCs w:val="20"/>
        </w:rPr>
        <w:t xml:space="preserve">For any sequence of mutations (SetBounds, Visible assignment, Selected assignment, CubeColor assignment) after a Feature has been added to a FeatureSet, at least one FeatureDirty event is raised for the feature’s index or for –1.</w:t>
      </w:r>
    </w:p>
    <w:p>
      <w:pPr>
        <w:pStyle w:val="ListParagraph"/>
        <w:numPr>
          <w:ilvl w:val="0"/>
          <w:numId w:val="2"/>
        </w:numPr>
        <w:spacing w:after="40" w:before="40"/>
      </w:pPr>
      <w:r>
        <w:rPr>
          <w:rFonts w:ascii="Calibri" w:cs="Calibri" w:eastAsia="Calibri" w:hAnsi="Calibri"/>
          <w:b/>
          <w:bCs/>
          <w:sz w:val="22"/>
          <w:szCs w:val="22"/>
        </w:rPr>
        <w:t xml:space="preserve">Parent round-trip.</w:t>
      </w:r>
      <w:r>
        <w:rPr>
          <w:rFonts w:ascii="Calibri" w:cs="Calibri" w:eastAsia="Calibri" w:hAnsi="Calibri"/>
          <w:sz w:val="22"/>
          <w:szCs w:val="22"/>
        </w:rPr>
        <w:t xml:space="preserve">Parent round-trip: </w:t>
      </w:r>
    </w:p>
    <w:p>
      <w:pPr>
        <w:pStyle w:val="ListParagraph"/>
        <w:numPr>
          <w:ilvl w:val="0"/>
          <w:numId w:val="3"/>
        </w:numPr>
        <w:spacing w:after="30" w:before="30"/>
      </w:pPr>
      <w:r>
        <w:rPr>
          <w:rFonts w:ascii="Calibri" w:cs="Calibri" w:eastAsia="Calibri" w:hAnsi="Calibri"/>
          <w:sz w:val="20"/>
          <w:szCs w:val="20"/>
        </w:rPr>
        <w:t xml:space="preserve">After Remove(), the removed Feature’s FeatureSetParent is null; after a subsequent Add() to another set, it is re-wired to the new parent.</w:t>
      </w:r>
    </w:p>
    <w:p>
      <w:pPr>
        <w:spacing w:after="60" w:before="60"/>
      </w:pPr>
      <w:r>
        <w:rPr>
          <w:rFonts w:ascii="Calibri" w:cs="Calibri" w:eastAsia="Calibri" w:hAnsi="Calibri"/>
          <w:sz w:val="22"/>
          <w:szCs w:val="22"/>
        </w:rPr>
        <w:t xml:space="preserve">These tests are not yet implemented but the infrastructure is already present. Adding them requires defining an Arb generator for Vec3 and Feature and writing short [Property] methods.</w:t>
      </w:r>
    </w:p>
    <w:p>
      <w:pPr>
        <w:spacing w:after="0" w:before="120"/>
      </w:pPr>
    </w:p>
    <w:p>
      <w:pPr>
        <w:pStyle w:val="Heading1"/>
        <w:spacing w:after="120" w:before="280"/>
      </w:pPr>
      <w:r>
        <w:rPr>
          <w:rFonts w:ascii="Calibri" w:cs="Calibri" w:eastAsia="Calibri" w:hAnsi="Calibri"/>
          <w:b/>
          <w:bCs/>
          <w:color w:val="1F4E79"/>
          <w:sz w:val="28"/>
          <w:szCs w:val="28"/>
        </w:rPr>
        <w:t xml:space="preserve">5.  Test Isolation Strategy</w:t>
      </w:r>
    </w:p>
    <w:p>
      <w:pPr>
        <w:spacing w:after="60" w:before="60"/>
      </w:pPr>
      <w:r>
        <w:rPr>
          <w:rFonts w:ascii="Calibri" w:cs="Calibri" w:eastAsia="Calibri" w:hAnsi="Calibri"/>
          <w:sz w:val="22"/>
          <w:szCs w:val="22"/>
        </w:rPr>
        <w:t xml:space="preserve">A primary constraint of the iDaVIE codebase is that runtime classes depend on Unity engine types (UnityEngine.MonoBehaviour, ComputeBuffer, etc.) which cannot be instantiated outside the Unity runtime. The test isolation strategy ensures that the domain layer is testable without any Unity dependency:</w:t>
      </w:r>
    </w:p>
    <w:p>
      <w:pPr>
        <w:pStyle w:val="ListParagraph"/>
        <w:numPr>
          <w:ilvl w:val="0"/>
          <w:numId w:val="2"/>
        </w:numPr>
        <w:spacing w:after="40" w:before="40"/>
      </w:pPr>
      <w:r>
        <w:rPr>
          <w:rFonts w:ascii="Calibri" w:cs="Calibri" w:eastAsia="Calibri" w:hAnsi="Calibri"/>
          <w:b/>
          <w:bCs/>
          <w:sz w:val="22"/>
          <w:szCs w:val="22"/>
        </w:rPr>
        <w:t xml:space="preserve">Direct source compilation.</w:t>
      </w:r>
      <w:r>
        <w:rPr>
          <w:rFonts w:ascii="Calibri" w:cs="Calibri" w:eastAsia="Calibri" w:hAnsi="Calibri"/>
          <w:sz w:val="22"/>
          <w:szCs w:val="22"/>
        </w:rPr>
        <w:t xml:space="preserve">Direct source compilation: </w:t>
      </w:r>
    </w:p>
    <w:p>
      <w:pPr>
        <w:pStyle w:val="ListParagraph"/>
        <w:numPr>
          <w:ilvl w:val="0"/>
          <w:numId w:val="3"/>
        </w:numPr>
        <w:spacing w:after="30" w:before="30"/>
      </w:pPr>
      <w:r>
        <w:rPr>
          <w:rFonts w:ascii="Calibri" w:cs="Calibri" w:eastAsia="Calibri" w:hAnsi="Calibri"/>
          <w:sz w:val="20"/>
          <w:szCs w:val="20"/>
        </w:rPr>
        <w:t xml:space="preserve">The SubTeam5_Tests.csproj includes the domain .cs files directly via &lt;Compile&gt; items rather than referencing a compiled Unity assembly. This avoids carrying Unity transitive references into the test build.</w:t>
      </w:r>
    </w:p>
    <w:p>
      <w:pPr>
        <w:pStyle w:val="ListParagraph"/>
        <w:numPr>
          <w:ilvl w:val="0"/>
          <w:numId w:val="2"/>
        </w:numPr>
        <w:spacing w:after="40" w:before="40"/>
      </w:pPr>
      <w:r>
        <w:rPr>
          <w:rFonts w:ascii="Calibri" w:cs="Calibri" w:eastAsia="Calibri" w:hAnsi="Calibri"/>
          <w:b/>
          <w:bCs/>
          <w:sz w:val="22"/>
          <w:szCs w:val="22"/>
        </w:rPr>
        <w:t xml:space="preserve">IdentityTransformer.</w:t>
      </w:r>
      <w:r>
        <w:rPr>
          <w:rFonts w:ascii="Calibri" w:cs="Calibri" w:eastAsia="Calibri" w:hAnsi="Calibri"/>
          <w:sz w:val="22"/>
          <w:szCs w:val="22"/>
        </w:rPr>
        <w:t xml:space="preserve">IdentityTransformer: </w:t>
      </w:r>
    </w:p>
    <w:p>
      <w:pPr>
        <w:pStyle w:val="ListParagraph"/>
        <w:numPr>
          <w:ilvl w:val="0"/>
          <w:numId w:val="3"/>
        </w:numPr>
        <w:spacing w:after="30" w:before="30"/>
      </w:pPr>
      <w:r>
        <w:rPr>
          <w:rFonts w:ascii="Calibri" w:cs="Calibri" w:eastAsia="Calibri" w:hAnsi="Calibri"/>
          <w:sz w:val="20"/>
          <w:szCs w:val="20"/>
        </w:rPr>
        <w:t xml:space="preserve">ICoordinateTransformer is the only interface at the domain–native boundary. In tests, it is replaced by an IdentityTransformer that returns its pixel-coordinate inputs unchanged as world coordinates. This removes the AstTool DLL dependency while keeping the exported XML values deterministic and assertable without floating-point uncertainty.</w:t>
      </w:r>
    </w:p>
    <w:p>
      <w:pPr>
        <w:pStyle w:val="ListParagraph"/>
        <w:numPr>
          <w:ilvl w:val="0"/>
          <w:numId w:val="2"/>
        </w:numPr>
        <w:spacing w:after="40" w:before="40"/>
      </w:pPr>
      <w:r>
        <w:rPr>
          <w:rFonts w:ascii="Calibri" w:cs="Calibri" w:eastAsia="Calibri" w:hAnsi="Calibri"/>
          <w:b/>
          <w:bCs/>
          <w:sz w:val="22"/>
          <w:szCs w:val="22"/>
        </w:rPr>
        <w:t xml:space="preserve">Null persistence stub.</w:t>
      </w:r>
      <w:r>
        <w:rPr>
          <w:rFonts w:ascii="Calibri" w:cs="Calibri" w:eastAsia="Calibri" w:hAnsi="Calibri"/>
          <w:sz w:val="22"/>
          <w:szCs w:val="22"/>
        </w:rPr>
        <w:t xml:space="preserve">Null persistence stub: </w:t>
      </w:r>
    </w:p>
    <w:p>
      <w:pPr>
        <w:pStyle w:val="ListParagraph"/>
        <w:numPr>
          <w:ilvl w:val="0"/>
          <w:numId w:val="3"/>
        </w:numPr>
        <w:spacing w:after="30" w:before="30"/>
      </w:pPr>
      <w:r>
        <w:rPr>
          <w:rFonts w:ascii="Calibri" w:cs="Calibri" w:eastAsia="Calibri" w:hAnsi="Calibri"/>
          <w:sz w:val="20"/>
          <w:szCs w:val="20"/>
        </w:rPr>
        <w:t xml:space="preserve">IFeaturePersistenceService (file I/O) is not exercised by the current tests. When FeatureCatalog or FeatureSetService tests are added, a NullFeaturePersistenceService (no-op implementation) will be injected, consistent with the pattern documented in the FeatureCatalog XML summary.</w:t>
      </w:r>
    </w:p>
    <w:p>
      <w:pPr>
        <w:pStyle w:val="ListParagraph"/>
        <w:numPr>
          <w:ilvl w:val="0"/>
          <w:numId w:val="2"/>
        </w:numPr>
        <w:spacing w:after="40" w:before="40"/>
      </w:pPr>
      <w:r>
        <w:rPr>
          <w:rFonts w:ascii="Calibri" w:cs="Calibri" w:eastAsia="Calibri" w:hAnsi="Calibri"/>
          <w:b/>
          <w:bCs/>
          <w:sz w:val="22"/>
          <w:szCs w:val="22"/>
        </w:rPr>
        <w:t xml:space="preserve">No Unity bootstrap.</w:t>
      </w:r>
      <w:r>
        <w:rPr>
          <w:rFonts w:ascii="Calibri" w:cs="Calibri" w:eastAsia="Calibri" w:hAnsi="Calibri"/>
          <w:sz w:val="22"/>
          <w:szCs w:val="22"/>
        </w:rPr>
        <w:t xml:space="preserve">No Unity bootstrap: </w:t>
      </w:r>
    </w:p>
    <w:p>
      <w:pPr>
        <w:pStyle w:val="ListParagraph"/>
        <w:numPr>
          <w:ilvl w:val="0"/>
          <w:numId w:val="3"/>
        </w:numPr>
        <w:spacing w:after="30" w:before="30"/>
      </w:pPr>
      <w:r>
        <w:rPr>
          <w:rFonts w:ascii="Calibri" w:cs="Calibri" w:eastAsia="Calibri" w:hAnsi="Calibri"/>
          <w:sz w:val="20"/>
          <w:szCs w:val="20"/>
        </w:rPr>
        <w:t xml:space="preserve">The test runner is the standard dotnet test host (NUnit + Microsoft.NET.Test.Sdk). No Unity Player loop, no scene loading, and no application lifecycle are required.</w:t>
      </w:r>
    </w:p>
    <w:p>
      <w:pPr>
        <w:spacing w:after="60" w:before="60"/>
      </w:pPr>
      <w:r>
        <w:rPr>
          <w:rFonts w:ascii="Calibri" w:cs="Calibri" w:eastAsia="Calibri" w:hAnsi="Calibri"/>
          <w:sz w:val="22"/>
          <w:szCs w:val="22"/>
        </w:rPr>
        <w:t xml:space="preserve">This approach means the entire domain test suite runs in under one second on a standard development machine and produces reproducible results in any CI environment with a .NET 10 SDK.</w:t>
      </w:r>
    </w:p>
    <w:p>
      <w:pPr>
        <w:spacing w:after="0" w:before="120"/>
      </w:pPr>
    </w:p>
    <w:p>
      <w:pPr>
        <w:pStyle w:val="Heading1"/>
        <w:spacing w:after="120" w:before="280"/>
      </w:pPr>
      <w:r>
        <w:rPr>
          <w:rFonts w:ascii="Calibri" w:cs="Calibri" w:eastAsia="Calibri" w:hAnsi="Calibri"/>
          <w:b/>
          <w:bCs/>
          <w:color w:val="1F4E79"/>
          <w:sz w:val="28"/>
          <w:szCs w:val="28"/>
        </w:rPr>
        <w:t xml:space="preserve">6.  Coverage and Gaps</w:t>
      </w:r>
    </w:p>
    <w:p>
      <w:pPr>
        <w:pStyle w:val="Heading2"/>
        <w:spacing w:after="80" w:before="220"/>
      </w:pPr>
      <w:r>
        <w:rPr>
          <w:rFonts w:ascii="Calibri" w:cs="Calibri" w:eastAsia="Calibri" w:hAnsi="Calibri"/>
          <w:b/>
          <w:bCs/>
          <w:color w:val="2E75B6"/>
          <w:sz w:val="24"/>
          <w:szCs w:val="24"/>
        </w:rPr>
        <w:t xml:space="preserve">6.1  Currently Covered</w:t>
      </w:r>
    </w:p>
    <w:p>
      <w:pPr>
        <w:pStyle w:val="ListParagraph"/>
        <w:numPr>
          <w:ilvl w:val="0"/>
          <w:numId w:val="2"/>
        </w:numPr>
        <w:spacing w:after="40" w:before="40"/>
      </w:pPr>
      <w:r>
        <w:rPr>
          <w:rFonts w:ascii="Calibri" w:cs="Calibri" w:eastAsia="Calibri" w:hAnsi="Calibri"/>
          <w:sz w:val="22"/>
          <w:szCs w:val="22"/>
        </w:rPr>
        <w:t xml:space="preserve">Feature: Center, Size, ContainsPoint, SetBounds, FeatureSetParent wiring, FeatureDirty propagation on SetBounds.</w:t>
      </w:r>
    </w:p>
    <w:p>
      <w:pPr>
        <w:pStyle w:val="ListParagraph"/>
        <w:numPr>
          <w:ilvl w:val="0"/>
          <w:numId w:val="2"/>
        </w:numPr>
        <w:spacing w:after="40" w:before="40"/>
      </w:pPr>
      <w:r>
        <w:rPr>
          <w:rFonts w:ascii="Calibri" w:cs="Calibri" w:eastAsia="Calibri" w:hAnsi="Calibri"/>
          <w:sz w:val="22"/>
          <w:szCs w:val="22"/>
        </w:rPr>
        <w:t xml:space="preserve">FeatureSet: Add (parent wiring, event), FeatureDirty subscription, count, SetType classification.</w:t>
      </w:r>
    </w:p>
    <w:p>
      <w:pPr>
        <w:pStyle w:val="ListParagraph"/>
        <w:numPr>
          <w:ilvl w:val="0"/>
          <w:numId w:val="2"/>
        </w:numPr>
        <w:spacing w:after="40" w:before="40"/>
      </w:pPr>
      <w:r>
        <w:rPr>
          <w:rFonts w:ascii="Calibri" w:cs="Calibri" w:eastAsia="Calibri" w:hAnsi="Calibri"/>
          <w:sz w:val="22"/>
          <w:szCs w:val="22"/>
        </w:rPr>
        <w:t xml:space="preserve">VoTableExportService: column count, row count, all fourteen fixed columns, variable RawData columns, Flag field.</w:t>
      </w:r>
    </w:p>
    <w:p>
      <w:pPr>
        <w:pStyle w:val="Heading2"/>
        <w:spacing w:after="80" w:before="220"/>
      </w:pPr>
      <w:r>
        <w:rPr>
          <w:rFonts w:ascii="Calibri" w:cs="Calibri" w:eastAsia="Calibri" w:hAnsi="Calibri"/>
          <w:b/>
          <w:bCs/>
          <w:color w:val="2E75B6"/>
          <w:sz w:val="24"/>
          <w:szCs w:val="24"/>
        </w:rPr>
        <w:t xml:space="preserve">6.2  Deliberately Excluded</w:t>
      </w:r>
    </w:p>
    <w:p>
      <w:pPr>
        <w:pStyle w:val="ListParagraph"/>
        <w:numPr>
          <w:ilvl w:val="0"/>
          <w:numId w:val="2"/>
        </w:numPr>
        <w:spacing w:after="40" w:before="40"/>
      </w:pPr>
      <w:r>
        <w:rPr>
          <w:rFonts w:ascii="Calibri" w:cs="Calibri" w:eastAsia="Calibri" w:hAnsi="Calibri"/>
          <w:sz w:val="22"/>
          <w:szCs w:val="22"/>
        </w:rPr>
        <w:t xml:space="preserve">FeatureSetRenderer and FeatureVisualiser: GPU buffer management and render-object lifecycle are inseparable from the Unity runtime. They fall under play-mode testing owned by the visualisation work package.</w:t>
      </w:r>
    </w:p>
    <w:p>
      <w:pPr>
        <w:pStyle w:val="ListParagraph"/>
        <w:numPr>
          <w:ilvl w:val="0"/>
          <w:numId w:val="2"/>
        </w:numPr>
        <w:spacing w:after="40" w:before="40"/>
      </w:pPr>
      <w:r>
        <w:rPr>
          <w:rFonts w:ascii="Calibri" w:cs="Calibri" w:eastAsia="Calibri" w:hAnsi="Calibri"/>
          <w:sz w:val="22"/>
          <w:szCs w:val="22"/>
        </w:rPr>
        <w:t xml:space="preserve">FeatureMenuController and FeatureMenuCell: Unity UI components with no independently testable logic.</w:t>
      </w:r>
    </w:p>
    <w:p>
      <w:pPr>
        <w:pStyle w:val="ListParagraph"/>
        <w:numPr>
          <w:ilvl w:val="0"/>
          <w:numId w:val="2"/>
        </w:numPr>
        <w:spacing w:after="40" w:before="40"/>
      </w:pPr>
      <w:r>
        <w:rPr>
          <w:rFonts w:ascii="Calibri" w:cs="Calibri" w:eastAsia="Calibri" w:hAnsi="Calibri"/>
          <w:sz w:val="22"/>
          <w:szCs w:val="22"/>
        </w:rPr>
        <w:t xml:space="preserve">AstTool coordinate transforms: replaced wholesale by IdentityTransformer; correctness of sky-coordinate conversions is the responsibility of the AstTool library maintainers.</w:t>
      </w:r>
    </w:p>
    <w:p>
      <w:pPr>
        <w:pStyle w:val="ListParagraph"/>
        <w:numPr>
          <w:ilvl w:val="0"/>
          <w:numId w:val="2"/>
        </w:numPr>
        <w:spacing w:after="40" w:before="40"/>
      </w:pPr>
      <w:r>
        <w:rPr>
          <w:rFonts w:ascii="Calibri" w:cs="Calibri" w:eastAsia="Calibri" w:hAnsi="Calibri"/>
          <w:sz w:val="22"/>
          <w:szCs w:val="22"/>
        </w:rPr>
        <w:t xml:space="preserve">Feature.IsOutsideVolume(): documented as a stub returning false; no test value until volume bounds are propagated into the domain layer.</w:t>
      </w:r>
    </w:p>
    <w:p>
      <w:pPr>
        <w:pStyle w:val="ListParagraph"/>
        <w:numPr>
          <w:ilvl w:val="0"/>
          <w:numId w:val="2"/>
        </w:numPr>
        <w:spacing w:after="40" w:before="40"/>
      </w:pPr>
      <w:r>
        <w:rPr>
          <w:rFonts w:ascii="Calibri" w:cs="Calibri" w:eastAsia="Calibri" w:hAnsi="Calibri"/>
          <w:sz w:val="22"/>
          <w:szCs w:val="22"/>
        </w:rPr>
        <w:t xml:space="preserve">Feature.ShowAxes(): documented as a TODO stub with no implementation.</w:t>
      </w:r>
    </w:p>
    <w:p>
      <w:pPr>
        <w:pStyle w:val="Heading2"/>
        <w:spacing w:after="80" w:before="220"/>
      </w:pPr>
      <w:r>
        <w:rPr>
          <w:rFonts w:ascii="Calibri" w:cs="Calibri" w:eastAsia="Calibri" w:hAnsi="Calibri"/>
          <w:b/>
          <w:bCs/>
          <w:color w:val="2E75B6"/>
          <w:sz w:val="24"/>
          <w:szCs w:val="24"/>
        </w:rPr>
        <w:t xml:space="preserve">6.3  Identified Gaps</w:t>
      </w:r>
    </w:p>
    <w:p>
      <w:pPr>
        <w:pStyle w:val="ListParagraph"/>
        <w:numPr>
          <w:ilvl w:val="0"/>
          <w:numId w:val="2"/>
        </w:numPr>
        <w:spacing w:after="40" w:before="40"/>
      </w:pPr>
      <w:r>
        <w:rPr>
          <w:rFonts w:ascii="Calibri" w:cs="Calibri" w:eastAsia="Calibri" w:hAnsi="Calibri"/>
          <w:sz w:val="22"/>
          <w:szCs w:val="22"/>
        </w:rPr>
        <w:t xml:space="preserve">FeatureSetService orchestration: the use-cases SelectAtPosition (smallest-volume selection), CreateSelectionFeature, Deselect, and AddSelectedFeatureToUserSet contain non-trivial logic but are not yet tested. These can be covered with unit tests that inject a stub FeatureCatalog, a stub IFeatureTableLoader, and a stub IFeatureStatisticsProvider – no Unity is needed.</w:t>
      </w:r>
    </w:p>
    <w:p>
      <w:pPr>
        <w:pStyle w:val="ListParagraph"/>
        <w:numPr>
          <w:ilvl w:val="0"/>
          <w:numId w:val="2"/>
        </w:numPr>
        <w:spacing w:after="40" w:before="40"/>
      </w:pPr>
      <w:r>
        <w:rPr>
          <w:rFonts w:ascii="Calibri" w:cs="Calibri" w:eastAsia="Calibri" w:hAnsi="Calibri"/>
          <w:sz w:val="22"/>
          <w:szCs w:val="22"/>
        </w:rPr>
        <w:t xml:space="preserve">FeatureCatalog registry: factory methods, AllSets() iteration order, and SetRegistered/SetRemoved events have no dedicated unit tests.</w:t>
      </w:r>
    </w:p>
    <w:p>
      <w:pPr>
        <w:pStyle w:val="ListParagraph"/>
        <w:numPr>
          <w:ilvl w:val="0"/>
          <w:numId w:val="2"/>
        </w:numPr>
        <w:spacing w:after="40" w:before="40"/>
      </w:pPr>
      <w:r>
        <w:rPr>
          <w:rFonts w:ascii="Calibri" w:cs="Calibri" w:eastAsia="Calibri" w:hAnsi="Calibri"/>
          <w:sz w:val="22"/>
          <w:szCs w:val="22"/>
        </w:rPr>
        <w:t xml:space="preserve">FeatureSet visibility helpers: ShowAll(), HideAll(), and ToggleVisibility() are untested, though they are exercised implicitly by the scenario.</w:t>
      </w:r>
    </w:p>
    <w:p>
      <w:pPr>
        <w:pStyle w:val="ListParagraph"/>
        <w:numPr>
          <w:ilvl w:val="0"/>
          <w:numId w:val="2"/>
        </w:numPr>
        <w:spacing w:after="40" w:before="40"/>
      </w:pPr>
      <w:r>
        <w:rPr>
          <w:rFonts w:ascii="Calibri" w:cs="Calibri" w:eastAsia="Calibri" w:hAnsi="Calibri"/>
          <w:sz w:val="22"/>
          <w:szCs w:val="22"/>
        </w:rPr>
        <w:t xml:space="preserve">Property-based tests: the FsCheck dependency is present but no [Property] tests have been written yet (see Section 4.3).</w:t>
      </w:r>
    </w:p>
    <w:p>
      <w:pPr>
        <w:spacing w:after="0" w:before="120"/>
      </w:pPr>
    </w:p>
    <w:p>
      <w:pPr>
        <w:pStyle w:val="Heading1"/>
        <w:spacing w:after="120" w:before="280"/>
      </w:pPr>
      <w:r>
        <w:rPr>
          <w:rFonts w:ascii="Calibri" w:cs="Calibri" w:eastAsia="Calibri" w:hAnsi="Calibri"/>
          <w:b/>
          <w:bCs/>
          <w:color w:val="1F4E79"/>
          <w:sz w:val="28"/>
          <w:szCs w:val="28"/>
        </w:rPr>
        <w:t xml:space="preserve">7.  Running the Tests</w:t>
      </w:r>
    </w:p>
    <w:p>
      <w:pPr>
        <w:spacing w:after="60" w:before="60"/>
      </w:pPr>
      <w:r>
        <w:rPr>
          <w:rFonts w:ascii="Calibri" w:cs="Calibri" w:eastAsia="Calibri" w:hAnsi="Calibri"/>
          <w:sz w:val="22"/>
          <w:szCs w:val="22"/>
        </w:rPr>
        <w:t xml:space="preserve">The test suite targets .NET 10 and requires no Unity installation.</w:t>
      </w:r>
    </w:p>
    <w:p>
      <w:pPr>
        <w:pStyle w:val="Heading2"/>
        <w:spacing w:after="80" w:before="220"/>
      </w:pPr>
      <w:r>
        <w:rPr>
          <w:rFonts w:ascii="Calibri" w:cs="Calibri" w:eastAsia="Calibri" w:hAnsi="Calibri"/>
          <w:b/>
          <w:bCs/>
          <w:color w:val="2E75B6"/>
          <w:sz w:val="24"/>
          <w:szCs w:val="24"/>
        </w:rPr>
        <w:t xml:space="preserve">Run all tests</w:t>
      </w:r>
    </w:p>
    <w:p>
      <w:pPr>
        <w:pBdr>
          <w:top w:val="single" w:color="CCCCCC" w:sz="4"/>
          <w:bottom w:val="single" w:color="CCCCCC" w:sz="4"/>
          <w:left w:val="single" w:color="2E75B6" w:sz="12"/>
          <w:right w:val="none"/>
        </w:pBdr>
        <w:shd w:fill="F4F4F4" w:val="clear"/>
        <w:spacing w:after="60" w:before="60"/>
        <w:ind w:left="280"/>
      </w:pPr>
      <w:r>
        <w:rPr>
          <w:rFonts w:ascii="Courier New" w:cs="Courier New" w:eastAsia="Courier New" w:hAnsi="Courier New"/>
          <w:color w:val="333333"/>
          <w:sz w:val="20"/>
          <w:szCs w:val="20"/>
        </w:rPr>
        <w:t xml:space="preserve">dotnet test tests/SubTeam5_Tests/</w:t>
      </w:r>
    </w:p>
    <w:p>
      <w:pPr>
        <w:pStyle w:val="Heading2"/>
        <w:spacing w:after="80" w:before="220"/>
      </w:pPr>
      <w:r>
        <w:rPr>
          <w:rFonts w:ascii="Calibri" w:cs="Calibri" w:eastAsia="Calibri" w:hAnsi="Calibri"/>
          <w:b/>
          <w:bCs/>
          <w:color w:val="2E75B6"/>
          <w:sz w:val="24"/>
          <w:szCs w:val="24"/>
        </w:rPr>
        <w:t xml:space="preserve">Run with code coverage (Coverlet)</w:t>
      </w:r>
    </w:p>
    <w:p>
      <w:pPr>
        <w:pBdr>
          <w:top w:val="single" w:color="CCCCCC" w:sz="4"/>
          <w:bottom w:val="single" w:color="CCCCCC" w:sz="4"/>
          <w:left w:val="single" w:color="2E75B6" w:sz="12"/>
          <w:right w:val="none"/>
        </w:pBdr>
        <w:shd w:fill="F4F4F4" w:val="clear"/>
        <w:spacing w:after="60" w:before="60"/>
        <w:ind w:left="280"/>
      </w:pPr>
      <w:r>
        <w:rPr>
          <w:rFonts w:ascii="Courier New" w:cs="Courier New" w:eastAsia="Courier New" w:hAnsi="Courier New"/>
          <w:color w:val="333333"/>
          <w:sz w:val="20"/>
          <w:szCs w:val="20"/>
        </w:rPr>
        <w:t xml:space="preserve">dotnet test tests/SubTeam5_Tests/ --collect:"XPlat Code Coverage"</w:t>
      </w:r>
    </w:p>
    <w:p>
      <w:pPr>
        <w:spacing w:after="60" w:before="60"/>
      </w:pPr>
      <w:r>
        <w:rPr>
          <w:rFonts w:ascii="Calibri" w:cs="Calibri" w:eastAsia="Calibri" w:hAnsi="Calibri"/>
          <w:sz w:val="22"/>
          <w:szCs w:val="22"/>
        </w:rPr>
        <w:t xml:space="preserve">Coverage results are written to a TestResults/ directory in Cobertura XML format. A human-readable HTML report can be generated with the ReportGenerator tool:</w:t>
      </w:r>
    </w:p>
    <w:p>
      <w:pPr>
        <w:pBdr>
          <w:top w:val="single" w:color="CCCCCC" w:sz="4"/>
          <w:bottom w:val="single" w:color="CCCCCC" w:sz="4"/>
          <w:left w:val="single" w:color="2E75B6" w:sz="12"/>
          <w:right w:val="none"/>
        </w:pBdr>
        <w:shd w:fill="F4F4F4" w:val="clear"/>
        <w:spacing w:after="120" w:before="60"/>
        <w:ind w:left="280"/>
      </w:pPr>
      <w:r>
        <w:rPr>
          <w:rFonts w:ascii="Courier New" w:cs="Courier New" w:eastAsia="Courier New" w:hAnsi="Courier New"/>
          <w:color w:val="333333"/>
          <w:sz w:val="20"/>
          <w:szCs w:val="20"/>
        </w:rPr>
        <w:t xml:space="preserve">reportgenerator -reports:TestResults/**/coverage.cobertura.xml -targetdir:coverage-report</w:t>
      </w:r>
    </w:p>
    <w:p>
      <w:pPr>
        <w:spacing w:after="60" w:before="60"/>
      </w:pPr>
      <w:r>
        <w:rPr>
          <w:rFonts w:ascii="Calibri" w:cs="Calibri" w:eastAsia="Calibri" w:hAnsi="Calibri"/>
          <w:sz w:val="22"/>
          <w:szCs w:val="22"/>
        </w:rPr>
        <w:t xml:space="preserve">The Coverlet collector is already referenced in SubTeam5_Tests.csproj; no additional installation is required beyond the .NET SDK.</w:t>
      </w:r>
    </w:p>
    <w:p>
      <w:pPr>
        <w:spacing w:after="0" w:before="80"/>
      </w:pPr>
    </w:p>
    <w:p>
      <w:pPr>
        <w:pBdr>
          <w:bottom w:val="single" w:color="2E75B6" w:sz="6" w:space="4"/>
        </w:pBdr>
        <w:spacing w:after="0" w:before="0"/>
      </w:pPr>
    </w:p>
    <w:p>
      <w:pPr>
        <w:spacing w:after="0" w:before="60"/>
      </w:pPr>
    </w:p>
    <w:p>
      <w:pPr>
        <w:spacing w:after="40" w:before="40"/>
        <w:jc w:val="right"/>
      </w:pPr>
      <w:r>
        <w:rPr>
          <w:rFonts w:ascii="Calibri" w:cs="Calibri" w:eastAsia="Calibri" w:hAnsi="Calibri"/>
          <w:i/>
          <w:iCs/>
          <w:color w:val="999999"/>
          <w:sz w:val="16"/>
          <w:szCs w:val="16"/>
        </w:rPr>
        <w:t xml:space="preserve">iDaVIE – Sub-team 5  |  Feature Domain  |  Test Strategy v1.0</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60"/>
    </w:pPr>
    <w:r>
      <w:rPr>
        <w:rFonts w:ascii="Calibri" w:cs="Calibri" w:eastAsia="Calibri" w:hAnsi="Calibri"/>
        <w:color w:val="888888"/>
        <w:sz w:val="16"/>
        <w:szCs w:val="16"/>
      </w:rPr>
      <w:t xml:space="preserve">Confidential – Internal use only</w:t>
    </w:r>
    <w:r>
      <w:rPr>
        <w:rFonts w:ascii="Calibri" w:cs="Calibri" w:eastAsia="Calibri" w:hAnsi="Calibri"/>
        <w:color w:val="888888"/>
        <w:sz w:val="16"/>
        <w:szCs w:val="16"/>
      </w:rPr>
      <w:t xml:space="preserve">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60" w:before="0"/>
    </w:pPr>
    <w:r>
      <w:rPr>
        <w:rFonts w:ascii="Calibri" w:cs="Calibri" w:eastAsia="Calibri" w:hAnsi="Calibri"/>
        <w:color w:val="555555"/>
        <w:sz w:val="18"/>
        <w:szCs w:val="18"/>
      </w:rPr>
      <w:t xml:space="preserve">Test Strategy – Feature Domain</w:t>
    </w:r>
    <w:r>
      <w:rPr>
        <w:rFonts w:ascii="Calibri" w:cs="Calibri" w:eastAsia="Calibri" w:hAnsi="Calibri"/>
        <w:color w:val="555555"/>
        <w:sz w:val="18"/>
        <w:szCs w:val="18"/>
      </w:rPr>
      <w:t xml:space="preserve">	iDaVIE Sub-team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2026-05-28T11:50:26.562Z</dcterms:created>
  <dcterms:modified xsi:type="dcterms:W3CDTF">2026-05-28T11:50:26.566Z</dcterms:modified>
</cp:coreProperties>
</file>

<file path=docProps/custom.xml><?xml version="1.0" encoding="utf-8"?>
<Properties xmlns="http://schemas.openxmlformats.org/officeDocument/2006/custom-properties" xmlns:vt="http://schemas.openxmlformats.org/officeDocument/2006/docPropsVTypes"/>
</file>