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FF3" w:rsidRDefault="00315B41" w:rsidP="002C2FF3">
      <w:pPr>
        <w:pStyle w:val="Heading1"/>
        <w:spacing w:before="28"/>
        <w:ind w:left="3780" w:right="40"/>
        <w:jc w:val="center"/>
      </w:pPr>
      <w:r>
        <w:rPr>
          <w:noProof/>
        </w:rPr>
        <w:drawing>
          <wp:anchor distT="0" distB="0" distL="0" distR="0" simplePos="0" relativeHeight="251658240" behindDoc="0" locked="0" layoutInCell="1" allowOverlap="1">
            <wp:simplePos x="0" y="0"/>
            <wp:positionH relativeFrom="page">
              <wp:posOffset>982979</wp:posOffset>
            </wp:positionH>
            <wp:positionV relativeFrom="paragraph">
              <wp:posOffset>68653</wp:posOffset>
            </wp:positionV>
            <wp:extent cx="2041144" cy="9556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041144" cy="955675"/>
                    </a:xfrm>
                    <a:prstGeom prst="rect">
                      <a:avLst/>
                    </a:prstGeom>
                  </pic:spPr>
                </pic:pic>
              </a:graphicData>
            </a:graphic>
          </wp:anchor>
        </w:drawing>
      </w:r>
      <w:r>
        <w:t xml:space="preserve">GRADUATE SCHOOL OF </w:t>
      </w:r>
    </w:p>
    <w:p w:rsidR="000F5B30" w:rsidRDefault="00315B41" w:rsidP="002C2FF3">
      <w:pPr>
        <w:pStyle w:val="Heading1"/>
        <w:spacing w:before="28"/>
        <w:ind w:left="3780" w:right="40"/>
        <w:jc w:val="center"/>
      </w:pPr>
      <w:r>
        <w:t>ENGINEERING AND MAN</w:t>
      </w:r>
      <w:r w:rsidR="002C2FF3">
        <w:t>A</w:t>
      </w:r>
      <w:r>
        <w:t>GEMENT</w:t>
      </w:r>
    </w:p>
    <w:p w:rsidR="000F5B30" w:rsidRDefault="00315B41" w:rsidP="002C2FF3">
      <w:pPr>
        <w:spacing w:line="288" w:lineRule="exact"/>
        <w:ind w:left="3780" w:right="40"/>
        <w:jc w:val="center"/>
        <w:rPr>
          <w:b/>
          <w:sz w:val="24"/>
        </w:rPr>
      </w:pPr>
      <w:r>
        <w:rPr>
          <w:b/>
          <w:sz w:val="24"/>
        </w:rPr>
        <w:t>Department of Electrical and Computer Engineering</w:t>
      </w:r>
    </w:p>
    <w:p w:rsidR="000F5B30" w:rsidRDefault="000F5B30" w:rsidP="002C2FF3">
      <w:pPr>
        <w:pStyle w:val="BodyText"/>
        <w:spacing w:before="6"/>
        <w:ind w:left="3780" w:right="40"/>
        <w:rPr>
          <w:b/>
        </w:rPr>
      </w:pPr>
    </w:p>
    <w:p w:rsidR="002C2FF3" w:rsidRDefault="00315B41" w:rsidP="002C2FF3">
      <w:pPr>
        <w:ind w:left="3780" w:right="40"/>
        <w:jc w:val="center"/>
        <w:rPr>
          <w:b/>
          <w:sz w:val="24"/>
        </w:rPr>
      </w:pPr>
      <w:r>
        <w:rPr>
          <w:b/>
          <w:sz w:val="24"/>
        </w:rPr>
        <w:t>CSCE 692</w:t>
      </w:r>
    </w:p>
    <w:p w:rsidR="000F5B30" w:rsidRDefault="002C2FF3" w:rsidP="002C2FF3">
      <w:pPr>
        <w:ind w:left="3780" w:right="40"/>
        <w:jc w:val="center"/>
        <w:rPr>
          <w:b/>
          <w:sz w:val="24"/>
        </w:rPr>
      </w:pPr>
      <w:r w:rsidRPr="002C2FF3">
        <w:rPr>
          <w:b/>
          <w:sz w:val="24"/>
        </w:rPr>
        <w:t xml:space="preserve">Design Principles of </w:t>
      </w:r>
      <w:r w:rsidR="00315B41">
        <w:rPr>
          <w:b/>
          <w:sz w:val="24"/>
        </w:rPr>
        <w:t>Computer Architecture</w:t>
      </w:r>
    </w:p>
    <w:p w:rsidR="000F5B30" w:rsidRDefault="00E22647" w:rsidP="002C2FF3">
      <w:pPr>
        <w:ind w:left="3780" w:right="40"/>
        <w:jc w:val="center"/>
        <w:rPr>
          <w:b/>
          <w:sz w:val="24"/>
        </w:rPr>
      </w:pPr>
      <w:r>
        <w:rPr>
          <w:b/>
          <w:sz w:val="24"/>
        </w:rPr>
        <w:t>Winter 201</w:t>
      </w:r>
      <w:r w:rsidR="0013728A">
        <w:rPr>
          <w:b/>
          <w:sz w:val="24"/>
        </w:rPr>
        <w:t>9</w:t>
      </w:r>
      <w:r>
        <w:rPr>
          <w:b/>
          <w:sz w:val="24"/>
        </w:rPr>
        <w:t xml:space="preserve"> - </w:t>
      </w:r>
      <w:r w:rsidR="00315B41">
        <w:rPr>
          <w:b/>
          <w:sz w:val="24"/>
        </w:rPr>
        <w:t>Course Syllabus</w:t>
      </w:r>
    </w:p>
    <w:p w:rsidR="000F5B30" w:rsidRDefault="000F5B30">
      <w:pPr>
        <w:pStyle w:val="BodyText"/>
        <w:spacing w:before="9"/>
        <w:rPr>
          <w:b/>
          <w:sz w:val="17"/>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9"/>
        <w:gridCol w:w="7173"/>
      </w:tblGrid>
      <w:tr w:rsidR="000F5B30">
        <w:trPr>
          <w:trHeight w:hRule="exact" w:val="305"/>
        </w:trPr>
        <w:tc>
          <w:tcPr>
            <w:tcW w:w="2179" w:type="dxa"/>
          </w:tcPr>
          <w:p w:rsidR="000F5B30" w:rsidRDefault="00315B41">
            <w:pPr>
              <w:pStyle w:val="TableParagraph"/>
              <w:spacing w:line="268" w:lineRule="exact"/>
              <w:rPr>
                <w:b/>
              </w:rPr>
            </w:pPr>
            <w:r>
              <w:rPr>
                <w:b/>
              </w:rPr>
              <w:t>Meeting Times</w:t>
            </w:r>
          </w:p>
        </w:tc>
        <w:tc>
          <w:tcPr>
            <w:tcW w:w="7173" w:type="dxa"/>
          </w:tcPr>
          <w:p w:rsidR="000F5B30" w:rsidRDefault="002C2FF3" w:rsidP="0013728A">
            <w:pPr>
              <w:ind w:left="156"/>
            </w:pPr>
            <w:r>
              <w:t xml:space="preserve">0800-0950, Tuesday and </w:t>
            </w:r>
            <w:r w:rsidR="0013728A">
              <w:t>Thursday</w:t>
            </w:r>
          </w:p>
        </w:tc>
      </w:tr>
      <w:tr w:rsidR="000F5B30">
        <w:trPr>
          <w:trHeight w:hRule="exact" w:val="302"/>
        </w:trPr>
        <w:tc>
          <w:tcPr>
            <w:tcW w:w="2179" w:type="dxa"/>
          </w:tcPr>
          <w:p w:rsidR="000F5B30" w:rsidRDefault="00315B41">
            <w:pPr>
              <w:pStyle w:val="TableParagraph"/>
              <w:rPr>
                <w:b/>
              </w:rPr>
            </w:pPr>
            <w:r>
              <w:rPr>
                <w:b/>
              </w:rPr>
              <w:t>Location</w:t>
            </w:r>
          </w:p>
        </w:tc>
        <w:tc>
          <w:tcPr>
            <w:tcW w:w="7173" w:type="dxa"/>
          </w:tcPr>
          <w:p w:rsidR="000F5B30" w:rsidRDefault="002C2FF3" w:rsidP="0013728A">
            <w:pPr>
              <w:ind w:left="156"/>
            </w:pPr>
            <w:r>
              <w:t>Building 64</w:t>
            </w:r>
            <w:r w:rsidR="0013728A">
              <w:t>0</w:t>
            </w:r>
            <w:r>
              <w:t xml:space="preserve">, Room </w:t>
            </w:r>
            <w:r w:rsidR="0013728A">
              <w:t>338</w:t>
            </w:r>
          </w:p>
        </w:tc>
      </w:tr>
      <w:tr w:rsidR="000F5B30">
        <w:trPr>
          <w:trHeight w:hRule="exact" w:val="302"/>
        </w:trPr>
        <w:tc>
          <w:tcPr>
            <w:tcW w:w="2179" w:type="dxa"/>
          </w:tcPr>
          <w:p w:rsidR="000F5B30" w:rsidRDefault="00315B41">
            <w:pPr>
              <w:pStyle w:val="TableParagraph"/>
              <w:rPr>
                <w:b/>
              </w:rPr>
            </w:pPr>
            <w:r>
              <w:rPr>
                <w:b/>
              </w:rPr>
              <w:t>Instructor</w:t>
            </w:r>
          </w:p>
        </w:tc>
        <w:tc>
          <w:tcPr>
            <w:tcW w:w="7173" w:type="dxa"/>
          </w:tcPr>
          <w:p w:rsidR="000F5B30" w:rsidRDefault="002C2FF3" w:rsidP="002C2FF3">
            <w:pPr>
              <w:ind w:left="156"/>
            </w:pPr>
            <w:r>
              <w:t>Dr. Scott Graham</w:t>
            </w:r>
          </w:p>
        </w:tc>
      </w:tr>
      <w:tr w:rsidR="000F5B30">
        <w:trPr>
          <w:trHeight w:hRule="exact" w:val="302"/>
        </w:trPr>
        <w:tc>
          <w:tcPr>
            <w:tcW w:w="2179" w:type="dxa"/>
          </w:tcPr>
          <w:p w:rsidR="000F5B30" w:rsidRDefault="00315B41">
            <w:pPr>
              <w:pStyle w:val="TableParagraph"/>
              <w:rPr>
                <w:b/>
              </w:rPr>
            </w:pPr>
            <w:r>
              <w:rPr>
                <w:b/>
              </w:rPr>
              <w:t>Office Location</w:t>
            </w:r>
          </w:p>
        </w:tc>
        <w:tc>
          <w:tcPr>
            <w:tcW w:w="7173" w:type="dxa"/>
          </w:tcPr>
          <w:p w:rsidR="000F5B30" w:rsidRDefault="002C2FF3" w:rsidP="002C2FF3">
            <w:pPr>
              <w:ind w:left="156"/>
            </w:pPr>
            <w:r>
              <w:t>Bldg 640, Room 327</w:t>
            </w:r>
          </w:p>
        </w:tc>
      </w:tr>
      <w:tr w:rsidR="000F5B30">
        <w:trPr>
          <w:trHeight w:hRule="exact" w:val="305"/>
        </w:trPr>
        <w:tc>
          <w:tcPr>
            <w:tcW w:w="2179" w:type="dxa"/>
          </w:tcPr>
          <w:p w:rsidR="000F5B30" w:rsidRDefault="00315B41">
            <w:pPr>
              <w:pStyle w:val="TableParagraph"/>
              <w:spacing w:line="268" w:lineRule="exact"/>
              <w:rPr>
                <w:b/>
              </w:rPr>
            </w:pPr>
            <w:r>
              <w:rPr>
                <w:b/>
              </w:rPr>
              <w:t>Office hours</w:t>
            </w:r>
          </w:p>
        </w:tc>
        <w:tc>
          <w:tcPr>
            <w:tcW w:w="7173" w:type="dxa"/>
          </w:tcPr>
          <w:p w:rsidR="000F5B30" w:rsidRDefault="006540EC" w:rsidP="0013728A">
            <w:pPr>
              <w:ind w:left="156"/>
            </w:pPr>
            <w:r>
              <w:t>10</w:t>
            </w:r>
            <w:r w:rsidR="0013728A">
              <w:t>00</w:t>
            </w:r>
            <w:r>
              <w:t xml:space="preserve"> – 11</w:t>
            </w:r>
            <w:r w:rsidR="0013728A">
              <w:t>00</w:t>
            </w:r>
            <w:r>
              <w:t xml:space="preserve"> </w:t>
            </w:r>
            <w:r w:rsidR="0013728A">
              <w:t>Tuesdays, 1300-1400 Thursdays</w:t>
            </w:r>
            <w:r>
              <w:t>.  Also available by a</w:t>
            </w:r>
            <w:r w:rsidR="0013728A">
              <w:t>p</w:t>
            </w:r>
            <w:r>
              <w:t>pt.</w:t>
            </w:r>
          </w:p>
        </w:tc>
      </w:tr>
      <w:tr w:rsidR="000F5B30">
        <w:trPr>
          <w:trHeight w:hRule="exact" w:val="302"/>
        </w:trPr>
        <w:tc>
          <w:tcPr>
            <w:tcW w:w="2179" w:type="dxa"/>
          </w:tcPr>
          <w:p w:rsidR="000F5B30" w:rsidRDefault="00315B41">
            <w:pPr>
              <w:pStyle w:val="TableParagraph"/>
              <w:rPr>
                <w:b/>
              </w:rPr>
            </w:pPr>
            <w:r>
              <w:rPr>
                <w:b/>
              </w:rPr>
              <w:t>Contact Information</w:t>
            </w:r>
          </w:p>
        </w:tc>
        <w:tc>
          <w:tcPr>
            <w:tcW w:w="7173" w:type="dxa"/>
          </w:tcPr>
          <w:p w:rsidR="000F5B30" w:rsidRDefault="00E22647" w:rsidP="002C2FF3">
            <w:pPr>
              <w:ind w:left="156"/>
            </w:pPr>
            <w:r>
              <w:t>scott.graham@afit.edu</w:t>
            </w:r>
          </w:p>
        </w:tc>
      </w:tr>
    </w:tbl>
    <w:p w:rsidR="000F5B30" w:rsidRDefault="00315B41" w:rsidP="00AB1CAC">
      <w:pPr>
        <w:spacing w:before="180"/>
        <w:ind w:left="101"/>
        <w:rPr>
          <w:b/>
          <w:sz w:val="24"/>
        </w:rPr>
      </w:pPr>
      <w:r>
        <w:rPr>
          <w:b/>
          <w:sz w:val="24"/>
        </w:rPr>
        <w:t>Course Description:</w:t>
      </w:r>
    </w:p>
    <w:p w:rsidR="00AB1CAC" w:rsidRDefault="00E22647" w:rsidP="00AB1CAC">
      <w:pPr>
        <w:pStyle w:val="BodyText"/>
        <w:ind w:left="100"/>
        <w:rPr>
          <w:sz w:val="22"/>
          <w:szCs w:val="22"/>
        </w:rPr>
      </w:pPr>
      <w:r w:rsidRPr="00A95884">
        <w:rPr>
          <w:sz w:val="22"/>
          <w:szCs w:val="22"/>
        </w:rPr>
        <w:t>The objective of this course is for the student to understand and be able to apply fundamental principles of computer architecture design. An emphasis is placed upon the use of quantitative metrics to evaluate cost/performance tradeoffs and upon the use of actual performance data to evaluate design alternatives. Specific topics include construction set architecture design, pipelining, super scalar/VLIW processors, out-of-order execution, compiler optimization, memory system design, and input/output systems.</w:t>
      </w:r>
    </w:p>
    <w:p w:rsidR="00AB1CAC" w:rsidRPr="00AB1CAC" w:rsidRDefault="00AB1CAC" w:rsidP="00AB1CAC">
      <w:pPr>
        <w:pStyle w:val="BodyText"/>
        <w:ind w:left="100"/>
        <w:rPr>
          <w:sz w:val="6"/>
          <w:szCs w:val="22"/>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91"/>
        <w:gridCol w:w="7161"/>
      </w:tblGrid>
      <w:tr w:rsidR="000F5B30">
        <w:trPr>
          <w:trHeight w:hRule="exact" w:val="350"/>
        </w:trPr>
        <w:tc>
          <w:tcPr>
            <w:tcW w:w="2191" w:type="dxa"/>
          </w:tcPr>
          <w:p w:rsidR="000F5B30" w:rsidRDefault="00315B41">
            <w:pPr>
              <w:pStyle w:val="TableParagraph"/>
              <w:rPr>
                <w:b/>
              </w:rPr>
            </w:pPr>
            <w:r>
              <w:rPr>
                <w:b/>
              </w:rPr>
              <w:t>Credits</w:t>
            </w:r>
          </w:p>
        </w:tc>
        <w:tc>
          <w:tcPr>
            <w:tcW w:w="7161" w:type="dxa"/>
          </w:tcPr>
          <w:p w:rsidR="000F5B30" w:rsidRDefault="00E22647" w:rsidP="00E22647">
            <w:pPr>
              <w:ind w:left="144"/>
            </w:pPr>
            <w:r>
              <w:t>4</w:t>
            </w:r>
          </w:p>
        </w:tc>
      </w:tr>
      <w:tr w:rsidR="000F5B30">
        <w:trPr>
          <w:trHeight w:hRule="exact" w:val="353"/>
        </w:trPr>
        <w:tc>
          <w:tcPr>
            <w:tcW w:w="2191" w:type="dxa"/>
          </w:tcPr>
          <w:p w:rsidR="000F5B30" w:rsidRDefault="00315B41">
            <w:pPr>
              <w:pStyle w:val="TableParagraph"/>
              <w:rPr>
                <w:b/>
              </w:rPr>
            </w:pPr>
            <w:r>
              <w:rPr>
                <w:b/>
              </w:rPr>
              <w:t>Prerequisites</w:t>
            </w:r>
          </w:p>
        </w:tc>
        <w:tc>
          <w:tcPr>
            <w:tcW w:w="7161" w:type="dxa"/>
          </w:tcPr>
          <w:p w:rsidR="000F5B30" w:rsidRDefault="00E22647" w:rsidP="00E22647">
            <w:pPr>
              <w:ind w:left="144"/>
            </w:pPr>
            <w:r>
              <w:t xml:space="preserve">CSCE 489 and CSCE 492 </w:t>
            </w:r>
            <w:r w:rsidR="00AB1CAC">
              <w:t>(</w:t>
            </w:r>
            <w:r>
              <w:t>or equivalent</w:t>
            </w:r>
            <w:r w:rsidR="00AB1CAC">
              <w:t>s)</w:t>
            </w:r>
          </w:p>
        </w:tc>
      </w:tr>
    </w:tbl>
    <w:p w:rsidR="000F5B30" w:rsidRPr="00AB1CAC" w:rsidRDefault="00315B41" w:rsidP="00AB1CAC">
      <w:pPr>
        <w:spacing w:before="180"/>
        <w:ind w:left="101"/>
        <w:rPr>
          <w:b/>
          <w:sz w:val="24"/>
        </w:rPr>
      </w:pPr>
      <w:r w:rsidRPr="00AB1CAC">
        <w:rPr>
          <w:b/>
          <w:sz w:val="24"/>
        </w:rPr>
        <w:t>Student Learning Objectives:</w:t>
      </w:r>
    </w:p>
    <w:tbl>
      <w:tblPr>
        <w:tblW w:w="9352"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
        <w:gridCol w:w="8999"/>
      </w:tblGrid>
      <w:tr w:rsidR="00BF5F74" w:rsidTr="00AB1CAC">
        <w:trPr>
          <w:trHeight w:hRule="exact" w:val="581"/>
        </w:trPr>
        <w:tc>
          <w:tcPr>
            <w:tcW w:w="353" w:type="dxa"/>
          </w:tcPr>
          <w:p w:rsidR="00BF5F74" w:rsidRDefault="00BF5F74" w:rsidP="00E22647">
            <w:pPr>
              <w:pStyle w:val="TableParagraph"/>
              <w:spacing w:line="268" w:lineRule="exact"/>
              <w:ind w:left="0" w:right="14"/>
              <w:jc w:val="center"/>
              <w:rPr>
                <w:rFonts w:ascii="Times New Roman"/>
                <w:sz w:val="24"/>
              </w:rPr>
            </w:pPr>
            <w:r>
              <w:rPr>
                <w:rFonts w:ascii="Times New Roman"/>
                <w:sz w:val="24"/>
              </w:rPr>
              <w:t>1</w:t>
            </w:r>
          </w:p>
        </w:tc>
        <w:tc>
          <w:tcPr>
            <w:tcW w:w="8999" w:type="dxa"/>
          </w:tcPr>
          <w:p w:rsidR="00BF5F74" w:rsidRDefault="00BF5F74" w:rsidP="00BF5F74">
            <w:pPr>
              <w:ind w:left="182"/>
            </w:pPr>
            <w:r w:rsidRPr="00183C40">
              <w:t>Apply foundational scientific concepts and sound computer science principles to efficiently and effectively advance Air Force and DoD technological capabilities.</w:t>
            </w:r>
          </w:p>
        </w:tc>
      </w:tr>
      <w:tr w:rsidR="00BF5F74" w:rsidTr="00BF5F74">
        <w:trPr>
          <w:trHeight w:hRule="exact" w:val="286"/>
        </w:trPr>
        <w:tc>
          <w:tcPr>
            <w:tcW w:w="353" w:type="dxa"/>
          </w:tcPr>
          <w:p w:rsidR="00BF5F74" w:rsidRDefault="00BF5F74" w:rsidP="00E22647">
            <w:pPr>
              <w:pStyle w:val="TableParagraph"/>
              <w:spacing w:line="268" w:lineRule="exact"/>
              <w:ind w:left="0" w:right="14"/>
              <w:jc w:val="center"/>
              <w:rPr>
                <w:rFonts w:ascii="Times New Roman"/>
                <w:sz w:val="24"/>
              </w:rPr>
            </w:pPr>
            <w:r>
              <w:rPr>
                <w:rFonts w:ascii="Times New Roman"/>
                <w:sz w:val="24"/>
              </w:rPr>
              <w:t>2</w:t>
            </w:r>
          </w:p>
        </w:tc>
        <w:tc>
          <w:tcPr>
            <w:tcW w:w="8999" w:type="dxa"/>
          </w:tcPr>
          <w:p w:rsidR="00BF5F74" w:rsidRDefault="00AB1CAC" w:rsidP="00BF5F74">
            <w:pPr>
              <w:ind w:left="182"/>
            </w:pPr>
            <w:r>
              <w:t>Become</w:t>
            </w:r>
            <w:r w:rsidR="00BF5F74" w:rsidRPr="00183C40">
              <w:t xml:space="preserve"> well-educated, highly-valued, and successful engineers and scientists.</w:t>
            </w:r>
          </w:p>
        </w:tc>
      </w:tr>
      <w:tr w:rsidR="00BF5F74" w:rsidTr="00BF5F74">
        <w:trPr>
          <w:trHeight w:hRule="exact" w:val="286"/>
        </w:trPr>
        <w:tc>
          <w:tcPr>
            <w:tcW w:w="353" w:type="dxa"/>
          </w:tcPr>
          <w:p w:rsidR="00BF5F74" w:rsidRDefault="00BF5F74" w:rsidP="00E22647">
            <w:pPr>
              <w:pStyle w:val="TableParagraph"/>
              <w:spacing w:line="268" w:lineRule="exact"/>
              <w:ind w:left="0" w:right="14"/>
              <w:jc w:val="center"/>
              <w:rPr>
                <w:rFonts w:ascii="Times New Roman"/>
                <w:sz w:val="24"/>
              </w:rPr>
            </w:pPr>
            <w:r>
              <w:rPr>
                <w:rFonts w:ascii="Times New Roman"/>
                <w:sz w:val="24"/>
              </w:rPr>
              <w:t>3</w:t>
            </w:r>
          </w:p>
        </w:tc>
        <w:tc>
          <w:tcPr>
            <w:tcW w:w="8999" w:type="dxa"/>
          </w:tcPr>
          <w:p w:rsidR="00BF5F74" w:rsidRDefault="00BF5F74" w:rsidP="00BF5F74">
            <w:pPr>
              <w:ind w:left="182"/>
            </w:pPr>
            <w:r w:rsidRPr="00183C40">
              <w:t>Significantly contribute to technical interdisciplinary team projects.</w:t>
            </w:r>
          </w:p>
        </w:tc>
      </w:tr>
      <w:tr w:rsidR="00BF5F74" w:rsidTr="00BF5F74">
        <w:trPr>
          <w:trHeight w:hRule="exact" w:val="286"/>
        </w:trPr>
        <w:tc>
          <w:tcPr>
            <w:tcW w:w="353" w:type="dxa"/>
          </w:tcPr>
          <w:p w:rsidR="00BF5F74" w:rsidRDefault="00BF5F74" w:rsidP="00E22647">
            <w:pPr>
              <w:pStyle w:val="TableParagraph"/>
              <w:spacing w:line="268" w:lineRule="exact"/>
              <w:ind w:left="0" w:right="14"/>
              <w:jc w:val="center"/>
              <w:rPr>
                <w:rFonts w:ascii="Times New Roman"/>
                <w:sz w:val="24"/>
              </w:rPr>
            </w:pPr>
            <w:r>
              <w:rPr>
                <w:rFonts w:ascii="Times New Roman"/>
                <w:sz w:val="24"/>
              </w:rPr>
              <w:t>4</w:t>
            </w:r>
          </w:p>
        </w:tc>
        <w:tc>
          <w:tcPr>
            <w:tcW w:w="8999" w:type="dxa"/>
          </w:tcPr>
          <w:p w:rsidR="00BF5F74" w:rsidRDefault="00BF5F74" w:rsidP="00BF5F74">
            <w:pPr>
              <w:ind w:left="182"/>
            </w:pPr>
            <w:r w:rsidRPr="00183C40">
              <w:t>Professionally communicate technical solutions and results.</w:t>
            </w:r>
          </w:p>
        </w:tc>
      </w:tr>
      <w:tr w:rsidR="00BF5F74" w:rsidTr="00BF5F74">
        <w:trPr>
          <w:trHeight w:hRule="exact" w:val="289"/>
        </w:trPr>
        <w:tc>
          <w:tcPr>
            <w:tcW w:w="353" w:type="dxa"/>
          </w:tcPr>
          <w:p w:rsidR="00BF5F74" w:rsidRDefault="00BF5F74" w:rsidP="00E22647">
            <w:pPr>
              <w:pStyle w:val="TableParagraph"/>
              <w:spacing w:line="270" w:lineRule="exact"/>
              <w:ind w:left="0" w:right="14"/>
              <w:jc w:val="center"/>
              <w:rPr>
                <w:rFonts w:ascii="Times New Roman"/>
                <w:sz w:val="24"/>
              </w:rPr>
            </w:pPr>
            <w:r>
              <w:rPr>
                <w:rFonts w:ascii="Times New Roman"/>
                <w:sz w:val="24"/>
              </w:rPr>
              <w:t>5</w:t>
            </w:r>
          </w:p>
        </w:tc>
        <w:tc>
          <w:tcPr>
            <w:tcW w:w="8999" w:type="dxa"/>
          </w:tcPr>
          <w:p w:rsidR="00BF5F74" w:rsidRDefault="00BF5F74" w:rsidP="00BF5F74">
            <w:pPr>
              <w:ind w:left="182"/>
            </w:pPr>
            <w:r w:rsidRPr="00183C40">
              <w:t>Continue to pursue lifelong multidisciplinary learning as professional engineers and scientists.</w:t>
            </w:r>
          </w:p>
        </w:tc>
      </w:tr>
    </w:tbl>
    <w:p w:rsidR="000F5B30" w:rsidRDefault="00315B41" w:rsidP="00AB1CAC">
      <w:pPr>
        <w:spacing w:before="180"/>
        <w:ind w:left="101"/>
        <w:rPr>
          <w:b/>
          <w:sz w:val="24"/>
        </w:rPr>
      </w:pPr>
      <w:r>
        <w:rPr>
          <w:b/>
          <w:sz w:val="24"/>
        </w:rPr>
        <w:t>Required Books and Resource Materials:</w:t>
      </w:r>
    </w:p>
    <w:p w:rsidR="00E22647" w:rsidRPr="00A95884" w:rsidRDefault="00E22647" w:rsidP="00AB1CAC">
      <w:pPr>
        <w:pStyle w:val="Heading1"/>
        <w:ind w:left="90" w:firstLine="10"/>
        <w:rPr>
          <w:b w:val="0"/>
          <w:bCs w:val="0"/>
          <w:sz w:val="22"/>
          <w:szCs w:val="22"/>
        </w:rPr>
      </w:pPr>
      <w:r w:rsidRPr="00A95884">
        <w:rPr>
          <w:b w:val="0"/>
          <w:bCs w:val="0"/>
          <w:sz w:val="22"/>
          <w:szCs w:val="22"/>
        </w:rPr>
        <w:t xml:space="preserve">John L. Hennessy and David L. Patterson, Computer Architecture: A Quantitative Approach, </w:t>
      </w:r>
      <w:r w:rsidR="0013728A">
        <w:rPr>
          <w:b w:val="0"/>
          <w:bCs w:val="0"/>
          <w:sz w:val="22"/>
          <w:szCs w:val="22"/>
        </w:rPr>
        <w:t>6</w:t>
      </w:r>
      <w:r w:rsidRPr="00A95884">
        <w:rPr>
          <w:b w:val="0"/>
          <w:bCs w:val="0"/>
          <w:sz w:val="22"/>
          <w:szCs w:val="22"/>
        </w:rPr>
        <w:t>th Edition, Morgan Kaufmann, 201</w:t>
      </w:r>
      <w:r w:rsidR="0013728A">
        <w:rPr>
          <w:b w:val="0"/>
          <w:bCs w:val="0"/>
          <w:sz w:val="22"/>
          <w:szCs w:val="22"/>
        </w:rPr>
        <w:t>7</w:t>
      </w:r>
      <w:r w:rsidRPr="00A95884">
        <w:rPr>
          <w:b w:val="0"/>
          <w:bCs w:val="0"/>
          <w:sz w:val="22"/>
          <w:szCs w:val="22"/>
        </w:rPr>
        <w:t>.</w:t>
      </w:r>
    </w:p>
    <w:p w:rsidR="000F5B30" w:rsidRPr="00AB1CAC" w:rsidRDefault="00315B41" w:rsidP="00AB1CAC">
      <w:pPr>
        <w:spacing w:before="180"/>
        <w:ind w:left="101"/>
        <w:rPr>
          <w:b/>
          <w:sz w:val="24"/>
        </w:rPr>
      </w:pPr>
      <w:r w:rsidRPr="00AB1CAC">
        <w:rPr>
          <w:b/>
          <w:sz w:val="24"/>
        </w:rPr>
        <w:t>Recommended/Optional Books and Resource Materials:</w:t>
      </w:r>
    </w:p>
    <w:p w:rsidR="00E22647" w:rsidRPr="00A95884" w:rsidRDefault="00E22647" w:rsidP="00AB1CAC">
      <w:pPr>
        <w:pStyle w:val="Heading1"/>
        <w:ind w:left="90"/>
        <w:rPr>
          <w:b w:val="0"/>
          <w:bCs w:val="0"/>
          <w:sz w:val="22"/>
          <w:szCs w:val="22"/>
        </w:rPr>
      </w:pPr>
      <w:r w:rsidRPr="00A95884">
        <w:rPr>
          <w:b w:val="0"/>
          <w:bCs w:val="0"/>
          <w:sz w:val="22"/>
          <w:szCs w:val="22"/>
        </w:rPr>
        <w:t>David L. Patterson and John L. Hennessy, Computer Organization and Design: the Hardware/Software Interface, 5th Edition, Morgan</w:t>
      </w:r>
      <w:bookmarkStart w:id="0" w:name="_GoBack"/>
      <w:bookmarkEnd w:id="0"/>
      <w:r w:rsidRPr="00A95884">
        <w:rPr>
          <w:b w:val="0"/>
          <w:bCs w:val="0"/>
          <w:sz w:val="22"/>
          <w:szCs w:val="22"/>
        </w:rPr>
        <w:t xml:space="preserve"> Kaufmann, 2013.</w:t>
      </w:r>
    </w:p>
    <w:p w:rsidR="000F5B30" w:rsidRPr="00AB1CAC" w:rsidRDefault="00315B41" w:rsidP="00AB1CAC">
      <w:pPr>
        <w:spacing w:before="180"/>
        <w:ind w:left="101"/>
        <w:rPr>
          <w:b/>
          <w:sz w:val="24"/>
        </w:rPr>
      </w:pPr>
      <w:r w:rsidRPr="00AB1CAC">
        <w:rPr>
          <w:b/>
          <w:sz w:val="24"/>
        </w:rPr>
        <w:t>Grading Scheme/Policy:</w:t>
      </w:r>
    </w:p>
    <w:p w:rsidR="00E22647" w:rsidRPr="00A95884" w:rsidRDefault="00A95884" w:rsidP="00E22647">
      <w:pPr>
        <w:ind w:left="100"/>
      </w:pPr>
      <w:r>
        <w:t xml:space="preserve">Homework - </w:t>
      </w:r>
      <w:r w:rsidR="00E22647" w:rsidRPr="00A95884">
        <w:t>25%</w:t>
      </w:r>
      <w:r>
        <w:t xml:space="preserve">, </w:t>
      </w:r>
      <w:r w:rsidR="00E22647" w:rsidRPr="00A95884">
        <w:t>Midterm</w:t>
      </w:r>
      <w:r>
        <w:t xml:space="preserve"> - </w:t>
      </w:r>
      <w:r w:rsidR="00E22647" w:rsidRPr="00A95884">
        <w:t>25%</w:t>
      </w:r>
      <w:r>
        <w:t xml:space="preserve">, </w:t>
      </w:r>
      <w:r w:rsidR="0013728A">
        <w:t>Lab</w:t>
      </w:r>
      <w:r>
        <w:t xml:space="preserve"> - 25%, </w:t>
      </w:r>
      <w:r w:rsidR="00E22647" w:rsidRPr="00A95884">
        <w:t>Final Exam</w:t>
      </w:r>
      <w:r>
        <w:t xml:space="preserve"> - </w:t>
      </w:r>
      <w:r w:rsidR="00E22647" w:rsidRPr="00A95884">
        <w:t>25%</w:t>
      </w:r>
      <w:r>
        <w:t xml:space="preserve">.  </w:t>
      </w:r>
      <w:r w:rsidR="00E22647" w:rsidRPr="00A95884">
        <w:t xml:space="preserve">Completion of all assignments, </w:t>
      </w:r>
      <w:r w:rsidR="0013728A">
        <w:t>labs</w:t>
      </w:r>
      <w:r w:rsidR="00E22647" w:rsidRPr="00A95884">
        <w:t>, and exams is required to pass the course. Final course grades will use the following grade scale:</w:t>
      </w:r>
    </w:p>
    <w:p w:rsidR="00E22647" w:rsidRPr="00012035" w:rsidRDefault="00E22647" w:rsidP="00E22647">
      <w:pPr>
        <w:ind w:left="2160" w:hanging="2160"/>
        <w:rPr>
          <w:rFonts w:ascii="Times New Roman" w:hAnsi="Times New Roman"/>
        </w:rPr>
      </w:pPr>
      <w:r>
        <w:rPr>
          <w:rFonts w:ascii="Times New Roman" w:hAnsi="Times New Roman"/>
        </w:rPr>
        <w:tab/>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E22647" w:rsidRPr="009419FA" w:rsidTr="00E22647">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A</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A-</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B+</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B</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B-</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C+</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C</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C-</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D+</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D</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D-</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F</w:t>
            </w:r>
          </w:p>
        </w:tc>
      </w:tr>
      <w:tr w:rsidR="00E22647" w:rsidRPr="009419FA" w:rsidTr="00E22647">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93+</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90+</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8</w:t>
            </w:r>
            <w:r>
              <w:rPr>
                <w:rFonts w:ascii="Times New Roman" w:hAnsi="Times New Roman"/>
                <w:b/>
              </w:rPr>
              <w:t>7</w:t>
            </w:r>
            <w:r w:rsidRPr="009419FA">
              <w:rPr>
                <w:rFonts w:ascii="Times New Roman" w:hAnsi="Times New Roman"/>
                <w:b/>
              </w:rPr>
              <w:t>+</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83+</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80+</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77+</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73+</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70+</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67+</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63+</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60+</w:t>
            </w:r>
          </w:p>
        </w:tc>
        <w:tc>
          <w:tcPr>
            <w:tcW w:w="576" w:type="dxa"/>
          </w:tcPr>
          <w:p w:rsidR="00E22647" w:rsidRPr="009419FA" w:rsidRDefault="00E22647" w:rsidP="00BB361C">
            <w:pPr>
              <w:rPr>
                <w:rFonts w:ascii="Times New Roman" w:hAnsi="Times New Roman"/>
                <w:b/>
              </w:rPr>
            </w:pPr>
            <w:r w:rsidRPr="009419FA">
              <w:rPr>
                <w:rFonts w:ascii="Times New Roman" w:hAnsi="Times New Roman"/>
                <w:b/>
              </w:rPr>
              <w:t>&lt;60</w:t>
            </w:r>
          </w:p>
        </w:tc>
      </w:tr>
    </w:tbl>
    <w:p w:rsidR="00A95884" w:rsidRDefault="00A95884">
      <w:pPr>
        <w:pStyle w:val="BodyText"/>
        <w:spacing w:before="11"/>
        <w:rPr>
          <w:sz w:val="27"/>
        </w:rPr>
      </w:pPr>
    </w:p>
    <w:p w:rsidR="00AB1CAC" w:rsidRDefault="00AB1CAC">
      <w:pPr>
        <w:rPr>
          <w:b/>
          <w:bCs/>
          <w:sz w:val="24"/>
          <w:szCs w:val="24"/>
        </w:rPr>
      </w:pPr>
      <w:r>
        <w:br w:type="page"/>
      </w:r>
    </w:p>
    <w:p w:rsidR="000F5B30" w:rsidRDefault="00315B41">
      <w:pPr>
        <w:pStyle w:val="Heading1"/>
      </w:pPr>
      <w:r>
        <w:lastRenderedPageBreak/>
        <w:t>Policies:</w:t>
      </w:r>
    </w:p>
    <w:p w:rsidR="00C04B12" w:rsidRPr="00C04B12" w:rsidRDefault="00315B41" w:rsidP="00C04B12">
      <w:pPr>
        <w:pStyle w:val="ListParagraph"/>
        <w:numPr>
          <w:ilvl w:val="1"/>
          <w:numId w:val="1"/>
        </w:numPr>
        <w:tabs>
          <w:tab w:val="left" w:pos="-1620"/>
          <w:tab w:val="left" w:pos="450"/>
        </w:tabs>
        <w:spacing w:before="7"/>
        <w:ind w:left="450" w:right="40"/>
        <w:rPr>
          <w:sz w:val="25"/>
        </w:rPr>
      </w:pPr>
      <w:r w:rsidRPr="00F27841">
        <w:rPr>
          <w:b/>
          <w:sz w:val="24"/>
        </w:rPr>
        <w:t xml:space="preserve">Attendance: </w:t>
      </w:r>
      <w:r w:rsidRPr="00F27841">
        <w:rPr>
          <w:sz w:val="24"/>
        </w:rPr>
        <w:t xml:space="preserve">Attendance at all class sessions and exams is mandatory for military and civilians assigned to AFIT as full-time students except for extenuating circumstances. Part-time students are expected to attend scheduled classes, and absences should </w:t>
      </w:r>
      <w:r w:rsidR="00C04B12">
        <w:rPr>
          <w:sz w:val="24"/>
        </w:rPr>
        <w:t xml:space="preserve">be explained to the instructor. For additional information, see reference documents located at: </w:t>
      </w:r>
      <w:hyperlink r:id="rId6" w:history="1">
        <w:r w:rsidR="00C04B12" w:rsidRPr="00C04B12">
          <w:rPr>
            <w:rStyle w:val="Hyperlink"/>
            <w:rFonts w:asciiTheme="minorHAnsi" w:hAnsiTheme="minorHAnsi" w:cstheme="minorHAnsi"/>
            <w:sz w:val="24"/>
          </w:rPr>
          <w:t>http://cs.eis.afit.edu/org/enstudents/en_senior_student_leaders/default.aspx</w:t>
        </w:r>
      </w:hyperlink>
    </w:p>
    <w:p w:rsidR="00C04B12" w:rsidRPr="00C04B12" w:rsidRDefault="00C04B12" w:rsidP="00C04B12">
      <w:pPr>
        <w:pStyle w:val="ListParagraph"/>
        <w:numPr>
          <w:ilvl w:val="2"/>
          <w:numId w:val="2"/>
        </w:numPr>
        <w:tabs>
          <w:tab w:val="left" w:pos="-1620"/>
          <w:tab w:val="left" w:pos="450"/>
        </w:tabs>
        <w:spacing w:before="7"/>
        <w:ind w:left="900" w:right="40" w:hanging="450"/>
        <w:rPr>
          <w:sz w:val="25"/>
        </w:rPr>
      </w:pPr>
      <w:r w:rsidRPr="00C04B12">
        <w:rPr>
          <w:b/>
          <w:sz w:val="24"/>
        </w:rPr>
        <w:t>Missing Class.</w:t>
      </w:r>
      <w:r>
        <w:rPr>
          <w:rFonts w:asciiTheme="minorHAnsi" w:hAnsiTheme="minorHAnsi" w:cstheme="minorHAnsi"/>
          <w:sz w:val="24"/>
        </w:rPr>
        <w:t xml:space="preserve">  </w:t>
      </w:r>
      <w:r w:rsidRPr="00F27841">
        <w:rPr>
          <w:rFonts w:asciiTheme="minorHAnsi" w:hAnsiTheme="minorHAnsi" w:cstheme="minorHAnsi"/>
          <w:sz w:val="24"/>
        </w:rPr>
        <w:t>Students who need to miss class must follow the AFIT “Missing Class” procedures at outlined on page 36 of the AFIT Student Handbook (15A</w:t>
      </w:r>
      <w:r>
        <w:rPr>
          <w:rFonts w:asciiTheme="minorHAnsi" w:hAnsiTheme="minorHAnsi" w:cstheme="minorHAnsi"/>
          <w:sz w:val="24"/>
        </w:rPr>
        <w:t xml:space="preserve">Y Edition).  </w:t>
      </w:r>
    </w:p>
    <w:p w:rsidR="00C04B12" w:rsidRPr="00C04B12" w:rsidRDefault="00C04B12" w:rsidP="00C04B12">
      <w:pPr>
        <w:pStyle w:val="ListParagraph"/>
        <w:numPr>
          <w:ilvl w:val="2"/>
          <w:numId w:val="2"/>
        </w:numPr>
        <w:tabs>
          <w:tab w:val="left" w:pos="-1620"/>
          <w:tab w:val="left" w:pos="450"/>
        </w:tabs>
        <w:spacing w:before="7"/>
        <w:ind w:left="900" w:right="40" w:hanging="450"/>
        <w:rPr>
          <w:sz w:val="25"/>
        </w:rPr>
      </w:pPr>
      <w:r w:rsidRPr="00C04B12">
        <w:rPr>
          <w:b/>
          <w:sz w:val="24"/>
        </w:rPr>
        <w:t>Inclement Weather.</w:t>
      </w:r>
      <w:r w:rsidRPr="00C04B12">
        <w:rPr>
          <w:rFonts w:asciiTheme="minorHAnsi" w:hAnsiTheme="minorHAnsi" w:cstheme="minorHAnsi"/>
          <w:sz w:val="24"/>
        </w:rPr>
        <w:t xml:space="preserve">  </w:t>
      </w:r>
      <w:r w:rsidR="00BF5F74" w:rsidRPr="00C04B12">
        <w:rPr>
          <w:rFonts w:asciiTheme="minorHAnsi" w:hAnsiTheme="minorHAnsi" w:cstheme="minorHAnsi"/>
          <w:sz w:val="24"/>
        </w:rPr>
        <w:t>Winter quarter classes are susceptible to cancellation as directed by 88</w:t>
      </w:r>
      <w:r w:rsidR="00BF5F74" w:rsidRPr="00C04B12">
        <w:rPr>
          <w:rFonts w:asciiTheme="minorHAnsi" w:hAnsiTheme="minorHAnsi" w:cstheme="minorHAnsi"/>
          <w:sz w:val="24"/>
          <w:vertAlign w:val="superscript"/>
        </w:rPr>
        <w:t>th</w:t>
      </w:r>
      <w:r w:rsidR="00BF5F74" w:rsidRPr="00C04B12">
        <w:rPr>
          <w:rFonts w:asciiTheme="minorHAnsi" w:hAnsiTheme="minorHAnsi" w:cstheme="minorHAnsi"/>
          <w:sz w:val="24"/>
        </w:rPr>
        <w:t xml:space="preserve"> ABW policies with regard to base closing due to inclement weather.  See current guidance on “Snow/Inclement Weather Delays” on page 45 of the Student Handbook (15AY Edition).</w:t>
      </w:r>
      <w:r w:rsidR="00F27841" w:rsidRPr="00C04B12">
        <w:rPr>
          <w:rFonts w:asciiTheme="minorHAnsi" w:hAnsiTheme="minorHAnsi" w:cstheme="minorHAnsi"/>
          <w:sz w:val="24"/>
        </w:rPr>
        <w:t xml:space="preserve"> </w:t>
      </w:r>
    </w:p>
    <w:p w:rsidR="000F5B30" w:rsidRPr="00C04B12" w:rsidRDefault="00315B41" w:rsidP="00AB1CAC">
      <w:pPr>
        <w:pStyle w:val="ListParagraph"/>
        <w:numPr>
          <w:ilvl w:val="1"/>
          <w:numId w:val="1"/>
        </w:numPr>
        <w:tabs>
          <w:tab w:val="left" w:pos="450"/>
        </w:tabs>
        <w:spacing w:before="1"/>
        <w:ind w:left="450" w:right="40"/>
        <w:rPr>
          <w:sz w:val="24"/>
        </w:rPr>
      </w:pPr>
      <w:r w:rsidRPr="00C04B12">
        <w:rPr>
          <w:b/>
          <w:sz w:val="24"/>
        </w:rPr>
        <w:t xml:space="preserve">Academic Integrity: </w:t>
      </w:r>
      <w:r w:rsidR="00BF5F74" w:rsidRPr="00C04B12">
        <w:rPr>
          <w:rFonts w:asciiTheme="minorHAnsi" w:hAnsiTheme="minorHAnsi" w:cstheme="minorHAnsi"/>
          <w:sz w:val="24"/>
        </w:rPr>
        <w:t>Plagiarism and cheating will not be tolerated.  “[A] piece of writing that has been copied from someone else and is presented as being your own work” is an example of plagiarism</w:t>
      </w:r>
      <w:r w:rsidR="00BF5F74" w:rsidRPr="00C04B12">
        <w:rPr>
          <w:rFonts w:asciiTheme="minorHAnsi" w:hAnsiTheme="minorHAnsi" w:cstheme="minorHAnsi"/>
          <w:i/>
          <w:sz w:val="24"/>
        </w:rPr>
        <w:t>.</w:t>
      </w:r>
      <w:r w:rsidR="00BF5F74" w:rsidRPr="00C04B12">
        <w:rPr>
          <w:rFonts w:asciiTheme="minorHAnsi" w:hAnsiTheme="minorHAnsi" w:cstheme="minorHAnsi"/>
          <w:sz w:val="24"/>
        </w:rPr>
        <w:t xml:space="preserve">  Similarly “…taking someone's words or ideas as if they were your own” is also plagiarism [</w:t>
      </w:r>
      <w:r w:rsidR="00BF5F74" w:rsidRPr="00C04B12">
        <w:rPr>
          <w:rStyle w:val="HTMLCite"/>
          <w:rFonts w:asciiTheme="minorHAnsi" w:hAnsiTheme="minorHAnsi" w:cstheme="minorHAnsi"/>
          <w:sz w:val="24"/>
        </w:rPr>
        <w:t>WordNet ® 1.6, © 1997 Princeton University]</w:t>
      </w:r>
      <w:r w:rsidR="00BF5F74" w:rsidRPr="00C04B12">
        <w:rPr>
          <w:rFonts w:asciiTheme="minorHAnsi" w:hAnsiTheme="minorHAnsi" w:cstheme="minorHAnsi"/>
          <w:i/>
          <w:sz w:val="24"/>
        </w:rPr>
        <w:t>.</w:t>
      </w:r>
      <w:r w:rsidR="00BF5F74" w:rsidRPr="00C04B12">
        <w:rPr>
          <w:rFonts w:asciiTheme="minorHAnsi" w:hAnsiTheme="minorHAnsi" w:cstheme="minorHAnsi"/>
          <w:sz w:val="24"/>
        </w:rPr>
        <w:t xml:space="preserve">  </w:t>
      </w:r>
      <w:r w:rsidRPr="00C04B12">
        <w:rPr>
          <w:sz w:val="24"/>
        </w:rPr>
        <w:t>Students are prohibited from engaging in plagiarism, cheating, misrepresentation, or any other act constituting a lack of academic integrity.</w:t>
      </w:r>
      <w:r w:rsidR="00C04B12">
        <w:rPr>
          <w:sz w:val="24"/>
        </w:rPr>
        <w:t xml:space="preserve"> </w:t>
      </w:r>
      <w:r w:rsidRPr="00C04B12">
        <w:rPr>
          <w:spacing w:val="-5"/>
          <w:sz w:val="24"/>
        </w:rPr>
        <w:t xml:space="preserve"> </w:t>
      </w:r>
      <w:r w:rsidRPr="00C04B12">
        <w:rPr>
          <w:sz w:val="24"/>
        </w:rPr>
        <w:t>Individuals</w:t>
      </w:r>
      <w:r w:rsidRPr="00C04B12">
        <w:rPr>
          <w:spacing w:val="-5"/>
          <w:sz w:val="24"/>
        </w:rPr>
        <w:t xml:space="preserve"> </w:t>
      </w:r>
      <w:r w:rsidRPr="00C04B12">
        <w:rPr>
          <w:sz w:val="24"/>
        </w:rPr>
        <w:t>who</w:t>
      </w:r>
      <w:r w:rsidRPr="00C04B12">
        <w:rPr>
          <w:spacing w:val="-2"/>
          <w:sz w:val="24"/>
        </w:rPr>
        <w:t xml:space="preserve"> </w:t>
      </w:r>
      <w:r w:rsidRPr="00C04B12">
        <w:rPr>
          <w:sz w:val="24"/>
        </w:rPr>
        <w:t>violate</w:t>
      </w:r>
      <w:r w:rsidRPr="00C04B12">
        <w:rPr>
          <w:spacing w:val="-4"/>
          <w:sz w:val="24"/>
        </w:rPr>
        <w:t xml:space="preserve"> </w:t>
      </w:r>
      <w:r w:rsidRPr="00C04B12">
        <w:rPr>
          <w:sz w:val="24"/>
        </w:rPr>
        <w:t>this</w:t>
      </w:r>
      <w:r w:rsidRPr="00C04B12">
        <w:rPr>
          <w:spacing w:val="-5"/>
          <w:sz w:val="24"/>
        </w:rPr>
        <w:t xml:space="preserve"> </w:t>
      </w:r>
      <w:r w:rsidRPr="00C04B12">
        <w:rPr>
          <w:sz w:val="24"/>
        </w:rPr>
        <w:t>policy</w:t>
      </w:r>
      <w:r w:rsidRPr="00C04B12">
        <w:rPr>
          <w:spacing w:val="-3"/>
          <w:sz w:val="24"/>
        </w:rPr>
        <w:t xml:space="preserve"> </w:t>
      </w:r>
      <w:r w:rsidRPr="00C04B12">
        <w:rPr>
          <w:sz w:val="24"/>
        </w:rPr>
        <w:t>are</w:t>
      </w:r>
      <w:r w:rsidRPr="00C04B12">
        <w:rPr>
          <w:spacing w:val="-4"/>
          <w:sz w:val="24"/>
        </w:rPr>
        <w:t xml:space="preserve"> </w:t>
      </w:r>
      <w:r w:rsidRPr="00C04B12">
        <w:rPr>
          <w:sz w:val="24"/>
        </w:rPr>
        <w:t>subject</w:t>
      </w:r>
      <w:r w:rsidRPr="00C04B12">
        <w:rPr>
          <w:spacing w:val="-4"/>
          <w:sz w:val="24"/>
        </w:rPr>
        <w:t xml:space="preserve"> </w:t>
      </w:r>
      <w:r w:rsidRPr="00C04B12">
        <w:rPr>
          <w:sz w:val="24"/>
        </w:rPr>
        <w:t>to</w:t>
      </w:r>
      <w:r w:rsidRPr="00C04B12">
        <w:rPr>
          <w:spacing w:val="-2"/>
          <w:sz w:val="24"/>
        </w:rPr>
        <w:t xml:space="preserve"> </w:t>
      </w:r>
      <w:r w:rsidRPr="00C04B12">
        <w:rPr>
          <w:sz w:val="24"/>
        </w:rPr>
        <w:t>adverse</w:t>
      </w:r>
      <w:r w:rsidRPr="00C04B12">
        <w:rPr>
          <w:spacing w:val="-3"/>
          <w:sz w:val="24"/>
        </w:rPr>
        <w:t xml:space="preserve"> </w:t>
      </w:r>
      <w:r w:rsidRPr="00C04B12">
        <w:rPr>
          <w:sz w:val="24"/>
        </w:rPr>
        <w:t>administrative</w:t>
      </w:r>
      <w:r w:rsidRPr="00C04B12">
        <w:rPr>
          <w:spacing w:val="-5"/>
          <w:sz w:val="24"/>
        </w:rPr>
        <w:t xml:space="preserve"> </w:t>
      </w:r>
      <w:r w:rsidRPr="00C04B12">
        <w:rPr>
          <w:sz w:val="24"/>
        </w:rPr>
        <w:t xml:space="preserve">action including disenrollment from school and disciplinary action. Individuals subject to the Uniform Code of Military Justice may be prosecuted under it. </w:t>
      </w:r>
      <w:r w:rsidR="00C04B12">
        <w:rPr>
          <w:sz w:val="24"/>
        </w:rPr>
        <w:t xml:space="preserve"> </w:t>
      </w:r>
      <w:r w:rsidRPr="00C04B12">
        <w:rPr>
          <w:sz w:val="24"/>
        </w:rPr>
        <w:t xml:space="preserve">Violations by government civilian employees may result in administrative disciplinary action without regard to otherwise applicable criminal or civil sanctions for violations of related laws. (References: Student Handbook, ENOI 36 – 107, </w:t>
      </w:r>
      <w:r w:rsidRPr="00C04B12">
        <w:rPr>
          <w:i/>
          <w:sz w:val="24"/>
        </w:rPr>
        <w:t>Academic</w:t>
      </w:r>
      <w:r w:rsidRPr="00C04B12">
        <w:rPr>
          <w:i/>
          <w:spacing w:val="-18"/>
          <w:sz w:val="24"/>
        </w:rPr>
        <w:t xml:space="preserve"> </w:t>
      </w:r>
      <w:r w:rsidRPr="00C04B12">
        <w:rPr>
          <w:i/>
          <w:sz w:val="24"/>
        </w:rPr>
        <w:t>Integrity</w:t>
      </w:r>
      <w:r w:rsidRPr="00C04B12">
        <w:rPr>
          <w:sz w:val="24"/>
        </w:rPr>
        <w:t>)</w:t>
      </w:r>
      <w:r w:rsidR="00C04B12">
        <w:rPr>
          <w:sz w:val="24"/>
        </w:rPr>
        <w:t xml:space="preserve">.  </w:t>
      </w:r>
    </w:p>
    <w:p w:rsidR="00C04B12" w:rsidRPr="00C04B12" w:rsidRDefault="00C04B12" w:rsidP="00C04B12">
      <w:pPr>
        <w:pStyle w:val="ListParagraph"/>
        <w:numPr>
          <w:ilvl w:val="1"/>
          <w:numId w:val="1"/>
        </w:numPr>
        <w:tabs>
          <w:tab w:val="left" w:pos="450"/>
        </w:tabs>
        <w:spacing w:before="37"/>
        <w:ind w:left="450" w:right="40"/>
        <w:rPr>
          <w:sz w:val="24"/>
        </w:rPr>
      </w:pPr>
      <w:r w:rsidRPr="00C04B12">
        <w:rPr>
          <w:b/>
          <w:sz w:val="24"/>
        </w:rPr>
        <w:t xml:space="preserve">Homework: </w:t>
      </w:r>
      <w:r w:rsidRPr="00C04B12">
        <w:rPr>
          <w:sz w:val="24"/>
        </w:rPr>
        <w:t xml:space="preserve">Homework will be assigned, collected, and graded.  Late homework will not receive credit.  For assignments and projects in this course, </w:t>
      </w:r>
      <w:r w:rsidR="004A002E" w:rsidRPr="00C04B12">
        <w:rPr>
          <w:sz w:val="24"/>
        </w:rPr>
        <w:t xml:space="preserve">discussion and cooperative learning of a general nature is allowed and, in fact, encouraged </w:t>
      </w:r>
      <w:r w:rsidR="004A002E">
        <w:rPr>
          <w:sz w:val="24"/>
        </w:rPr>
        <w:t xml:space="preserve">as </w:t>
      </w:r>
      <w:r w:rsidRPr="00C04B12">
        <w:rPr>
          <w:sz w:val="24"/>
        </w:rPr>
        <w:t>students work together to solve problems.  However, using another person’s programs, specific algorithms, or other detailed solutions to assigned problems is an honor code violation</w:t>
      </w:r>
      <w:r>
        <w:rPr>
          <w:sz w:val="24"/>
        </w:rPr>
        <w:t>.  S</w:t>
      </w:r>
      <w:r w:rsidRPr="00C04B12">
        <w:rPr>
          <w:sz w:val="24"/>
        </w:rPr>
        <w:t>olutions that are turned in for grading are expected to be the original work of the individual student</w:t>
      </w:r>
      <w:r w:rsidR="004A002E">
        <w:rPr>
          <w:sz w:val="24"/>
        </w:rPr>
        <w:t>.</w:t>
      </w:r>
    </w:p>
    <w:p w:rsidR="00C04B12" w:rsidRPr="009C3B3A" w:rsidRDefault="0013728A" w:rsidP="00C04B12">
      <w:pPr>
        <w:pStyle w:val="ListParagraph"/>
        <w:numPr>
          <w:ilvl w:val="1"/>
          <w:numId w:val="1"/>
        </w:numPr>
        <w:tabs>
          <w:tab w:val="left" w:pos="450"/>
        </w:tabs>
        <w:spacing w:before="1"/>
        <w:ind w:left="450" w:right="40"/>
        <w:rPr>
          <w:sz w:val="24"/>
        </w:rPr>
      </w:pPr>
      <w:r>
        <w:rPr>
          <w:b/>
          <w:sz w:val="24"/>
        </w:rPr>
        <w:t>Labs</w:t>
      </w:r>
      <w:r w:rsidR="00C04B12" w:rsidRPr="009C3B3A">
        <w:rPr>
          <w:sz w:val="24"/>
        </w:rPr>
        <w:t xml:space="preserve">:  </w:t>
      </w:r>
      <w:r>
        <w:rPr>
          <w:sz w:val="24"/>
        </w:rPr>
        <w:t>Lab 1 is a small cache simulation exercise worth 5% of course grade.  Lab 2 is the first of a</w:t>
      </w:r>
      <w:r w:rsidR="00C04B12" w:rsidRPr="009C3B3A">
        <w:rPr>
          <w:sz w:val="24"/>
        </w:rPr>
        <w:t xml:space="preserve"> two-part design tradeoff project</w:t>
      </w:r>
      <w:r w:rsidR="00C04B12">
        <w:rPr>
          <w:sz w:val="24"/>
        </w:rPr>
        <w:t xml:space="preserve">. </w:t>
      </w:r>
      <w:r w:rsidR="00C04B12" w:rsidRPr="009C3B3A">
        <w:rPr>
          <w:sz w:val="24"/>
        </w:rPr>
        <w:t xml:space="preserve"> </w:t>
      </w:r>
      <w:r>
        <w:rPr>
          <w:sz w:val="24"/>
        </w:rPr>
        <w:t>Lab 2</w:t>
      </w:r>
      <w:r w:rsidR="00C04B12" w:rsidRPr="009C3B3A">
        <w:rPr>
          <w:sz w:val="24"/>
        </w:rPr>
        <w:t xml:space="preserve"> </w:t>
      </w:r>
      <w:r w:rsidR="004A002E">
        <w:rPr>
          <w:sz w:val="24"/>
        </w:rPr>
        <w:t xml:space="preserve">is worth </w:t>
      </w:r>
      <w:r w:rsidR="00C04B12" w:rsidRPr="009C3B3A">
        <w:rPr>
          <w:sz w:val="24"/>
        </w:rPr>
        <w:t xml:space="preserve">5% and Phase 2 </w:t>
      </w:r>
      <w:r w:rsidR="004A002E">
        <w:rPr>
          <w:sz w:val="24"/>
        </w:rPr>
        <w:t xml:space="preserve">is worth </w:t>
      </w:r>
      <w:r>
        <w:rPr>
          <w:sz w:val="24"/>
        </w:rPr>
        <w:t>15</w:t>
      </w:r>
      <w:r w:rsidR="00C04B12" w:rsidRPr="009C3B3A">
        <w:rPr>
          <w:sz w:val="24"/>
        </w:rPr>
        <w:t>%</w:t>
      </w:r>
      <w:r w:rsidR="004A002E">
        <w:rPr>
          <w:sz w:val="24"/>
        </w:rPr>
        <w:t xml:space="preserve"> of the course grade</w:t>
      </w:r>
      <w:r w:rsidR="00C04B12">
        <w:rPr>
          <w:sz w:val="24"/>
        </w:rPr>
        <w:t>.</w:t>
      </w:r>
    </w:p>
    <w:p w:rsidR="004A002E" w:rsidRDefault="004A002E" w:rsidP="00C04B12">
      <w:pPr>
        <w:pStyle w:val="ListParagraph"/>
        <w:numPr>
          <w:ilvl w:val="1"/>
          <w:numId w:val="1"/>
        </w:numPr>
        <w:tabs>
          <w:tab w:val="left" w:pos="450"/>
        </w:tabs>
        <w:spacing w:before="37"/>
        <w:ind w:left="450" w:right="40"/>
        <w:rPr>
          <w:sz w:val="24"/>
        </w:rPr>
      </w:pPr>
      <w:r w:rsidRPr="00A95884">
        <w:rPr>
          <w:b/>
          <w:sz w:val="24"/>
        </w:rPr>
        <w:t xml:space="preserve">Testing Policy:  </w:t>
      </w:r>
      <w:r w:rsidRPr="00A95884">
        <w:rPr>
          <w:sz w:val="24"/>
        </w:rPr>
        <w:t xml:space="preserve">Exams are to be worked solely by the individual.  There will be no collaboration of </w:t>
      </w:r>
      <w:r>
        <w:rPr>
          <w:sz w:val="24"/>
        </w:rPr>
        <w:t>any kind</w:t>
      </w:r>
      <w:r w:rsidRPr="00A95884">
        <w:rPr>
          <w:sz w:val="24"/>
        </w:rPr>
        <w:t xml:space="preserve"> on e</w:t>
      </w:r>
      <w:r>
        <w:rPr>
          <w:sz w:val="24"/>
        </w:rPr>
        <w:t>xams.  Exams will be take-home.</w:t>
      </w:r>
    </w:p>
    <w:p w:rsidR="004A002E" w:rsidRDefault="00315B41" w:rsidP="004A002E">
      <w:pPr>
        <w:pStyle w:val="ListParagraph"/>
        <w:numPr>
          <w:ilvl w:val="1"/>
          <w:numId w:val="1"/>
        </w:numPr>
        <w:tabs>
          <w:tab w:val="left" w:pos="450"/>
        </w:tabs>
        <w:spacing w:before="37"/>
        <w:ind w:left="450" w:right="40"/>
        <w:rPr>
          <w:sz w:val="24"/>
        </w:rPr>
      </w:pPr>
      <w:r>
        <w:rPr>
          <w:b/>
          <w:sz w:val="24"/>
        </w:rPr>
        <w:t xml:space="preserve">Academic Grievance: </w:t>
      </w:r>
      <w:r>
        <w:rPr>
          <w:sz w:val="24"/>
        </w:rPr>
        <w:t>AFIT and the Graduate School of En</w:t>
      </w:r>
      <w:r w:rsidR="004A002E">
        <w:rPr>
          <w:sz w:val="24"/>
        </w:rPr>
        <w:t xml:space="preserve">gineering and Management affirm </w:t>
      </w:r>
      <w:r w:rsidRPr="004A002E">
        <w:rPr>
          <w:sz w:val="24"/>
        </w:rPr>
        <w:t xml:space="preserve">the right of each student to resolve grievances with the Institution. Students are guaranteed the right of fair hearing and appeal in all matters of judgment of academic performance. Procedures are detailed in ENOI 36 – 138, </w:t>
      </w:r>
      <w:r w:rsidRPr="004A002E">
        <w:rPr>
          <w:i/>
          <w:sz w:val="24"/>
        </w:rPr>
        <w:t>Student Academic Performance Appeals</w:t>
      </w:r>
      <w:r w:rsidRPr="004A002E">
        <w:rPr>
          <w:sz w:val="24"/>
        </w:rPr>
        <w:t>.</w:t>
      </w:r>
    </w:p>
    <w:p w:rsidR="000F5B30" w:rsidRPr="00315B41" w:rsidRDefault="004A002E" w:rsidP="00315B41">
      <w:pPr>
        <w:pStyle w:val="ListParagraph"/>
        <w:numPr>
          <w:ilvl w:val="1"/>
          <w:numId w:val="1"/>
        </w:numPr>
        <w:tabs>
          <w:tab w:val="left" w:pos="450"/>
        </w:tabs>
        <w:spacing w:before="7"/>
        <w:ind w:left="450" w:right="40"/>
        <w:rPr>
          <w:i/>
        </w:rPr>
      </w:pPr>
      <w:r w:rsidRPr="00315B41">
        <w:rPr>
          <w:b/>
          <w:sz w:val="24"/>
        </w:rPr>
        <w:t>Course Material, Announcements and Communication.</w:t>
      </w:r>
      <w:r w:rsidRPr="00315B41">
        <w:rPr>
          <w:sz w:val="24"/>
        </w:rPr>
        <w:t xml:space="preserve"> Electronic copies of course material to include the </w:t>
      </w:r>
      <w:r w:rsidR="00315B41">
        <w:rPr>
          <w:sz w:val="24"/>
        </w:rPr>
        <w:t>schedule, l</w:t>
      </w:r>
      <w:r w:rsidRPr="00315B41">
        <w:rPr>
          <w:sz w:val="24"/>
        </w:rPr>
        <w:t xml:space="preserve">ecture </w:t>
      </w:r>
      <w:r w:rsidR="00315B41">
        <w:rPr>
          <w:sz w:val="24"/>
        </w:rPr>
        <w:t>s</w:t>
      </w:r>
      <w:r w:rsidRPr="00315B41">
        <w:rPr>
          <w:sz w:val="24"/>
        </w:rPr>
        <w:t xml:space="preserve">lides, </w:t>
      </w:r>
      <w:r w:rsidR="00315B41">
        <w:rPr>
          <w:sz w:val="24"/>
        </w:rPr>
        <w:t>h</w:t>
      </w:r>
      <w:r w:rsidRPr="00315B41">
        <w:rPr>
          <w:sz w:val="24"/>
        </w:rPr>
        <w:t>omework</w:t>
      </w:r>
      <w:r w:rsidR="00315B41">
        <w:rPr>
          <w:sz w:val="24"/>
        </w:rPr>
        <w:t xml:space="preserve"> </w:t>
      </w:r>
      <w:r w:rsidRPr="00315B41">
        <w:rPr>
          <w:sz w:val="24"/>
        </w:rPr>
        <w:t>assignments</w:t>
      </w:r>
      <w:r w:rsidR="00315B41">
        <w:rPr>
          <w:sz w:val="24"/>
        </w:rPr>
        <w:t>, and project assignments</w:t>
      </w:r>
      <w:r w:rsidRPr="00315B41">
        <w:rPr>
          <w:sz w:val="24"/>
        </w:rPr>
        <w:t xml:space="preserve"> will be made available</w:t>
      </w:r>
      <w:r w:rsidR="0013728A">
        <w:rPr>
          <w:sz w:val="24"/>
        </w:rPr>
        <w:t xml:space="preserve"> on CANVAS</w:t>
      </w:r>
      <w:r w:rsidR="00315B41">
        <w:rPr>
          <w:sz w:val="24"/>
        </w:rPr>
        <w:t>.</w:t>
      </w:r>
    </w:p>
    <w:p w:rsidR="00315B41" w:rsidRPr="00315B41" w:rsidRDefault="00315B41" w:rsidP="00315B41">
      <w:pPr>
        <w:pStyle w:val="ListParagraph"/>
        <w:tabs>
          <w:tab w:val="left" w:pos="450"/>
        </w:tabs>
        <w:spacing w:before="7"/>
        <w:ind w:left="450" w:right="40" w:firstLine="0"/>
        <w:rPr>
          <w:i/>
        </w:rPr>
      </w:pPr>
    </w:p>
    <w:p w:rsidR="000F5B30" w:rsidRDefault="00315B41">
      <w:pPr>
        <w:ind w:left="100" w:right="480"/>
        <w:rPr>
          <w:i/>
          <w:sz w:val="24"/>
        </w:rPr>
      </w:pPr>
      <w:r>
        <w:rPr>
          <w:i/>
          <w:sz w:val="24"/>
        </w:rPr>
        <w:t>The course syllabus is a general plan for the course; deviations announced to the class by the instructor may be necessary.</w:t>
      </w:r>
    </w:p>
    <w:sectPr w:rsidR="000F5B30">
      <w:pgSz w:w="12240" w:h="15840"/>
      <w:pgMar w:top="14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153B3"/>
    <w:multiLevelType w:val="hybridMultilevel"/>
    <w:tmpl w:val="A7363CCC"/>
    <w:lvl w:ilvl="0" w:tplc="F3CED13A">
      <w:start w:val="1"/>
      <w:numFmt w:val="lowerLetter"/>
      <w:lvlText w:val="(%1)"/>
      <w:lvlJc w:val="left"/>
      <w:pPr>
        <w:ind w:left="100" w:hanging="322"/>
      </w:pPr>
      <w:rPr>
        <w:rFonts w:ascii="Calibri" w:eastAsia="Calibri" w:hAnsi="Calibri" w:cs="Calibri" w:hint="default"/>
        <w:i/>
        <w:spacing w:val="-2"/>
        <w:w w:val="100"/>
        <w:sz w:val="24"/>
        <w:szCs w:val="24"/>
      </w:rPr>
    </w:lvl>
    <w:lvl w:ilvl="1" w:tplc="59545B28">
      <w:start w:val="1"/>
      <w:numFmt w:val="decimal"/>
      <w:lvlText w:val="%2."/>
      <w:lvlJc w:val="left"/>
      <w:pPr>
        <w:ind w:left="820" w:hanging="360"/>
      </w:pPr>
      <w:rPr>
        <w:rFonts w:hint="default"/>
        <w:spacing w:val="-4"/>
        <w:w w:val="100"/>
      </w:rPr>
    </w:lvl>
    <w:lvl w:ilvl="2" w:tplc="04090017">
      <w:start w:val="1"/>
      <w:numFmt w:val="lowerLetter"/>
      <w:lvlText w:val="%3)"/>
      <w:lvlJc w:val="left"/>
      <w:pPr>
        <w:ind w:left="1793" w:hanging="360"/>
      </w:pPr>
      <w:rPr>
        <w:rFonts w:hint="default"/>
      </w:rPr>
    </w:lvl>
    <w:lvl w:ilvl="3" w:tplc="7C3EEC4A">
      <w:numFmt w:val="bullet"/>
      <w:lvlText w:val="•"/>
      <w:lvlJc w:val="left"/>
      <w:pPr>
        <w:ind w:left="2766" w:hanging="360"/>
      </w:pPr>
      <w:rPr>
        <w:rFonts w:hint="default"/>
      </w:rPr>
    </w:lvl>
    <w:lvl w:ilvl="4" w:tplc="4FD65762">
      <w:numFmt w:val="bullet"/>
      <w:lvlText w:val="•"/>
      <w:lvlJc w:val="left"/>
      <w:pPr>
        <w:ind w:left="3740" w:hanging="360"/>
      </w:pPr>
      <w:rPr>
        <w:rFonts w:hint="default"/>
      </w:rPr>
    </w:lvl>
    <w:lvl w:ilvl="5" w:tplc="D57A68D6">
      <w:numFmt w:val="bullet"/>
      <w:lvlText w:val="•"/>
      <w:lvlJc w:val="left"/>
      <w:pPr>
        <w:ind w:left="4713" w:hanging="360"/>
      </w:pPr>
      <w:rPr>
        <w:rFonts w:hint="default"/>
      </w:rPr>
    </w:lvl>
    <w:lvl w:ilvl="6" w:tplc="52B2EC3A">
      <w:numFmt w:val="bullet"/>
      <w:lvlText w:val="•"/>
      <w:lvlJc w:val="left"/>
      <w:pPr>
        <w:ind w:left="5686" w:hanging="360"/>
      </w:pPr>
      <w:rPr>
        <w:rFonts w:hint="default"/>
      </w:rPr>
    </w:lvl>
    <w:lvl w:ilvl="7" w:tplc="26FE321A">
      <w:numFmt w:val="bullet"/>
      <w:lvlText w:val="•"/>
      <w:lvlJc w:val="left"/>
      <w:pPr>
        <w:ind w:left="6660" w:hanging="360"/>
      </w:pPr>
      <w:rPr>
        <w:rFonts w:hint="default"/>
      </w:rPr>
    </w:lvl>
    <w:lvl w:ilvl="8" w:tplc="86CE2180">
      <w:numFmt w:val="bullet"/>
      <w:lvlText w:val="•"/>
      <w:lvlJc w:val="left"/>
      <w:pPr>
        <w:ind w:left="7633" w:hanging="360"/>
      </w:pPr>
      <w:rPr>
        <w:rFonts w:hint="default"/>
      </w:rPr>
    </w:lvl>
  </w:abstractNum>
  <w:abstractNum w:abstractNumId="1" w15:restartNumberingAfterBreak="0">
    <w:nsid w:val="5BC55096"/>
    <w:multiLevelType w:val="hybridMultilevel"/>
    <w:tmpl w:val="A4B2DC24"/>
    <w:lvl w:ilvl="0" w:tplc="F3CED13A">
      <w:start w:val="1"/>
      <w:numFmt w:val="lowerLetter"/>
      <w:lvlText w:val="(%1)"/>
      <w:lvlJc w:val="left"/>
      <w:pPr>
        <w:ind w:left="100" w:hanging="322"/>
      </w:pPr>
      <w:rPr>
        <w:rFonts w:ascii="Calibri" w:eastAsia="Calibri" w:hAnsi="Calibri" w:cs="Calibri" w:hint="default"/>
        <w:i/>
        <w:spacing w:val="-2"/>
        <w:w w:val="100"/>
        <w:sz w:val="24"/>
        <w:szCs w:val="24"/>
      </w:rPr>
    </w:lvl>
    <w:lvl w:ilvl="1" w:tplc="59545B28">
      <w:start w:val="1"/>
      <w:numFmt w:val="decimal"/>
      <w:lvlText w:val="%2."/>
      <w:lvlJc w:val="left"/>
      <w:pPr>
        <w:ind w:left="820" w:hanging="360"/>
      </w:pPr>
      <w:rPr>
        <w:rFonts w:hint="default"/>
        <w:spacing w:val="-4"/>
        <w:w w:val="100"/>
      </w:rPr>
    </w:lvl>
    <w:lvl w:ilvl="2" w:tplc="667CFF5E">
      <w:numFmt w:val="bullet"/>
      <w:lvlText w:val="•"/>
      <w:lvlJc w:val="left"/>
      <w:pPr>
        <w:ind w:left="1793" w:hanging="360"/>
      </w:pPr>
      <w:rPr>
        <w:rFonts w:hint="default"/>
      </w:rPr>
    </w:lvl>
    <w:lvl w:ilvl="3" w:tplc="7C3EEC4A">
      <w:numFmt w:val="bullet"/>
      <w:lvlText w:val="•"/>
      <w:lvlJc w:val="left"/>
      <w:pPr>
        <w:ind w:left="2766" w:hanging="360"/>
      </w:pPr>
      <w:rPr>
        <w:rFonts w:hint="default"/>
      </w:rPr>
    </w:lvl>
    <w:lvl w:ilvl="4" w:tplc="4FD65762">
      <w:numFmt w:val="bullet"/>
      <w:lvlText w:val="•"/>
      <w:lvlJc w:val="left"/>
      <w:pPr>
        <w:ind w:left="3740" w:hanging="360"/>
      </w:pPr>
      <w:rPr>
        <w:rFonts w:hint="default"/>
      </w:rPr>
    </w:lvl>
    <w:lvl w:ilvl="5" w:tplc="D57A68D6">
      <w:numFmt w:val="bullet"/>
      <w:lvlText w:val="•"/>
      <w:lvlJc w:val="left"/>
      <w:pPr>
        <w:ind w:left="4713" w:hanging="360"/>
      </w:pPr>
      <w:rPr>
        <w:rFonts w:hint="default"/>
      </w:rPr>
    </w:lvl>
    <w:lvl w:ilvl="6" w:tplc="52B2EC3A">
      <w:numFmt w:val="bullet"/>
      <w:lvlText w:val="•"/>
      <w:lvlJc w:val="left"/>
      <w:pPr>
        <w:ind w:left="5686" w:hanging="360"/>
      </w:pPr>
      <w:rPr>
        <w:rFonts w:hint="default"/>
      </w:rPr>
    </w:lvl>
    <w:lvl w:ilvl="7" w:tplc="26FE321A">
      <w:numFmt w:val="bullet"/>
      <w:lvlText w:val="•"/>
      <w:lvlJc w:val="left"/>
      <w:pPr>
        <w:ind w:left="6660" w:hanging="360"/>
      </w:pPr>
      <w:rPr>
        <w:rFonts w:hint="default"/>
      </w:rPr>
    </w:lvl>
    <w:lvl w:ilvl="8" w:tplc="86CE2180">
      <w:numFmt w:val="bullet"/>
      <w:lvlText w:val="•"/>
      <w:lvlJc w:val="left"/>
      <w:pPr>
        <w:ind w:left="7633"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B30"/>
    <w:rsid w:val="000C35E0"/>
    <w:rsid w:val="000F5B30"/>
    <w:rsid w:val="0013728A"/>
    <w:rsid w:val="002C2FF3"/>
    <w:rsid w:val="00315B41"/>
    <w:rsid w:val="00456193"/>
    <w:rsid w:val="004A002E"/>
    <w:rsid w:val="006540EC"/>
    <w:rsid w:val="009C3B3A"/>
    <w:rsid w:val="00A95884"/>
    <w:rsid w:val="00AB1CAC"/>
    <w:rsid w:val="00BF5F74"/>
    <w:rsid w:val="00C04B12"/>
    <w:rsid w:val="00E22647"/>
    <w:rsid w:val="00F27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992675-BF80-4C7B-ADF4-95C1D2007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line="265" w:lineRule="exact"/>
      <w:ind w:left="103"/>
    </w:pPr>
  </w:style>
  <w:style w:type="character" w:styleId="HTMLCite">
    <w:name w:val="HTML Cite"/>
    <w:semiHidden/>
    <w:rsid w:val="00BF5F74"/>
    <w:rPr>
      <w:i/>
      <w:iCs/>
    </w:rPr>
  </w:style>
  <w:style w:type="character" w:styleId="Hyperlink">
    <w:name w:val="Hyperlink"/>
    <w:semiHidden/>
    <w:rsid w:val="00BF5F74"/>
    <w:rPr>
      <w:color w:val="0000FF"/>
      <w:u w:val="single"/>
    </w:rPr>
  </w:style>
  <w:style w:type="paragraph" w:customStyle="1" w:styleId="Bullets">
    <w:name w:val="Bullets"/>
    <w:basedOn w:val="Normal"/>
    <w:rsid w:val="00BF5F74"/>
    <w:pPr>
      <w:widowControl/>
      <w:autoSpaceDE/>
      <w:autoSpaceDN/>
      <w:ind w:left="1440" w:hanging="720"/>
      <w:jc w:val="both"/>
    </w:pPr>
    <w:rPr>
      <w:rFonts w:ascii="Times New Roman" w:eastAsia="Times New Roman" w:hAnsi="Times New Roman" w:cs="Times New Roman"/>
      <w:szCs w:val="20"/>
    </w:rPr>
  </w:style>
  <w:style w:type="character" w:styleId="FollowedHyperlink">
    <w:name w:val="FollowedHyperlink"/>
    <w:basedOn w:val="DefaultParagraphFont"/>
    <w:uiPriority w:val="99"/>
    <w:semiHidden/>
    <w:unhideWhenUsed/>
    <w:rsid w:val="00F278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eis.afit.edu/org/enstudents/en_senior_student_leaders/default.asp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DEPARTMENT OF THE AIR FORCE</vt:lpstr>
    </vt:vector>
  </TitlesOfParts>
  <Company/>
  <LinksUpToDate>false</LinksUpToDate>
  <CharactersWithSpaces>5711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THE AIR FORCE</dc:title>
  <dc:creator>Teresa E. Cunningham</dc:creator>
  <cp:lastModifiedBy>Graham, Scott R Civ USAF AETC AFIT/ENG</cp:lastModifiedBy>
  <cp:revision>7</cp:revision>
  <dcterms:created xsi:type="dcterms:W3CDTF">2017-12-28T21:40:00Z</dcterms:created>
  <dcterms:modified xsi:type="dcterms:W3CDTF">2018-12-31T20:54:00Z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2017-04-26T00:00:00Z</vt:filetime>
  </property>
  <property fmtid="{D5CDD505-2E9C-101B-9397-08002B2CF9AE}" pid="3" name="Creator">
    <vt:lpwstr>Microsoft® Word 2013</vt:lpwstr>
  </property>
  <property fmtid="{D5CDD505-2E9C-101B-9397-08002B2CF9AE}" pid="4" name="LastSaved">
    <vt:filetime>2017-05-05T00:00:00Z</vt:filetime>
  </property>
</Properties>
</file>