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CAD3" w14:textId="23753B6B" w:rsidR="00151E4B" w:rsidRPr="00C95C16" w:rsidRDefault="00151E4B" w:rsidP="00227A8C">
      <w:pPr>
        <w:spacing w:line="276" w:lineRule="auto"/>
        <w:jc w:val="center"/>
      </w:pPr>
      <w:r w:rsidRPr="00C95C16">
        <w:t>CSCE 692</w:t>
      </w:r>
      <w:r w:rsidR="00C95C16" w:rsidRPr="00C95C16">
        <w:t xml:space="preserve"> – Design Principles of Computer Architecture</w:t>
      </w:r>
    </w:p>
    <w:p w14:paraId="4F61AD87" w14:textId="7B610F04" w:rsidR="00C95C16" w:rsidRPr="00C95C16" w:rsidRDefault="00C95C16" w:rsidP="00227A8C">
      <w:pPr>
        <w:spacing w:line="276" w:lineRule="auto"/>
        <w:jc w:val="center"/>
      </w:pPr>
      <w:r w:rsidRPr="00C95C16">
        <w:t>Lab 2 – Processor Simulations Using SimpleScalar</w:t>
      </w:r>
    </w:p>
    <w:p w14:paraId="62F00FDF" w14:textId="0FB5F37C" w:rsidR="00151E4B" w:rsidRDefault="00C95C16" w:rsidP="00227A8C">
      <w:pPr>
        <w:spacing w:line="276" w:lineRule="auto"/>
        <w:jc w:val="center"/>
      </w:pPr>
      <w:r w:rsidRPr="00C95C16">
        <w:t>Second Lieutenant</w:t>
      </w:r>
      <w:r w:rsidR="002965BB" w:rsidRPr="00C95C16">
        <w:t xml:space="preserve"> </w:t>
      </w:r>
      <w:r w:rsidR="00151E4B" w:rsidRPr="00C95C16">
        <w:t>David Crow</w:t>
      </w:r>
      <w:r w:rsidRPr="00C95C16">
        <w:t xml:space="preserve"> – E</w:t>
      </w:r>
      <w:r w:rsidR="00151E4B" w:rsidRPr="00C95C16">
        <w:t>NG/20M</w:t>
      </w:r>
    </w:p>
    <w:p w14:paraId="0367802E" w14:textId="77777777" w:rsidR="00C95C16" w:rsidRPr="00C95C16" w:rsidRDefault="00C95C16" w:rsidP="00227A8C">
      <w:pPr>
        <w:spacing w:line="276" w:lineRule="auto"/>
        <w:jc w:val="both"/>
      </w:pPr>
    </w:p>
    <w:p w14:paraId="4CE61549" w14:textId="25D54FEA" w:rsidR="005F11A3" w:rsidRPr="00C95C16" w:rsidRDefault="005F11A3" w:rsidP="00227A8C">
      <w:pPr>
        <w:spacing w:line="276" w:lineRule="auto"/>
        <w:jc w:val="both"/>
        <w:rPr>
          <w:b/>
        </w:rPr>
      </w:pPr>
      <w:r w:rsidRPr="00C95C16">
        <w:rPr>
          <w:b/>
        </w:rPr>
        <w:t>Summary</w:t>
      </w:r>
    </w:p>
    <w:p w14:paraId="5DA35150" w14:textId="34AD12B8" w:rsidR="005F11A3" w:rsidRPr="00C95C16" w:rsidRDefault="005F11A3" w:rsidP="00227A8C">
      <w:pPr>
        <w:spacing w:line="276" w:lineRule="auto"/>
        <w:jc w:val="both"/>
      </w:pPr>
    </w:p>
    <w:p w14:paraId="7721B56B" w14:textId="2F96169B" w:rsidR="00C95C16" w:rsidRDefault="00CF142E" w:rsidP="00227A8C">
      <w:pPr>
        <w:spacing w:line="276" w:lineRule="auto"/>
        <w:ind w:left="720"/>
        <w:jc w:val="both"/>
      </w:pPr>
      <w:r>
        <w:t xml:space="preserve">In this lab, I </w:t>
      </w:r>
      <w:r w:rsidR="00720779">
        <w:t>test</w:t>
      </w:r>
      <w:r>
        <w:t xml:space="preserve"> different configurations of on-chip resources, processor size</w:t>
      </w:r>
      <w:r w:rsidR="00F0465A">
        <w:t>s</w:t>
      </w:r>
      <w:r>
        <w:t xml:space="preserve">, and performance optimization techniques. </w:t>
      </w:r>
      <w:r w:rsidR="00F0465A">
        <w:t xml:space="preserve">I do so within a Linux distribution capable of running SimpleScalar, a </w:t>
      </w:r>
      <w:r w:rsidR="00023462">
        <w:t>program that simulates the performance of micro</w:t>
      </w:r>
      <w:r w:rsidR="00F0465A">
        <w:t>processor</w:t>
      </w:r>
      <w:r w:rsidR="00023462">
        <w:t>s</w:t>
      </w:r>
      <w:r w:rsidR="00F0465A">
        <w:t xml:space="preserve">. This program allows me to vary the width of a processor, the branch prediction strategy, the order of instruction execution, and the number of arithmetic logic units, multipliers, and memory ports. To efficiently run multiple tests, I employ a few shell scripts to automate consecutive SimpleScalar simulations; each script then outputs results to several files. </w:t>
      </w:r>
    </w:p>
    <w:p w14:paraId="76E30CF9" w14:textId="7F75B0A1" w:rsidR="00720779" w:rsidRDefault="00720779" w:rsidP="00227A8C">
      <w:pPr>
        <w:spacing w:line="276" w:lineRule="auto"/>
        <w:ind w:left="720"/>
        <w:jc w:val="both"/>
      </w:pPr>
    </w:p>
    <w:p w14:paraId="6105FA36" w14:textId="5DD2D93E" w:rsidR="00720779" w:rsidRDefault="00720779" w:rsidP="00227A8C">
      <w:pPr>
        <w:spacing w:line="276" w:lineRule="auto"/>
        <w:ind w:left="720"/>
        <w:jc w:val="both"/>
      </w:pPr>
      <w:r>
        <w:t>In my analysis of the results, I evaluate the relative speed of each simulated processor. As expected, I find that processors with more available resources and better optimization techniques (e.g. a more sophisticated branch prediction strategy) perform at a higher level.</w:t>
      </w:r>
    </w:p>
    <w:p w14:paraId="658B5B31" w14:textId="0C3463D1" w:rsidR="00C95C16" w:rsidRDefault="00C95C16" w:rsidP="00227A8C">
      <w:pPr>
        <w:spacing w:line="276" w:lineRule="auto"/>
        <w:jc w:val="both"/>
      </w:pPr>
    </w:p>
    <w:p w14:paraId="50E60C6F" w14:textId="4D0DB578" w:rsidR="005049B6" w:rsidRDefault="005049B6" w:rsidP="00227A8C">
      <w:pPr>
        <w:spacing w:line="276" w:lineRule="auto"/>
        <w:jc w:val="both"/>
      </w:pPr>
      <w:r>
        <w:rPr>
          <w:b/>
        </w:rPr>
        <w:t>Methodology</w:t>
      </w:r>
    </w:p>
    <w:p w14:paraId="2F746BF7" w14:textId="205EA798" w:rsidR="005049B6" w:rsidRDefault="005049B6" w:rsidP="00227A8C">
      <w:pPr>
        <w:spacing w:line="276" w:lineRule="auto"/>
        <w:jc w:val="both"/>
      </w:pPr>
    </w:p>
    <w:p w14:paraId="6A5022EB" w14:textId="6CD375B9" w:rsidR="005049B6" w:rsidRDefault="00366177" w:rsidP="00227A8C">
      <w:pPr>
        <w:spacing w:line="276" w:lineRule="auto"/>
        <w:ind w:left="720"/>
        <w:jc w:val="both"/>
      </w:pPr>
      <w:r>
        <w:t xml:space="preserve">Results were obtained using the SimpleScalar simulation tool. </w:t>
      </w:r>
      <w:r w:rsidR="00B85D3C">
        <w:t>I</w:t>
      </w:r>
      <w:r>
        <w:t xml:space="preserve"> download</w:t>
      </w:r>
      <w:r w:rsidR="00B85D3C">
        <w:t>ed</w:t>
      </w:r>
      <w:r>
        <w:t xml:space="preserve"> SimpleScalar 3.0 onto a virtual Ubuntu 16.04 installation running within Parallels 13 on OSX Mojave</w:t>
      </w:r>
      <w:r w:rsidR="00B85D3C">
        <w:t xml:space="preserve"> and then</w:t>
      </w:r>
      <w:r>
        <w:t xml:space="preserve"> built a target for a portable instruction set architecture. After verifying the correctness of the installation (by comparing a set of test output data to a set of expected output data), I created a few shell scripts to automate testing. </w:t>
      </w:r>
      <w:r w:rsidR="008639BB">
        <w:t xml:space="preserve">All shell scripts can be viewed in </w:t>
      </w:r>
      <w:r w:rsidR="008639BB" w:rsidRPr="00B85D3C">
        <w:rPr>
          <w:rFonts w:ascii="Consolas" w:hAnsi="Consolas" w:cs="Consolas"/>
        </w:rPr>
        <w:t>Appendix.zip</w:t>
      </w:r>
      <w:r w:rsidR="008639BB">
        <w:t>.</w:t>
      </w:r>
    </w:p>
    <w:p w14:paraId="165CBBE2" w14:textId="7EA0957B" w:rsidR="00AC7192" w:rsidRDefault="00AC7192" w:rsidP="00227A8C">
      <w:pPr>
        <w:spacing w:line="276" w:lineRule="auto"/>
        <w:ind w:left="720"/>
        <w:jc w:val="both"/>
      </w:pPr>
    </w:p>
    <w:p w14:paraId="71937B5A" w14:textId="4BCC3F08" w:rsidR="00AC7192" w:rsidRDefault="00336644" w:rsidP="00227A8C">
      <w:pPr>
        <w:spacing w:line="276" w:lineRule="auto"/>
        <w:ind w:left="720"/>
        <w:jc w:val="both"/>
      </w:pPr>
      <w:r>
        <w:t xml:space="preserve">In </w:t>
      </w:r>
      <w:r w:rsidRPr="00336644">
        <w:rPr>
          <w:rFonts w:ascii="Consolas" w:hAnsi="Consolas" w:cs="Consolas"/>
        </w:rPr>
        <w:t>processor_width.sh</w:t>
      </w:r>
      <w:r>
        <w:t xml:space="preserve">, I pass the file’s input – namely, the width of a processor, the order of instruction execution, and the number of </w:t>
      </w:r>
      <w:r w:rsidR="00B85D3C">
        <w:t>arithmetic logic units (AMUs)</w:t>
      </w:r>
      <w:r>
        <w:t xml:space="preserve">, </w:t>
      </w:r>
      <w:proofErr w:type="spellStart"/>
      <w:r w:rsidR="00B85D3C">
        <w:t>mulitpliers</w:t>
      </w:r>
      <w:proofErr w:type="spellEnd"/>
      <w:r>
        <w:t xml:space="preserve">, and memory ports – to SimpleScalar. After redirecting both </w:t>
      </w:r>
      <w:proofErr w:type="spellStart"/>
      <w:r w:rsidRPr="00336644">
        <w:rPr>
          <w:rFonts w:ascii="Consolas" w:hAnsi="Consolas" w:cs="Consolas"/>
        </w:rPr>
        <w:t>stdout</w:t>
      </w:r>
      <w:proofErr w:type="spellEnd"/>
      <w:r>
        <w:t xml:space="preserve"> and </w:t>
      </w:r>
      <w:r w:rsidR="00F73FB7">
        <w:rPr>
          <w:rFonts w:ascii="Consolas" w:hAnsi="Consolas" w:cs="Consolas"/>
        </w:rPr>
        <w:t>stderr</w:t>
      </w:r>
      <w:r>
        <w:t xml:space="preserve"> to their own files, I compare the simulation output to the expected output and store the results of the </w:t>
      </w:r>
      <w:r w:rsidRPr="00336644">
        <w:rPr>
          <w:rFonts w:ascii="Consolas" w:hAnsi="Consolas" w:cs="Consolas"/>
        </w:rPr>
        <w:t>diff</w:t>
      </w:r>
      <w:r>
        <w:t xml:space="preserve"> in a third output file.</w:t>
      </w:r>
    </w:p>
    <w:p w14:paraId="05BD3772" w14:textId="4704CFCE" w:rsidR="00336644" w:rsidRDefault="00336644" w:rsidP="00227A8C">
      <w:pPr>
        <w:spacing w:line="276" w:lineRule="auto"/>
        <w:ind w:left="720"/>
        <w:jc w:val="both"/>
      </w:pPr>
    </w:p>
    <w:p w14:paraId="1EA4DEF1" w14:textId="2331859C" w:rsidR="00336644" w:rsidRDefault="00336644" w:rsidP="00227A8C">
      <w:pPr>
        <w:spacing w:line="276" w:lineRule="auto"/>
        <w:ind w:left="720"/>
        <w:jc w:val="both"/>
      </w:pPr>
      <w:r>
        <w:t xml:space="preserve">The file </w:t>
      </w:r>
      <w:r w:rsidRPr="00336644">
        <w:rPr>
          <w:rFonts w:ascii="Consolas" w:hAnsi="Consolas" w:cs="Consolas"/>
        </w:rPr>
        <w:t>processor_width_repeater.sh</w:t>
      </w:r>
      <w:r>
        <w:t xml:space="preserve"> allows me to run </w:t>
      </w:r>
      <w:r w:rsidRPr="00336644">
        <w:rPr>
          <w:rFonts w:ascii="Consolas" w:hAnsi="Consolas" w:cs="Consolas"/>
        </w:rPr>
        <w:t>processor_width.sh</w:t>
      </w:r>
      <w:r>
        <w:t xml:space="preserve"> multiple times with different input values.</w:t>
      </w:r>
      <w:r w:rsidR="00EE302D">
        <w:t xml:space="preserve"> W</w:t>
      </w:r>
      <w:r>
        <w:t xml:space="preserve">hen I execute the script in </w:t>
      </w:r>
      <w:r w:rsidRPr="00336644">
        <w:rPr>
          <w:rFonts w:ascii="Consolas" w:hAnsi="Consolas" w:cs="Consolas"/>
        </w:rPr>
        <w:t>processor_width_repeater.sh</w:t>
      </w:r>
      <w:r w:rsidRPr="00336644">
        <w:t xml:space="preserve">, </w:t>
      </w:r>
      <w:r w:rsidR="00D7645F">
        <w:t>twenty-four</w:t>
      </w:r>
      <w:r>
        <w:t xml:space="preserve"> </w:t>
      </w:r>
      <w:r w:rsidR="00F73FB7">
        <w:rPr>
          <w:rFonts w:ascii="Consolas" w:hAnsi="Consolas" w:cs="Consolas"/>
        </w:rPr>
        <w:t>stderr</w:t>
      </w:r>
      <w:r>
        <w:t xml:space="preserve">, </w:t>
      </w:r>
      <w:proofErr w:type="spellStart"/>
      <w:r w:rsidRPr="00336644">
        <w:rPr>
          <w:rFonts w:ascii="Consolas" w:hAnsi="Consolas" w:cs="Consolas"/>
        </w:rPr>
        <w:t>stdout</w:t>
      </w:r>
      <w:proofErr w:type="spellEnd"/>
      <w:r>
        <w:t xml:space="preserve">, and </w:t>
      </w:r>
      <w:r w:rsidRPr="00336644">
        <w:rPr>
          <w:rFonts w:ascii="Consolas" w:hAnsi="Consolas" w:cs="Consolas"/>
        </w:rPr>
        <w:t>diff</w:t>
      </w:r>
      <w:r>
        <w:t xml:space="preserve"> files are generated</w:t>
      </w:r>
      <w:r w:rsidR="00E84380">
        <w:t xml:space="preserve"> – one of each for each of the eight different simulation</w:t>
      </w:r>
      <w:r w:rsidR="000E2576">
        <w:t xml:space="preserve"> configurations.</w:t>
      </w:r>
    </w:p>
    <w:p w14:paraId="49329B92" w14:textId="35870888" w:rsidR="00336644" w:rsidRDefault="00336644" w:rsidP="00227A8C">
      <w:pPr>
        <w:spacing w:line="276" w:lineRule="auto"/>
        <w:ind w:left="720"/>
        <w:jc w:val="both"/>
      </w:pPr>
    </w:p>
    <w:p w14:paraId="185F10BE" w14:textId="7F58ECEA" w:rsidR="00336644" w:rsidRPr="005049B6" w:rsidRDefault="00336644" w:rsidP="00227A8C">
      <w:pPr>
        <w:spacing w:line="276" w:lineRule="auto"/>
        <w:ind w:left="720"/>
        <w:jc w:val="both"/>
      </w:pPr>
      <w:r>
        <w:t xml:space="preserve">The files </w:t>
      </w:r>
      <w:r w:rsidRPr="00336644">
        <w:rPr>
          <w:rFonts w:ascii="Consolas" w:hAnsi="Consolas" w:cs="Consolas"/>
        </w:rPr>
        <w:t>branch_predictor.sh</w:t>
      </w:r>
      <w:r>
        <w:t xml:space="preserve"> and </w:t>
      </w:r>
      <w:r w:rsidRPr="00336644">
        <w:rPr>
          <w:rFonts w:ascii="Consolas" w:hAnsi="Consolas" w:cs="Consolas"/>
        </w:rPr>
        <w:t>branch_predictor_repeater.sh</w:t>
      </w:r>
      <w:r>
        <w:t xml:space="preserve"> behave similarly to </w:t>
      </w:r>
      <w:r w:rsidRPr="00336644">
        <w:rPr>
          <w:rFonts w:ascii="Consolas" w:hAnsi="Consolas" w:cs="Consolas"/>
        </w:rPr>
        <w:t>processor_width.sh</w:t>
      </w:r>
      <w:r>
        <w:t xml:space="preserve"> and </w:t>
      </w:r>
      <w:r w:rsidRPr="00336644">
        <w:rPr>
          <w:rFonts w:ascii="Consolas" w:hAnsi="Consolas" w:cs="Consolas"/>
        </w:rPr>
        <w:t>processor_width_repeater.sh</w:t>
      </w:r>
      <w:r>
        <w:t xml:space="preserve">, respectively. However, these files allow me to test different configurations of branch </w:t>
      </w:r>
      <w:r>
        <w:lastRenderedPageBreak/>
        <w:t>prediction strategy and order of execution instruction</w:t>
      </w:r>
      <w:r w:rsidR="00D06B8B">
        <w:t xml:space="preserve"> (as opposed to testing the processor width, number of ALUs, </w:t>
      </w:r>
      <w:r w:rsidR="00AD2CC9">
        <w:t>etc.</w:t>
      </w:r>
      <w:r w:rsidR="00D06B8B">
        <w:t>)</w:t>
      </w:r>
      <w:r>
        <w:t>.</w:t>
      </w:r>
      <w:r w:rsidR="00087BBF">
        <w:t xml:space="preserve"> They, too, generate several output files for later analysis.</w:t>
      </w:r>
    </w:p>
    <w:p w14:paraId="28754959" w14:textId="77777777" w:rsidR="005049B6" w:rsidRDefault="005049B6" w:rsidP="00227A8C">
      <w:pPr>
        <w:spacing w:line="276" w:lineRule="auto"/>
        <w:jc w:val="both"/>
      </w:pPr>
    </w:p>
    <w:p w14:paraId="288D45EF" w14:textId="25E6E5EA" w:rsidR="007362E0" w:rsidRPr="007362E0" w:rsidRDefault="005D2A90" w:rsidP="00227A8C">
      <w:pPr>
        <w:spacing w:line="276" w:lineRule="auto"/>
        <w:jc w:val="both"/>
        <w:rPr>
          <w:b/>
        </w:rPr>
      </w:pPr>
      <w:r w:rsidRPr="00C95C16">
        <w:rPr>
          <w:b/>
        </w:rPr>
        <w:t>Results</w:t>
      </w:r>
    </w:p>
    <w:p w14:paraId="4EB64AED" w14:textId="77777777" w:rsidR="007362E0" w:rsidRDefault="007362E0" w:rsidP="00227A8C">
      <w:pPr>
        <w:spacing w:line="276" w:lineRule="auto"/>
        <w:jc w:val="both"/>
      </w:pPr>
    </w:p>
    <w:p w14:paraId="03C29E9F" w14:textId="41006A00" w:rsidR="003565FC" w:rsidRDefault="003565FC" w:rsidP="00227A8C">
      <w:pPr>
        <w:spacing w:line="276" w:lineRule="auto"/>
        <w:ind w:left="720"/>
        <w:jc w:val="both"/>
      </w:pPr>
      <w:r>
        <w:t xml:space="preserve">Results are summarized in the tables below. </w:t>
      </w:r>
      <w:r w:rsidR="00F84116">
        <w:t>Table 1 shows the results of experiment 1, in which</w:t>
      </w:r>
      <w:r>
        <w:t xml:space="preserve"> I evaluated </w:t>
      </w:r>
      <w:r w:rsidR="00F84116">
        <w:t xml:space="preserve">four different configurations of available resources for both in-order and out-of-order instruction execution. For each of the eight trials, I listed the cycles per instruction (CPI) as given in the SimpleScalar output. I also computed the relative speedup, where </w:t>
      </w:r>
      <w:r w:rsidR="00F84116">
        <w:rPr>
          <w:i/>
        </w:rPr>
        <w:t>relative</w:t>
      </w:r>
      <w:r w:rsidR="00F84116">
        <w:t xml:space="preserve"> means </w:t>
      </w:r>
      <w:r w:rsidR="00F84116">
        <w:rPr>
          <w:i/>
        </w:rPr>
        <w:t xml:space="preserve">relative to a </w:t>
      </w:r>
      <w:r w:rsidR="00B85D3C">
        <w:rPr>
          <w:i/>
        </w:rPr>
        <w:t>processor</w:t>
      </w:r>
      <w:r w:rsidR="00F84116">
        <w:rPr>
          <w:i/>
        </w:rPr>
        <w:t xml:space="preserve"> of width 1 with in-order execution</w:t>
      </w:r>
      <w:r w:rsidR="00F84116">
        <w:t xml:space="preserve">, for each of the eight trials. </w:t>
      </w:r>
      <w:r w:rsidR="008D4C90">
        <w:t>Relative speedup was calculated using Amdahl’s Law</w:t>
      </w:r>
      <w:r w:rsidR="00E55654">
        <w:t xml:space="preserve"> – as</w:t>
      </w:r>
      <w:r w:rsidR="003E4D7E">
        <w:t xml:space="preserve"> </w:t>
      </w:r>
      <w:r w:rsidR="00E55654">
        <w:t xml:space="preserve">given on page 49 of Hennessy and Patterson </w:t>
      </w:r>
      <w:r w:rsidR="00216289">
        <w:t xml:space="preserve">(2019) </w:t>
      </w:r>
      <w:r w:rsidR="00E55654">
        <w:t xml:space="preserve">– which </w:t>
      </w:r>
      <w:r w:rsidR="008D4C90">
        <w:t xml:space="preserve">says </w:t>
      </w:r>
    </w:p>
    <w:p w14:paraId="3141988A" w14:textId="3C85BEB3" w:rsidR="008D4C90" w:rsidRDefault="008D4C90" w:rsidP="00227A8C">
      <w:pPr>
        <w:spacing w:line="276" w:lineRule="auto"/>
        <w:ind w:left="720"/>
        <w:jc w:val="both"/>
      </w:pPr>
    </w:p>
    <w:p w14:paraId="71F1A753" w14:textId="3AA4327E" w:rsidR="008D4C90" w:rsidRPr="008D4C90" w:rsidRDefault="008D4C90" w:rsidP="00227A8C">
      <w:pPr>
        <w:spacing w:line="276" w:lineRule="auto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execution time for entire task without using the enhancement</m:t>
              </m:r>
            </m:num>
            <m:den>
              <m:r>
                <w:rPr>
                  <w:rFonts w:ascii="Cambria Math" w:hAnsi="Cambria Math"/>
                </w:rPr>
                <m:t>execution time for entire task using the enhancement when possible</m:t>
              </m:r>
            </m:den>
          </m:f>
        </m:oMath>
      </m:oMathPara>
    </w:p>
    <w:p w14:paraId="4831EA68" w14:textId="59A71EFF" w:rsidR="008D4C90" w:rsidRDefault="008D4C90" w:rsidP="00227A8C">
      <w:pPr>
        <w:spacing w:line="276" w:lineRule="auto"/>
        <w:ind w:left="720"/>
        <w:jc w:val="both"/>
      </w:pPr>
    </w:p>
    <w:p w14:paraId="7B5D0E26" w14:textId="56637060" w:rsidR="008D4C90" w:rsidRDefault="008D4C90" w:rsidP="00227A8C">
      <w:pPr>
        <w:spacing w:line="276" w:lineRule="auto"/>
        <w:ind w:left="720"/>
        <w:jc w:val="both"/>
      </w:pPr>
      <w:r>
        <w:t>Of course, SimpleScalar does not give a simulation’s execution time as output; instead, I compared CPI values. For example, I calculated the relative speedup for the second row of Table 1 in this way:</w:t>
      </w:r>
    </w:p>
    <w:p w14:paraId="3FDB0285" w14:textId="4FFC7485" w:rsidR="008D4C90" w:rsidRDefault="008D4C90" w:rsidP="00227A8C">
      <w:pPr>
        <w:spacing w:line="276" w:lineRule="auto"/>
        <w:ind w:left="720"/>
        <w:jc w:val="both"/>
      </w:pPr>
    </w:p>
    <w:p w14:paraId="230EE1BE" w14:textId="79822611" w:rsidR="008D4C90" w:rsidRPr="008D4C90" w:rsidRDefault="008D4C90" w:rsidP="00227A8C">
      <w:pPr>
        <w:spacing w:line="276" w:lineRule="auto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1.4873</m:t>
              </m:r>
            </m:num>
            <m:den>
              <m:r>
                <w:rPr>
                  <w:rFonts w:ascii="Cambria Math" w:hAnsi="Cambria Math"/>
                </w:rPr>
                <m:t>1.3308</m:t>
              </m:r>
            </m:den>
          </m:f>
          <m:r>
            <w:rPr>
              <w:rFonts w:ascii="Cambria Math" w:hAnsi="Cambria Math"/>
            </w:rPr>
            <m:t>=1.1176</m:t>
          </m:r>
        </m:oMath>
      </m:oMathPara>
    </w:p>
    <w:p w14:paraId="31980DD9" w14:textId="3158040B" w:rsidR="008D4C90" w:rsidRDefault="008D4C90" w:rsidP="00227A8C">
      <w:pPr>
        <w:spacing w:line="276" w:lineRule="auto"/>
        <w:jc w:val="both"/>
      </w:pPr>
    </w:p>
    <w:p w14:paraId="189FD50B" w14:textId="1A580D30" w:rsidR="008D4C90" w:rsidRDefault="008D4C90" w:rsidP="00227A8C">
      <w:pPr>
        <w:spacing w:line="276" w:lineRule="auto"/>
        <w:ind w:left="720"/>
        <w:jc w:val="both"/>
      </w:pPr>
      <w:r>
        <w:t xml:space="preserve">Note, however, that CPIs are not the only way to approximate execution time. SimpleScalar, among other values, outputs the total simulation time in </w:t>
      </w:r>
      <w:r w:rsidR="00873DFA">
        <w:t>cycles</w:t>
      </w:r>
      <w:r>
        <w:t xml:space="preserve"> for a given simulation. We can also use this value to approximate the execution time. For the second row of Table 1, </w:t>
      </w:r>
    </w:p>
    <w:p w14:paraId="5CDF4CFB" w14:textId="7D991DBC" w:rsidR="008D4C90" w:rsidRDefault="008D4C90" w:rsidP="00227A8C">
      <w:pPr>
        <w:spacing w:line="276" w:lineRule="auto"/>
        <w:ind w:left="720"/>
        <w:jc w:val="both"/>
      </w:pPr>
    </w:p>
    <w:p w14:paraId="7616AC5B" w14:textId="2292D664" w:rsidR="008D4C90" w:rsidRPr="008D4C90" w:rsidRDefault="008D4C90" w:rsidP="00227A8C">
      <w:pPr>
        <w:spacing w:line="276" w:lineRule="auto"/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total simulation time in </m:t>
              </m:r>
              <m:r>
                <w:rPr>
                  <w:rFonts w:ascii="Cambria Math" w:hAnsi="Cambria Math"/>
                </w:rPr>
                <m:t>cycle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total simulation time in </m:t>
              </m:r>
              <m:r>
                <w:rPr>
                  <w:rFonts w:ascii="Cambria Math" w:hAnsi="Cambria Math"/>
                </w:rPr>
                <m:t>cycle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119623639</m:t>
              </m:r>
            </m:num>
            <m:den>
              <m:r>
                <w:rPr>
                  <w:rFonts w:ascii="Cambria Math" w:hAnsi="Cambria Math"/>
                </w:rPr>
                <m:t>107036570</m:t>
              </m:r>
            </m:den>
          </m:f>
          <m:r>
            <w:rPr>
              <w:rFonts w:ascii="Cambria Math" w:hAnsi="Cambria Math"/>
            </w:rPr>
            <m:t>=1.1176</m:t>
          </m:r>
        </m:oMath>
      </m:oMathPara>
    </w:p>
    <w:p w14:paraId="7E495539" w14:textId="5E5764F1" w:rsidR="008D4C90" w:rsidRDefault="008D4C90" w:rsidP="00227A8C">
      <w:pPr>
        <w:spacing w:line="276" w:lineRule="auto"/>
        <w:ind w:left="720"/>
        <w:jc w:val="both"/>
      </w:pPr>
    </w:p>
    <w:p w14:paraId="59C8477E" w14:textId="622B1D20" w:rsidR="008D4C90" w:rsidRDefault="008D4C90" w:rsidP="00227A8C">
      <w:pPr>
        <w:spacing w:line="276" w:lineRule="auto"/>
        <w:ind w:left="720"/>
        <w:jc w:val="both"/>
      </w:pPr>
      <w:r>
        <w:t xml:space="preserve">We should expect </w:t>
      </w:r>
      <w:r w:rsidR="00BA425F">
        <w:t xml:space="preserve">either </w:t>
      </w:r>
      <w:r>
        <w:t xml:space="preserve">CPI or total simulation time in </w:t>
      </w:r>
      <w:r w:rsidR="003F5448">
        <w:t>cycles</w:t>
      </w:r>
      <w:r>
        <w:t xml:space="preserve"> </w:t>
      </w:r>
      <w:r w:rsidR="00BA425F">
        <w:t xml:space="preserve">(or both) </w:t>
      </w:r>
      <w:r>
        <w:t>to effectively approximate execution time, and the fact that the relative speedup for the two metrics is equivalent over all configurations is reassuring.</w:t>
      </w:r>
    </w:p>
    <w:p w14:paraId="149D4A05" w14:textId="712D707D" w:rsidR="00BA425F" w:rsidRDefault="00BA425F" w:rsidP="00227A8C">
      <w:pPr>
        <w:spacing w:line="276" w:lineRule="auto"/>
        <w:ind w:left="720"/>
        <w:jc w:val="both"/>
      </w:pPr>
    </w:p>
    <w:p w14:paraId="774160F8" w14:textId="5150B5FF" w:rsidR="00BA425F" w:rsidRDefault="00BA425F" w:rsidP="00227A8C">
      <w:pPr>
        <w:spacing w:line="276" w:lineRule="auto"/>
        <w:ind w:left="720"/>
        <w:jc w:val="both"/>
      </w:pPr>
      <w:r>
        <w:t>Table 2</w:t>
      </w:r>
      <w:r w:rsidR="00B86AFF">
        <w:t xml:space="preserve"> shows the result of a similar experiment</w:t>
      </w:r>
      <w:r>
        <w:t xml:space="preserve">. </w:t>
      </w:r>
      <w:r w:rsidR="00A2383E">
        <w:t>However, i</w:t>
      </w:r>
      <w:r>
        <w:t xml:space="preserve">nstead of varying the width of the processor, the number of ALUs, the number of </w:t>
      </w:r>
      <w:r w:rsidR="00F95944">
        <w:t>multipliers</w:t>
      </w:r>
      <w:r>
        <w:t>, and the number of memory ports, I varied the branch prediction strategy</w:t>
      </w:r>
      <w:r w:rsidR="00C85E7F">
        <w:t xml:space="preserve"> (to maintain consistency, I used a processor </w:t>
      </w:r>
      <w:r w:rsidR="00EF1164">
        <w:t xml:space="preserve">of </w:t>
      </w:r>
      <w:r w:rsidR="00C85E7F">
        <w:t>width four</w:t>
      </w:r>
      <w:r w:rsidR="00EF1164">
        <w:t xml:space="preserve"> with </w:t>
      </w:r>
      <w:r w:rsidR="00C85E7F">
        <w:t xml:space="preserve">three ALUs, two </w:t>
      </w:r>
      <w:r w:rsidR="0006719D">
        <w:t>multipliers</w:t>
      </w:r>
      <w:r w:rsidR="00C85E7F">
        <w:t>, and two memory ports)</w:t>
      </w:r>
      <w:r>
        <w:t xml:space="preserve">. Again, I </w:t>
      </w:r>
      <w:r w:rsidR="00465760">
        <w:t>tested</w:t>
      </w:r>
      <w:r>
        <w:t xml:space="preserve"> each </w:t>
      </w:r>
      <w:r w:rsidR="00465760">
        <w:t>configuration</w:t>
      </w:r>
      <w:r>
        <w:t xml:space="preserve"> once with in-order execution and once with out-of-order execution. CPIs were given by SimpleScalar, and relative speedup</w:t>
      </w:r>
      <w:r w:rsidR="00C13F6D">
        <w:t>s</w:t>
      </w:r>
      <w:r>
        <w:t xml:space="preserve"> </w:t>
      </w:r>
      <w:r w:rsidR="00C13F6D">
        <w:t>were</w:t>
      </w:r>
      <w:r>
        <w:t xml:space="preserve"> calculated exactly as in Table 1.</w:t>
      </w:r>
    </w:p>
    <w:p w14:paraId="07C4134C" w14:textId="0824EDC1" w:rsidR="007857FB" w:rsidRDefault="007857FB" w:rsidP="00227A8C">
      <w:pPr>
        <w:spacing w:line="276" w:lineRule="auto"/>
        <w:ind w:left="720"/>
        <w:jc w:val="both"/>
      </w:pPr>
    </w:p>
    <w:p w14:paraId="0BC1BFDC" w14:textId="5B776814" w:rsidR="007857FB" w:rsidRPr="003C17CA" w:rsidRDefault="007857FB" w:rsidP="00227A8C">
      <w:pPr>
        <w:spacing w:line="276" w:lineRule="auto"/>
        <w:ind w:left="720"/>
        <w:jc w:val="both"/>
        <w:rPr>
          <w:b/>
        </w:rPr>
      </w:pPr>
      <w:r w:rsidRPr="003C17CA">
        <w:rPr>
          <w:b/>
        </w:rPr>
        <w:t>Table 1:</w:t>
      </w:r>
      <w:r w:rsidR="000147CB" w:rsidRPr="003C17CA">
        <w:rPr>
          <w:b/>
        </w:rPr>
        <w:t xml:space="preserve"> </w:t>
      </w:r>
      <w:r w:rsidRPr="003C17CA">
        <w:rPr>
          <w:b/>
        </w:rPr>
        <w:t xml:space="preserve">CPI and relative speedup when varying the width of the processor, the order of execution, and the number of </w:t>
      </w:r>
      <w:r w:rsidR="00A12560" w:rsidRPr="003C17CA">
        <w:rPr>
          <w:b/>
        </w:rPr>
        <w:t>ALUs</w:t>
      </w:r>
      <w:r w:rsidRPr="003C17CA">
        <w:rPr>
          <w:b/>
        </w:rPr>
        <w:t xml:space="preserve">, </w:t>
      </w:r>
      <w:r w:rsidR="00A12560" w:rsidRPr="003C17CA">
        <w:rPr>
          <w:b/>
        </w:rPr>
        <w:t>m</w:t>
      </w:r>
      <w:r w:rsidRPr="003C17CA">
        <w:rPr>
          <w:b/>
        </w:rPr>
        <w:t>ultiplier</w:t>
      </w:r>
      <w:r w:rsidR="00A12560" w:rsidRPr="003C17CA">
        <w:rPr>
          <w:b/>
        </w:rPr>
        <w:t>s</w:t>
      </w:r>
      <w:r w:rsidRPr="003C17CA">
        <w:rPr>
          <w:b/>
        </w:rPr>
        <w:t>, and memory ports</w:t>
      </w:r>
    </w:p>
    <w:p w14:paraId="4EA53375" w14:textId="0A8D15D5" w:rsidR="005F11A3" w:rsidRPr="00C95C16" w:rsidRDefault="005F11A3" w:rsidP="00227A8C">
      <w:pPr>
        <w:spacing w:line="276" w:lineRule="auto"/>
        <w:jc w:val="both"/>
      </w:pPr>
      <w:r w:rsidRPr="00C95C16">
        <w:t xml:space="preserve"> </w:t>
      </w:r>
    </w:p>
    <w:tbl>
      <w:tblPr>
        <w:tblStyle w:val="TableGrid"/>
        <w:tblW w:w="8815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075"/>
        <w:gridCol w:w="1080"/>
        <w:gridCol w:w="1350"/>
        <w:gridCol w:w="1170"/>
        <w:gridCol w:w="1440"/>
        <w:gridCol w:w="1440"/>
        <w:gridCol w:w="1260"/>
      </w:tblGrid>
      <w:tr w:rsidR="007857FB" w:rsidRPr="00C95C16" w14:paraId="44C2AC59" w14:textId="77777777" w:rsidTr="007857FB">
        <w:tc>
          <w:tcPr>
            <w:tcW w:w="1075" w:type="dxa"/>
            <w:vAlign w:val="center"/>
          </w:tcPr>
          <w:p w14:paraId="05A0FB90" w14:textId="77777777" w:rsidR="007857FB" w:rsidRPr="00C95C16" w:rsidRDefault="007857FB" w:rsidP="00227A8C">
            <w:pPr>
              <w:spacing w:line="276" w:lineRule="auto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Machine Width</w:t>
            </w:r>
          </w:p>
        </w:tc>
        <w:tc>
          <w:tcPr>
            <w:tcW w:w="1080" w:type="dxa"/>
            <w:vAlign w:val="center"/>
          </w:tcPr>
          <w:p w14:paraId="0BDF6C4D" w14:textId="77777777" w:rsidR="007857FB" w:rsidRPr="00C95C16" w:rsidRDefault="007857FB" w:rsidP="00227A8C">
            <w:pPr>
              <w:spacing w:line="276" w:lineRule="auto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Integer ALUs</w:t>
            </w:r>
          </w:p>
        </w:tc>
        <w:tc>
          <w:tcPr>
            <w:tcW w:w="1350" w:type="dxa"/>
            <w:vAlign w:val="center"/>
          </w:tcPr>
          <w:p w14:paraId="154A872A" w14:textId="77777777" w:rsidR="007857FB" w:rsidRPr="00C95C16" w:rsidRDefault="007857FB" w:rsidP="00227A8C">
            <w:pPr>
              <w:spacing w:line="276" w:lineRule="auto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Integer Multipliers</w:t>
            </w:r>
          </w:p>
        </w:tc>
        <w:tc>
          <w:tcPr>
            <w:tcW w:w="1170" w:type="dxa"/>
            <w:vAlign w:val="center"/>
          </w:tcPr>
          <w:p w14:paraId="67300AC8" w14:textId="77777777" w:rsidR="007857FB" w:rsidRPr="00C95C16" w:rsidRDefault="007857FB" w:rsidP="00227A8C">
            <w:pPr>
              <w:spacing w:line="276" w:lineRule="auto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Memory Ports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91A8129" w14:textId="77777777" w:rsidR="007857FB" w:rsidRPr="00C95C16" w:rsidRDefault="007857FB" w:rsidP="00227A8C">
            <w:pPr>
              <w:spacing w:line="276" w:lineRule="auto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Execution Order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8D9C7F4" w14:textId="77777777" w:rsidR="007857FB" w:rsidRPr="00C95C16" w:rsidRDefault="007857FB" w:rsidP="00227A8C">
            <w:pPr>
              <w:spacing w:line="276" w:lineRule="auto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Cycles Per Instruction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5D8AF1C" w14:textId="77777777" w:rsidR="007857FB" w:rsidRPr="00C95C16" w:rsidRDefault="007857FB" w:rsidP="00227A8C">
            <w:pPr>
              <w:spacing w:line="276" w:lineRule="auto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Relative Speedup</w:t>
            </w:r>
          </w:p>
        </w:tc>
      </w:tr>
      <w:tr w:rsidR="007857FB" w:rsidRPr="00C95C16" w14:paraId="40A4583B" w14:textId="77777777" w:rsidTr="007857FB">
        <w:tc>
          <w:tcPr>
            <w:tcW w:w="1075" w:type="dxa"/>
            <w:vMerge w:val="restart"/>
            <w:vAlign w:val="center"/>
          </w:tcPr>
          <w:p w14:paraId="7B5AB0BD" w14:textId="05B53240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vMerge w:val="restart"/>
            <w:vAlign w:val="center"/>
          </w:tcPr>
          <w:p w14:paraId="613B3DC4" w14:textId="77696F35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vMerge w:val="restart"/>
            <w:vAlign w:val="center"/>
          </w:tcPr>
          <w:p w14:paraId="38BD72D4" w14:textId="11251080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14:paraId="56EAF4B3" w14:textId="009EB629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A4E06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In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FEB3D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1.4873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003955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1.0000</w:t>
            </w:r>
          </w:p>
        </w:tc>
      </w:tr>
      <w:tr w:rsidR="007857FB" w:rsidRPr="00C95C16" w14:paraId="34D38B62" w14:textId="77777777" w:rsidTr="007857FB">
        <w:tc>
          <w:tcPr>
            <w:tcW w:w="1075" w:type="dxa"/>
            <w:vMerge/>
            <w:vAlign w:val="center"/>
          </w:tcPr>
          <w:p w14:paraId="7BD9ADEA" w14:textId="1780E529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68F1EC15" w14:textId="75A8B4AF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14:paraId="23FAC80F" w14:textId="578B344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14:paraId="66D9A689" w14:textId="2AB9F45E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D3B9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Out of order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4702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1.4663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1F9A9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1.0143</w:t>
            </w:r>
          </w:p>
        </w:tc>
      </w:tr>
      <w:tr w:rsidR="007857FB" w:rsidRPr="00C95C16" w14:paraId="5C34A3D2" w14:textId="77777777" w:rsidTr="007857FB">
        <w:tc>
          <w:tcPr>
            <w:tcW w:w="1075" w:type="dxa"/>
            <w:vMerge w:val="restart"/>
            <w:vAlign w:val="center"/>
          </w:tcPr>
          <w:p w14:paraId="3296F0EA" w14:textId="346A27E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vMerge w:val="restart"/>
            <w:vAlign w:val="center"/>
          </w:tcPr>
          <w:p w14:paraId="63A51154" w14:textId="0C376F2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vMerge w:val="restart"/>
            <w:vAlign w:val="center"/>
          </w:tcPr>
          <w:p w14:paraId="4E96B8ED" w14:textId="47FCB52F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14:paraId="07414E24" w14:textId="54AF74E4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5F8016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In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1B0FF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1.3308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AFFAC8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1.1176</w:t>
            </w:r>
          </w:p>
        </w:tc>
      </w:tr>
      <w:tr w:rsidR="007857FB" w:rsidRPr="00C95C16" w14:paraId="1275237D" w14:textId="77777777" w:rsidTr="007857FB">
        <w:tc>
          <w:tcPr>
            <w:tcW w:w="1075" w:type="dxa"/>
            <w:vMerge/>
            <w:vAlign w:val="center"/>
          </w:tcPr>
          <w:p w14:paraId="6A7D8EF8" w14:textId="4AA12F1E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6DE2BE92" w14:textId="75489B30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14:paraId="2EB5D842" w14:textId="7572F408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14:paraId="11362123" w14:textId="5ADBB81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084A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Out of order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4F126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0.8340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418B9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1.7833</w:t>
            </w:r>
          </w:p>
        </w:tc>
      </w:tr>
      <w:tr w:rsidR="007857FB" w:rsidRPr="00C95C16" w14:paraId="4FFF71FF" w14:textId="77777777" w:rsidTr="007857FB">
        <w:tc>
          <w:tcPr>
            <w:tcW w:w="1075" w:type="dxa"/>
            <w:vMerge w:val="restart"/>
            <w:vAlign w:val="center"/>
          </w:tcPr>
          <w:p w14:paraId="32DF2151" w14:textId="12C43CE1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vMerge w:val="restart"/>
            <w:vAlign w:val="center"/>
          </w:tcPr>
          <w:p w14:paraId="350DEF07" w14:textId="0DA7FE55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vMerge w:val="restart"/>
            <w:vAlign w:val="center"/>
          </w:tcPr>
          <w:p w14:paraId="7297A7C5" w14:textId="275A6A73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14:paraId="3F0C34AA" w14:textId="0329F2F9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4D4096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In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B3AABB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1.2890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A9CBE2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1.1538</w:t>
            </w:r>
          </w:p>
        </w:tc>
      </w:tr>
      <w:tr w:rsidR="007857FB" w:rsidRPr="00C95C16" w14:paraId="7C78656D" w14:textId="77777777" w:rsidTr="007857FB">
        <w:tc>
          <w:tcPr>
            <w:tcW w:w="1075" w:type="dxa"/>
            <w:vMerge/>
            <w:vAlign w:val="center"/>
          </w:tcPr>
          <w:p w14:paraId="15C515C3" w14:textId="7B76FAA5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44E09050" w14:textId="631530B3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</w:tcPr>
          <w:p w14:paraId="760D28EC" w14:textId="3EF9571C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14:paraId="71E7DA18" w14:textId="48C0926F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6CE5E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Out of order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CB89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0.5941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80303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2.5035</w:t>
            </w:r>
          </w:p>
        </w:tc>
      </w:tr>
      <w:tr w:rsidR="007857FB" w:rsidRPr="00C95C16" w14:paraId="373BE15F" w14:textId="77777777" w:rsidTr="007857FB">
        <w:tc>
          <w:tcPr>
            <w:tcW w:w="1075" w:type="dxa"/>
            <w:vMerge w:val="restart"/>
            <w:vAlign w:val="center"/>
          </w:tcPr>
          <w:p w14:paraId="31D7F08C" w14:textId="7F1B2312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80" w:type="dxa"/>
            <w:vMerge w:val="restart"/>
            <w:vAlign w:val="center"/>
          </w:tcPr>
          <w:p w14:paraId="4433FEB4" w14:textId="6E6D310D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  <w:vMerge w:val="restart"/>
            <w:vAlign w:val="center"/>
          </w:tcPr>
          <w:p w14:paraId="19BF230C" w14:textId="76E914A5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14:paraId="54B04D2A" w14:textId="5459FCB5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D1AE1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In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CDC50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1.2829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ACDA34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1.1593</w:t>
            </w:r>
          </w:p>
        </w:tc>
      </w:tr>
      <w:tr w:rsidR="007857FB" w:rsidRPr="00C95C16" w14:paraId="77650F52" w14:textId="77777777" w:rsidTr="007857FB">
        <w:tc>
          <w:tcPr>
            <w:tcW w:w="1075" w:type="dxa"/>
            <w:vMerge/>
            <w:tcBorders>
              <w:bottom w:val="single" w:sz="4" w:space="0" w:color="auto"/>
            </w:tcBorders>
            <w:vAlign w:val="center"/>
          </w:tcPr>
          <w:p w14:paraId="0F41C33F" w14:textId="7EEA76A4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14:paraId="68EBF12C" w14:textId="16B9628C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14:paraId="3E90020C" w14:textId="2526A78F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AB50C4" w14:textId="3F15E5AC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630D8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Out of order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8672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0.5426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4E6AD3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2.7411</w:t>
            </w:r>
          </w:p>
        </w:tc>
      </w:tr>
    </w:tbl>
    <w:p w14:paraId="48318B4E" w14:textId="6664591F" w:rsidR="005F11A3" w:rsidRPr="00C95C16" w:rsidRDefault="005F11A3" w:rsidP="00227A8C">
      <w:pPr>
        <w:spacing w:line="276" w:lineRule="auto"/>
        <w:jc w:val="both"/>
      </w:pPr>
    </w:p>
    <w:p w14:paraId="51F884A0" w14:textId="1994C0F2" w:rsidR="005F11A3" w:rsidRPr="00564414" w:rsidRDefault="007857FB" w:rsidP="00227A8C">
      <w:pPr>
        <w:spacing w:line="276" w:lineRule="auto"/>
        <w:ind w:left="720"/>
        <w:jc w:val="both"/>
        <w:rPr>
          <w:b/>
        </w:rPr>
      </w:pPr>
      <w:r w:rsidRPr="00564414">
        <w:rPr>
          <w:b/>
        </w:rPr>
        <w:t>Table 2: CPI and relative speedup when varying the branch prediction strategy and order of execution</w:t>
      </w:r>
    </w:p>
    <w:p w14:paraId="34125DC5" w14:textId="77777777" w:rsidR="007857FB" w:rsidRPr="00C95C16" w:rsidRDefault="007857FB" w:rsidP="00227A8C">
      <w:pPr>
        <w:spacing w:line="276" w:lineRule="auto"/>
        <w:jc w:val="both"/>
      </w:pPr>
    </w:p>
    <w:tbl>
      <w:tblPr>
        <w:tblStyle w:val="TableGrid"/>
        <w:tblW w:w="5040" w:type="dxa"/>
        <w:tblInd w:w="715" w:type="dxa"/>
        <w:tblLook w:val="04A0" w:firstRow="1" w:lastRow="0" w:firstColumn="1" w:lastColumn="0" w:noHBand="0" w:noVBand="1"/>
      </w:tblPr>
      <w:tblGrid>
        <w:gridCol w:w="1170"/>
        <w:gridCol w:w="1440"/>
        <w:gridCol w:w="1350"/>
        <w:gridCol w:w="1080"/>
      </w:tblGrid>
      <w:tr w:rsidR="007857FB" w:rsidRPr="00C95C16" w14:paraId="14DEA4D3" w14:textId="77777777" w:rsidTr="007857FB">
        <w:tc>
          <w:tcPr>
            <w:tcW w:w="1170" w:type="dxa"/>
            <w:vAlign w:val="center"/>
          </w:tcPr>
          <w:p w14:paraId="76A54CCA" w14:textId="77777777" w:rsidR="007857FB" w:rsidRPr="00C95C16" w:rsidRDefault="007857FB" w:rsidP="00227A8C">
            <w:pPr>
              <w:spacing w:line="276" w:lineRule="auto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Branch Predictor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E7FCEEE" w14:textId="77777777" w:rsidR="007857FB" w:rsidRPr="00C95C16" w:rsidRDefault="007857FB" w:rsidP="00227A8C">
            <w:pPr>
              <w:spacing w:line="276" w:lineRule="auto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Execution Order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48324984" w14:textId="77777777" w:rsidR="007857FB" w:rsidRPr="00C95C16" w:rsidRDefault="007857FB" w:rsidP="00227A8C">
            <w:pPr>
              <w:spacing w:line="276" w:lineRule="auto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Cycles</w:t>
            </w:r>
            <w:r>
              <w:rPr>
                <w:sz w:val="24"/>
                <w:szCs w:val="24"/>
              </w:rPr>
              <w:t xml:space="preserve"> </w:t>
            </w:r>
            <w:r w:rsidRPr="00C95C16">
              <w:rPr>
                <w:sz w:val="24"/>
                <w:szCs w:val="24"/>
              </w:rPr>
              <w:t>Per Instruction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C3B2A9D" w14:textId="77777777" w:rsidR="007857FB" w:rsidRPr="00C95C16" w:rsidRDefault="007857FB" w:rsidP="00227A8C">
            <w:pPr>
              <w:spacing w:line="276" w:lineRule="auto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Relative Speedup</w:t>
            </w:r>
          </w:p>
        </w:tc>
      </w:tr>
      <w:tr w:rsidR="007857FB" w:rsidRPr="00C95C16" w14:paraId="1DB809F3" w14:textId="77777777" w:rsidTr="007857FB"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14:paraId="3C65F9AF" w14:textId="367F0E08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288FE8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In order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258F3F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1.8943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F5472B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1.0000</w:t>
            </w:r>
          </w:p>
        </w:tc>
      </w:tr>
      <w:tr w:rsidR="007857FB" w:rsidRPr="00C95C16" w14:paraId="10C5C2E0" w14:textId="77777777" w:rsidTr="007857FB"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14:paraId="38627423" w14:textId="067E929B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E39C8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Out of order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B8A0C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1.1694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BA069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1.6199</w:t>
            </w:r>
          </w:p>
        </w:tc>
      </w:tr>
      <w:tr w:rsidR="007857FB" w:rsidRPr="00C95C16" w14:paraId="68077335" w14:textId="77777777" w:rsidTr="007857FB"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14:paraId="0DD1BFFA" w14:textId="4CD52033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BEA0ED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In order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308C66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1.2591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86F8E7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1.5045</w:t>
            </w:r>
          </w:p>
        </w:tc>
      </w:tr>
      <w:tr w:rsidR="007857FB" w:rsidRPr="00C95C16" w14:paraId="7351FE6E" w14:textId="77777777" w:rsidTr="007857FB"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14:paraId="00DBA86D" w14:textId="1EF9BC41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90DDB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Out of order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3D22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0.4608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73DFD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4.1109</w:t>
            </w:r>
          </w:p>
        </w:tc>
        <w:bookmarkStart w:id="0" w:name="_GoBack"/>
        <w:bookmarkEnd w:id="0"/>
      </w:tr>
      <w:tr w:rsidR="007857FB" w:rsidRPr="00C95C16" w14:paraId="396F7115" w14:textId="77777777" w:rsidTr="007857FB"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14:paraId="2B9AB4E7" w14:textId="0B6E53C4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taken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1ACDF8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In order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5C8AF2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1.8971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4B3650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0.9985</w:t>
            </w:r>
          </w:p>
        </w:tc>
      </w:tr>
      <w:tr w:rsidR="007857FB" w:rsidRPr="00C95C16" w14:paraId="1679F6EE" w14:textId="77777777" w:rsidTr="007857FB"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14:paraId="0351FA31" w14:textId="7A6999FC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7C8D1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Out of order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01C7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1.1770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0DF79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1.6094</w:t>
            </w:r>
          </w:p>
        </w:tc>
      </w:tr>
      <w:tr w:rsidR="007857FB" w:rsidRPr="00C95C16" w14:paraId="0C2136B1" w14:textId="77777777" w:rsidTr="007857FB">
        <w:tc>
          <w:tcPr>
            <w:tcW w:w="1170" w:type="dxa"/>
            <w:vMerge w:val="restart"/>
            <w:tcBorders>
              <w:right w:val="single" w:sz="4" w:space="0" w:color="auto"/>
            </w:tcBorders>
            <w:vAlign w:val="center"/>
          </w:tcPr>
          <w:p w14:paraId="6002D75C" w14:textId="040E9503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level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CC886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In order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75B04B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1.2909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F91180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1.4674</w:t>
            </w:r>
          </w:p>
        </w:tc>
      </w:tr>
      <w:tr w:rsidR="007857FB" w:rsidRPr="00C95C16" w14:paraId="58DF58C1" w14:textId="77777777" w:rsidTr="007857FB">
        <w:tc>
          <w:tcPr>
            <w:tcW w:w="1170" w:type="dxa"/>
            <w:vMerge/>
            <w:tcBorders>
              <w:right w:val="single" w:sz="4" w:space="0" w:color="auto"/>
            </w:tcBorders>
            <w:vAlign w:val="center"/>
          </w:tcPr>
          <w:p w14:paraId="713BD9F2" w14:textId="722F2851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1B37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Out of order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E206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sz w:val="24"/>
                <w:szCs w:val="24"/>
              </w:rPr>
              <w:t>0.6459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8E03D" w14:textId="77777777" w:rsidR="007857FB" w:rsidRPr="00C95C16" w:rsidRDefault="007857FB" w:rsidP="00227A8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95C16">
              <w:rPr>
                <w:color w:val="000000"/>
                <w:sz w:val="24"/>
                <w:szCs w:val="24"/>
              </w:rPr>
              <w:t>2.9328</w:t>
            </w:r>
          </w:p>
        </w:tc>
      </w:tr>
    </w:tbl>
    <w:p w14:paraId="037ACDAD" w14:textId="392DA1AB" w:rsidR="000C46DE" w:rsidRDefault="000C46DE" w:rsidP="00227A8C">
      <w:pPr>
        <w:spacing w:line="276" w:lineRule="auto"/>
        <w:jc w:val="both"/>
      </w:pPr>
    </w:p>
    <w:p w14:paraId="269FEAAC" w14:textId="0F71AAE5" w:rsidR="003565FC" w:rsidRPr="00DD29C5" w:rsidRDefault="00DD29C5" w:rsidP="00227A8C">
      <w:pPr>
        <w:spacing w:line="276" w:lineRule="auto"/>
        <w:jc w:val="both"/>
      </w:pPr>
      <w:r>
        <w:rPr>
          <w:b/>
        </w:rPr>
        <w:t>Discussion</w:t>
      </w:r>
    </w:p>
    <w:p w14:paraId="6173B107" w14:textId="2E5B4897" w:rsidR="003565FC" w:rsidRDefault="003565FC" w:rsidP="00227A8C">
      <w:pPr>
        <w:spacing w:line="276" w:lineRule="auto"/>
        <w:jc w:val="both"/>
      </w:pPr>
    </w:p>
    <w:p w14:paraId="153C75E6" w14:textId="69811AEF" w:rsidR="003565FC" w:rsidRDefault="00226FB7" w:rsidP="00227A8C">
      <w:pPr>
        <w:spacing w:line="276" w:lineRule="auto"/>
        <w:ind w:left="720"/>
        <w:jc w:val="both"/>
      </w:pPr>
      <w:r>
        <w:t xml:space="preserve">It’s clear that, in all cases, out-of-order execution is significantly faster than in-order execution for an otherwise identical processor. </w:t>
      </w:r>
      <w:r w:rsidR="00AC62F0">
        <w:t>Over these two experiments</w:t>
      </w:r>
      <w:r>
        <w:t xml:space="preserve">, out-of-order processors are, on average, </w:t>
      </w:r>
      <m:oMath>
        <m:r>
          <w:rPr>
            <w:rFonts w:ascii="Cambria Math" w:hAnsi="Cambria Math"/>
          </w:rPr>
          <m:t>89%</m:t>
        </m:r>
      </m:oMath>
      <w:r>
        <w:t xml:space="preserve"> faster than their equivalent in-order </w:t>
      </w:r>
      <w:r w:rsidR="00AC62F0">
        <w:t>processors</w:t>
      </w:r>
      <w:r w:rsidR="00894CB0">
        <w:t xml:space="preserve">. This should not be a surprise. Out-of-order execution seeks to limit wasted instruction cycles by executing instructions when data and execution resources become available. In contrast, in-order execution executes instructions sequentially, so the processor may sit idly while waiting for data and/or resources. By removing a significant amount of this idle time, we allow for a faster processor. </w:t>
      </w:r>
    </w:p>
    <w:p w14:paraId="1D4A46A0" w14:textId="45842D22" w:rsidR="0080338C" w:rsidRDefault="0080338C" w:rsidP="00227A8C">
      <w:pPr>
        <w:spacing w:line="276" w:lineRule="auto"/>
        <w:ind w:left="720"/>
        <w:jc w:val="both"/>
      </w:pPr>
    </w:p>
    <w:p w14:paraId="7AC4565A" w14:textId="5842D786" w:rsidR="0080338C" w:rsidRDefault="00F74818" w:rsidP="00227A8C">
      <w:pPr>
        <w:spacing w:line="276" w:lineRule="auto"/>
        <w:ind w:left="720"/>
        <w:jc w:val="both"/>
      </w:pPr>
      <w:r>
        <w:lastRenderedPageBreak/>
        <w:t xml:space="preserve">Furthermore, Table 1 shows us that more resources allow for a faster processor. </w:t>
      </w:r>
      <w:r w:rsidR="00690F4C">
        <w:t xml:space="preserve">If we maintain the order of instruction execution, </w:t>
      </w:r>
      <w:r>
        <w:t xml:space="preserve">increasing the number of available resources </w:t>
      </w:r>
      <w:r w:rsidR="00690F4C">
        <w:t>from one row in the table to the next (that is, comparing a width 1 processor configuration to a width 2 processor configuration, a width 2 processor configuration to a width 4 processor configuration, etc.)</w:t>
      </w:r>
      <w:r>
        <w:t xml:space="preserve"> improves the processor</w:t>
      </w:r>
      <w:r w:rsidR="00010454">
        <w:t>’s</w:t>
      </w:r>
      <w:r>
        <w:t xml:space="preserve"> speed by </w:t>
      </w:r>
      <m:oMath>
        <m:r>
          <w:rPr>
            <w:rFonts w:ascii="Cambria Math" w:hAnsi="Cambria Math"/>
          </w:rPr>
          <m:t>29%</m:t>
        </m:r>
      </m:oMath>
      <w:r w:rsidR="00690F4C">
        <w:t xml:space="preserve"> on average</w:t>
      </w:r>
      <w:r>
        <w:t>. Although this is not as significant as switching from in-order to out-of-order instruction execution, it’s still a marked improvement; in my opinion, the first experiment shows that it is always worth considering the more resources/higher cost tradeoff.</w:t>
      </w:r>
    </w:p>
    <w:p w14:paraId="04C537FA" w14:textId="1D0127FF" w:rsidR="00690F4C" w:rsidRDefault="00690F4C" w:rsidP="00227A8C">
      <w:pPr>
        <w:spacing w:line="276" w:lineRule="auto"/>
        <w:ind w:left="720"/>
        <w:jc w:val="both"/>
      </w:pPr>
    </w:p>
    <w:p w14:paraId="506821A0" w14:textId="0C63AFD4" w:rsidR="00690F4C" w:rsidRPr="00B85D3C" w:rsidRDefault="00B25C17" w:rsidP="00227A8C">
      <w:pPr>
        <w:spacing w:line="276" w:lineRule="auto"/>
        <w:ind w:left="720"/>
        <w:jc w:val="both"/>
      </w:pPr>
      <w:r>
        <w:t xml:space="preserve">Finally, Table 2 illustrates that some strategies for branch prediction are faster than others – at least for the simulated configurations. Specifically, </w:t>
      </w:r>
      <w:r>
        <w:rPr>
          <w:i/>
        </w:rPr>
        <w:t>two-level</w:t>
      </w:r>
      <w:r>
        <w:t xml:space="preserve"> prediction</w:t>
      </w:r>
      <w:r w:rsidR="0087154B">
        <w:t xml:space="preserve"> is</w:t>
      </w:r>
      <w:r>
        <w:t xml:space="preserve"> faster than </w:t>
      </w:r>
      <w:r>
        <w:rPr>
          <w:i/>
        </w:rPr>
        <w:t>taken</w:t>
      </w:r>
      <w:r>
        <w:t xml:space="preserve"> branch prediction</w:t>
      </w:r>
      <w:r w:rsidR="0087154B">
        <w:t xml:space="preserve">, which is itself ever-so-slightly faster than </w:t>
      </w:r>
      <w:r w:rsidR="0087154B">
        <w:rPr>
          <w:i/>
        </w:rPr>
        <w:t>not taken</w:t>
      </w:r>
      <w:r w:rsidR="0087154B">
        <w:t xml:space="preserve"> branch prediction</w:t>
      </w:r>
      <w:r>
        <w:t>.</w:t>
      </w:r>
      <w:r w:rsidR="005D71F3">
        <w:t xml:space="preserve"> As expected, </w:t>
      </w:r>
      <w:r w:rsidR="005D71F3">
        <w:rPr>
          <w:i/>
        </w:rPr>
        <w:t>p</w:t>
      </w:r>
      <w:r w:rsidR="0087154B">
        <w:rPr>
          <w:i/>
        </w:rPr>
        <w:t>erfect</w:t>
      </w:r>
      <w:r>
        <w:t xml:space="preserve"> branch prediction is</w:t>
      </w:r>
      <w:r w:rsidR="0087154B">
        <w:t xml:space="preserve"> </w:t>
      </w:r>
      <w:r>
        <w:t xml:space="preserve">the </w:t>
      </w:r>
      <w:r w:rsidR="0087154B">
        <w:t>fastest</w:t>
      </w:r>
      <w:r>
        <w:t xml:space="preserve"> strategy of the four tested</w:t>
      </w:r>
      <w:r w:rsidR="005D71F3">
        <w:t>.</w:t>
      </w:r>
      <w:r w:rsidR="00B85D3C">
        <w:t xml:space="preserve"> However, it’s notable that two-level prediction is </w:t>
      </w:r>
      <m:oMath>
        <m:r>
          <w:rPr>
            <w:rFonts w:ascii="Cambria Math" w:hAnsi="Cambria Math"/>
          </w:rPr>
          <m:t>85%</m:t>
        </m:r>
      </m:oMath>
      <w:r w:rsidR="00B85D3C">
        <w:t xml:space="preserve"> as fast as perfect prediction, so, clearly, branch prediction strategies are nearing their </w:t>
      </w:r>
      <w:r w:rsidR="006513E7">
        <w:t xml:space="preserve">maximum possible </w:t>
      </w:r>
      <w:r w:rsidR="00B85D3C">
        <w:t xml:space="preserve">performance. </w:t>
      </w:r>
    </w:p>
    <w:p w14:paraId="2D2F3BF4" w14:textId="77777777" w:rsidR="003565FC" w:rsidRPr="00C95C16" w:rsidRDefault="003565FC" w:rsidP="00227A8C">
      <w:pPr>
        <w:spacing w:line="276" w:lineRule="auto"/>
        <w:jc w:val="both"/>
      </w:pPr>
    </w:p>
    <w:p w14:paraId="3278333A" w14:textId="75698F98" w:rsidR="00FC2603" w:rsidRDefault="000C46DE" w:rsidP="00227A8C">
      <w:pPr>
        <w:spacing w:line="276" w:lineRule="auto"/>
        <w:jc w:val="both"/>
      </w:pPr>
      <w:r w:rsidRPr="00C95C16">
        <w:rPr>
          <w:b/>
        </w:rPr>
        <w:t>References</w:t>
      </w:r>
    </w:p>
    <w:p w14:paraId="6DB6BE64" w14:textId="16B2EC0E" w:rsidR="00FC2603" w:rsidRDefault="00FC2603" w:rsidP="00227A8C">
      <w:pPr>
        <w:spacing w:line="276" w:lineRule="auto"/>
        <w:jc w:val="both"/>
      </w:pPr>
    </w:p>
    <w:p w14:paraId="2B6E31E5" w14:textId="315FDFA9" w:rsidR="000C46DE" w:rsidRPr="00FC2603" w:rsidRDefault="00FC2603" w:rsidP="00227A8C">
      <w:pPr>
        <w:spacing w:line="276" w:lineRule="auto"/>
        <w:ind w:left="1440" w:hanging="720"/>
        <w:jc w:val="both"/>
      </w:pPr>
      <w:r>
        <w:t xml:space="preserve">Hennessy, J. L., &amp; Patterson, D. A. (2019). </w:t>
      </w:r>
      <w:r>
        <w:rPr>
          <w:i/>
        </w:rPr>
        <w:t>Computer Architecture: A Quantitative Approach</w:t>
      </w:r>
      <w:r>
        <w:t xml:space="preserve"> (6th ed.). Cambridge: Morgan Kaufmann.</w:t>
      </w:r>
    </w:p>
    <w:sectPr w:rsidR="000C46DE" w:rsidRPr="00FC2603" w:rsidSect="0010183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CCCC8" w14:textId="77777777" w:rsidR="003A06B5" w:rsidRDefault="003A06B5" w:rsidP="00151E4B">
      <w:r>
        <w:separator/>
      </w:r>
    </w:p>
  </w:endnote>
  <w:endnote w:type="continuationSeparator" w:id="0">
    <w:p w14:paraId="098D075C" w14:textId="77777777" w:rsidR="003A06B5" w:rsidRDefault="003A06B5" w:rsidP="0015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1585377"/>
      <w:docPartObj>
        <w:docPartGallery w:val="Page Numbers (Bottom of Page)"/>
        <w:docPartUnique/>
      </w:docPartObj>
    </w:sdtPr>
    <w:sdtContent>
      <w:p w14:paraId="7A30140E" w14:textId="03FC5D9B" w:rsidR="005F11A3" w:rsidRDefault="005F11A3" w:rsidP="00D431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E97F49" w14:textId="77777777" w:rsidR="005F11A3" w:rsidRDefault="005F11A3" w:rsidP="005F11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584DB" w14:textId="66D7A10D" w:rsidR="005F11A3" w:rsidRDefault="005F11A3" w:rsidP="00D4319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Crow – </w:t>
    </w:r>
    <w:sdt>
      <w:sdtPr>
        <w:rPr>
          <w:rStyle w:val="PageNumber"/>
        </w:rPr>
        <w:id w:val="-1028332733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6FDE5F15" w14:textId="77777777" w:rsidR="005F11A3" w:rsidRDefault="005F11A3" w:rsidP="005F11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F7948" w14:textId="77777777" w:rsidR="003A06B5" w:rsidRDefault="003A06B5" w:rsidP="00151E4B">
      <w:r>
        <w:separator/>
      </w:r>
    </w:p>
  </w:footnote>
  <w:footnote w:type="continuationSeparator" w:id="0">
    <w:p w14:paraId="5689D45F" w14:textId="77777777" w:rsidR="003A06B5" w:rsidRDefault="003A06B5" w:rsidP="00151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46884"/>
    <w:multiLevelType w:val="hybridMultilevel"/>
    <w:tmpl w:val="2C82CF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56"/>
    <w:rsid w:val="00010454"/>
    <w:rsid w:val="000147CB"/>
    <w:rsid w:val="00023462"/>
    <w:rsid w:val="0006719D"/>
    <w:rsid w:val="00087BBF"/>
    <w:rsid w:val="000B37EE"/>
    <w:rsid w:val="000C46DE"/>
    <w:rsid w:val="000E2576"/>
    <w:rsid w:val="0010183B"/>
    <w:rsid w:val="00102A97"/>
    <w:rsid w:val="00111DF2"/>
    <w:rsid w:val="00112BB4"/>
    <w:rsid w:val="00151E4B"/>
    <w:rsid w:val="00205C17"/>
    <w:rsid w:val="00216289"/>
    <w:rsid w:val="00226FB7"/>
    <w:rsid w:val="00227A8C"/>
    <w:rsid w:val="00247207"/>
    <w:rsid w:val="002965BB"/>
    <w:rsid w:val="00336644"/>
    <w:rsid w:val="003565FC"/>
    <w:rsid w:val="00366177"/>
    <w:rsid w:val="003731C0"/>
    <w:rsid w:val="003A06B5"/>
    <w:rsid w:val="003C17CA"/>
    <w:rsid w:val="003D58DA"/>
    <w:rsid w:val="003E4D7E"/>
    <w:rsid w:val="003F5448"/>
    <w:rsid w:val="00432F13"/>
    <w:rsid w:val="00465760"/>
    <w:rsid w:val="004957E6"/>
    <w:rsid w:val="00496D56"/>
    <w:rsid w:val="004C4674"/>
    <w:rsid w:val="005049B6"/>
    <w:rsid w:val="00520EFE"/>
    <w:rsid w:val="00564414"/>
    <w:rsid w:val="00571699"/>
    <w:rsid w:val="005D2A90"/>
    <w:rsid w:val="005D71F3"/>
    <w:rsid w:val="005E081E"/>
    <w:rsid w:val="005F11A3"/>
    <w:rsid w:val="005F244F"/>
    <w:rsid w:val="006000F9"/>
    <w:rsid w:val="0064162F"/>
    <w:rsid w:val="006513E7"/>
    <w:rsid w:val="00690F4C"/>
    <w:rsid w:val="00720779"/>
    <w:rsid w:val="007362E0"/>
    <w:rsid w:val="00743F02"/>
    <w:rsid w:val="007857FB"/>
    <w:rsid w:val="0080338C"/>
    <w:rsid w:val="00830421"/>
    <w:rsid w:val="008639BB"/>
    <w:rsid w:val="0087154B"/>
    <w:rsid w:val="00873DFA"/>
    <w:rsid w:val="00894CB0"/>
    <w:rsid w:val="008A5DAA"/>
    <w:rsid w:val="008D4C90"/>
    <w:rsid w:val="008F72CC"/>
    <w:rsid w:val="00937172"/>
    <w:rsid w:val="009B50A1"/>
    <w:rsid w:val="00A12560"/>
    <w:rsid w:val="00A2383E"/>
    <w:rsid w:val="00A401C0"/>
    <w:rsid w:val="00AC62F0"/>
    <w:rsid w:val="00AC7192"/>
    <w:rsid w:val="00AD2CC9"/>
    <w:rsid w:val="00B02821"/>
    <w:rsid w:val="00B1223C"/>
    <w:rsid w:val="00B2419F"/>
    <w:rsid w:val="00B25C17"/>
    <w:rsid w:val="00B4667F"/>
    <w:rsid w:val="00B7034C"/>
    <w:rsid w:val="00B85D3C"/>
    <w:rsid w:val="00B86AFF"/>
    <w:rsid w:val="00BA425F"/>
    <w:rsid w:val="00C13F6D"/>
    <w:rsid w:val="00C44398"/>
    <w:rsid w:val="00C63DE6"/>
    <w:rsid w:val="00C85E7F"/>
    <w:rsid w:val="00C95C16"/>
    <w:rsid w:val="00CF142E"/>
    <w:rsid w:val="00D06B8B"/>
    <w:rsid w:val="00D7645F"/>
    <w:rsid w:val="00D93612"/>
    <w:rsid w:val="00DD29C5"/>
    <w:rsid w:val="00E55654"/>
    <w:rsid w:val="00E84380"/>
    <w:rsid w:val="00EE302D"/>
    <w:rsid w:val="00EF1164"/>
    <w:rsid w:val="00F0465A"/>
    <w:rsid w:val="00F73FB7"/>
    <w:rsid w:val="00F74818"/>
    <w:rsid w:val="00F84116"/>
    <w:rsid w:val="00F87BE4"/>
    <w:rsid w:val="00F95944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0FC31"/>
  <w15:chartTrackingRefBased/>
  <w15:docId w15:val="{8103A3EF-F01E-9B4E-BED9-986FF5E6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6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6D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151E4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51E4B"/>
  </w:style>
  <w:style w:type="paragraph" w:styleId="Footer">
    <w:name w:val="footer"/>
    <w:basedOn w:val="Normal"/>
    <w:link w:val="FooterChar"/>
    <w:uiPriority w:val="99"/>
    <w:unhideWhenUsed/>
    <w:rsid w:val="00151E4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51E4B"/>
  </w:style>
  <w:style w:type="character" w:styleId="PageNumber">
    <w:name w:val="page number"/>
    <w:basedOn w:val="DefaultParagraphFont"/>
    <w:uiPriority w:val="99"/>
    <w:semiHidden/>
    <w:unhideWhenUsed/>
    <w:rsid w:val="005F11A3"/>
  </w:style>
  <w:style w:type="table" w:styleId="TableGrid">
    <w:name w:val="Table Grid"/>
    <w:basedOn w:val="TableNormal"/>
    <w:uiPriority w:val="39"/>
    <w:rsid w:val="005F11A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4C90"/>
    <w:rPr>
      <w:color w:val="808080"/>
    </w:rPr>
  </w:style>
  <w:style w:type="character" w:customStyle="1" w:styleId="apple-converted-space">
    <w:name w:val="apple-converted-space"/>
    <w:basedOn w:val="DefaultParagraphFont"/>
    <w:rsid w:val="00FC2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4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(Student)</dc:creator>
  <cp:keywords/>
  <dc:description/>
  <cp:lastModifiedBy>Crow, David R. (Student)</cp:lastModifiedBy>
  <cp:revision>94</cp:revision>
  <cp:lastPrinted>2019-01-21T19:31:00Z</cp:lastPrinted>
  <dcterms:created xsi:type="dcterms:W3CDTF">2019-01-18T00:36:00Z</dcterms:created>
  <dcterms:modified xsi:type="dcterms:W3CDTF">2019-01-22T01:25:00Z</dcterms:modified>
</cp:coreProperties>
</file>