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68B59" w14:textId="16AB403F" w:rsidR="0039543B" w:rsidRPr="0039543B" w:rsidRDefault="0039543B" w:rsidP="0039543B">
      <w:pPr>
        <w:rPr>
          <w:bCs/>
        </w:rPr>
      </w:pPr>
      <w:r>
        <w:rPr>
          <w:b/>
        </w:rPr>
        <w:t xml:space="preserve">Online Resource </w:t>
      </w:r>
      <w:r w:rsidR="00D42C0E">
        <w:rPr>
          <w:b/>
        </w:rPr>
        <w:t>4</w:t>
      </w:r>
      <w:r>
        <w:rPr>
          <w:b/>
        </w:rPr>
        <w:t xml:space="preserve"> </w:t>
      </w:r>
      <w:r>
        <w:rPr>
          <w:bCs/>
        </w:rPr>
        <w:t>Supplementary Tables and Figures</w:t>
      </w:r>
    </w:p>
    <w:p w14:paraId="40FF6A70" w14:textId="07DB79AC" w:rsidR="0039543B" w:rsidRDefault="0039543B" w:rsidP="0039543B">
      <w:pPr>
        <w:rPr>
          <w:b/>
        </w:rPr>
      </w:pPr>
    </w:p>
    <w:p w14:paraId="09D77E8D" w14:textId="77777777" w:rsidR="0039543B" w:rsidRDefault="0039543B" w:rsidP="0039543B">
      <w:pPr>
        <w:rPr>
          <w:b/>
        </w:rPr>
      </w:pPr>
    </w:p>
    <w:p w14:paraId="2F878690" w14:textId="7B9C94A5" w:rsidR="0039543B" w:rsidRDefault="0039543B" w:rsidP="0039543B">
      <w:pPr>
        <w:rPr>
          <w:b/>
        </w:rPr>
      </w:pPr>
      <w:r w:rsidRPr="009E4191">
        <w:rPr>
          <w:b/>
        </w:rPr>
        <w:t xml:space="preserve">Genetic diversity within </w:t>
      </w:r>
      <w:r>
        <w:rPr>
          <w:b/>
        </w:rPr>
        <w:t>late-summer run and half-pounder</w:t>
      </w:r>
      <w:r w:rsidRPr="009E4191">
        <w:rPr>
          <w:b/>
        </w:rPr>
        <w:t xml:space="preserve"> steelhead </w:t>
      </w:r>
      <w:r>
        <w:rPr>
          <w:b/>
        </w:rPr>
        <w:t>(</w:t>
      </w:r>
      <w:r w:rsidRPr="009E4191">
        <w:rPr>
          <w:b/>
          <w:i/>
          <w:iCs/>
        </w:rPr>
        <w:t>Oncorhynchus mykiss</w:t>
      </w:r>
      <w:r>
        <w:rPr>
          <w:b/>
          <w:i/>
          <w:iCs/>
        </w:rPr>
        <w:t>)</w:t>
      </w:r>
      <w:r w:rsidRPr="009E4191">
        <w:rPr>
          <w:b/>
        </w:rPr>
        <w:t xml:space="preserve"> in the Rogue River, Oregon</w:t>
      </w:r>
    </w:p>
    <w:p w14:paraId="7D4207FE" w14:textId="77777777" w:rsidR="0039543B" w:rsidRDefault="0039543B" w:rsidP="0039543B">
      <w:pPr>
        <w:rPr>
          <w:b/>
          <w:bCs/>
        </w:rPr>
      </w:pPr>
    </w:p>
    <w:p w14:paraId="693998A0" w14:textId="77777777" w:rsidR="0039543B" w:rsidRPr="00725D24" w:rsidRDefault="0039543B" w:rsidP="0039543B">
      <w:r w:rsidRPr="00725D24">
        <w:t>David I Dayan</w:t>
      </w:r>
      <w:r w:rsidRPr="0093183D">
        <w:rPr>
          <w:vertAlign w:val="superscript"/>
        </w:rPr>
        <w:t>1</w:t>
      </w:r>
      <w:r>
        <w:rPr>
          <w:vertAlign w:val="superscript"/>
        </w:rPr>
        <w:t>*</w:t>
      </w:r>
      <w:r>
        <w:t>, Steve Mazur</w:t>
      </w:r>
      <w:r>
        <w:rPr>
          <w:vertAlign w:val="superscript"/>
        </w:rPr>
        <w:t>3</w:t>
      </w:r>
      <w:r>
        <w:t>, Laura J Green</w:t>
      </w:r>
      <w:r>
        <w:rPr>
          <w:vertAlign w:val="superscript"/>
        </w:rPr>
        <w:t>3</w:t>
      </w:r>
      <w:r>
        <w:t>, Andrew J Wells</w:t>
      </w:r>
      <w:r>
        <w:rPr>
          <w:vertAlign w:val="superscript"/>
        </w:rPr>
        <w:t>3</w:t>
      </w:r>
      <w:r>
        <w:t xml:space="preserve">, Marc A </w:t>
      </w:r>
      <w:r w:rsidRPr="007D67BE">
        <w:t>Johnson</w:t>
      </w:r>
      <w:r w:rsidRPr="007D67BE">
        <w:rPr>
          <w:vertAlign w:val="superscript"/>
        </w:rPr>
        <w:t>2</w:t>
      </w:r>
      <w:r>
        <w:t>, Daniel J Van Dyke</w:t>
      </w:r>
      <w:r>
        <w:rPr>
          <w:vertAlign w:val="superscript"/>
        </w:rPr>
        <w:t>4</w:t>
      </w:r>
      <w:r>
        <w:t>,</w:t>
      </w:r>
      <w:r w:rsidRPr="007D67BE">
        <w:t xml:space="preserve"> </w:t>
      </w:r>
      <w:r>
        <w:t>Peter A Samarin</w:t>
      </w:r>
      <w:r>
        <w:rPr>
          <w:vertAlign w:val="superscript"/>
        </w:rPr>
        <w:t>4</w:t>
      </w:r>
      <w:r>
        <w:t xml:space="preserve">, </w:t>
      </w:r>
      <w:r w:rsidRPr="0093183D">
        <w:t>Ryan D Battleson</w:t>
      </w:r>
      <w:r>
        <w:rPr>
          <w:vertAlign w:val="superscript"/>
        </w:rPr>
        <w:t>4</w:t>
      </w:r>
      <w:r>
        <w:t xml:space="preserve">, </w:t>
      </w:r>
      <w:r w:rsidRPr="007D67BE">
        <w:t>Kathleen</w:t>
      </w:r>
      <w:r>
        <w:t xml:space="preserve"> G O’Malley</w:t>
      </w:r>
      <w:r w:rsidRPr="0093183D">
        <w:rPr>
          <w:vertAlign w:val="superscript"/>
        </w:rPr>
        <w:t>1</w:t>
      </w:r>
    </w:p>
    <w:p w14:paraId="61A12DFB" w14:textId="77777777" w:rsidR="0039543B" w:rsidRDefault="0039543B" w:rsidP="0039543B">
      <w:pPr>
        <w:rPr>
          <w:b/>
          <w:bCs/>
        </w:rPr>
      </w:pPr>
    </w:p>
    <w:p w14:paraId="7F6DD9AF" w14:textId="77777777" w:rsidR="0039543B" w:rsidRDefault="0039543B" w:rsidP="0039543B">
      <w:r w:rsidRPr="0093183D">
        <w:rPr>
          <w:vertAlign w:val="superscript"/>
        </w:rPr>
        <w:t>1</w:t>
      </w:r>
      <w:r>
        <w:t xml:space="preserve"> State Fisheries Genomics Laboratory, Coastal Oregon Marine Experiment Station, </w:t>
      </w:r>
      <w:r w:rsidRPr="0093183D">
        <w:t>Department of Fisheries</w:t>
      </w:r>
      <w:r>
        <w:t xml:space="preserve">, </w:t>
      </w:r>
      <w:r w:rsidRPr="0093183D">
        <w:t>Wildlife</w:t>
      </w:r>
      <w:r>
        <w:t xml:space="preserve"> and Conservation Sciences</w:t>
      </w:r>
      <w:r w:rsidRPr="0093183D">
        <w:t>, Hatfield Marine Science Center, Oregon State</w:t>
      </w:r>
      <w:r>
        <w:t xml:space="preserve"> </w:t>
      </w:r>
      <w:r w:rsidRPr="0093183D">
        <w:t>University, Newport, OR, USA</w:t>
      </w:r>
    </w:p>
    <w:p w14:paraId="3445172B" w14:textId="77777777" w:rsidR="0039543B" w:rsidRDefault="0039543B" w:rsidP="0039543B">
      <w:r w:rsidRPr="0093183D">
        <w:rPr>
          <w:vertAlign w:val="superscript"/>
        </w:rPr>
        <w:t>2</w:t>
      </w:r>
      <w:r w:rsidRPr="0011553D">
        <w:t xml:space="preserve"> </w:t>
      </w:r>
      <w:r>
        <w:t>Native Fish Conservation and Recovery,</w:t>
      </w:r>
      <w:r w:rsidRPr="0011553D">
        <w:t xml:space="preserve"> </w:t>
      </w:r>
      <w:r>
        <w:t>Oregon Department of Fish and Wildlife, Salem, OR, USA</w:t>
      </w:r>
    </w:p>
    <w:p w14:paraId="5996AB8E" w14:textId="77777777" w:rsidR="0039543B" w:rsidRDefault="0039543B" w:rsidP="0039543B">
      <w:r w:rsidRPr="0035786D">
        <w:rPr>
          <w:vertAlign w:val="superscript"/>
        </w:rPr>
        <w:t xml:space="preserve">3 </w:t>
      </w:r>
      <w:r>
        <w:t>Oregon Department of Fish and Wildlife, Gold Beach, OR, USA</w:t>
      </w:r>
    </w:p>
    <w:p w14:paraId="044045C0" w14:textId="77777777" w:rsidR="0039543B" w:rsidRPr="0093183D" w:rsidRDefault="0039543B" w:rsidP="0039543B">
      <w:r w:rsidRPr="00937605">
        <w:rPr>
          <w:vertAlign w:val="superscript"/>
        </w:rPr>
        <w:t>4</w:t>
      </w:r>
      <w:r>
        <w:t xml:space="preserve"> Rogue Watershed District, Oregon Department of Fish and Wildlife, Central Point, OR, USA</w:t>
      </w:r>
    </w:p>
    <w:p w14:paraId="30C07E17" w14:textId="77777777" w:rsidR="0039543B" w:rsidRDefault="0039543B" w:rsidP="0039543B"/>
    <w:p w14:paraId="63B1F9B1" w14:textId="77777777" w:rsidR="0039543B" w:rsidRPr="00FB350E" w:rsidRDefault="0039543B" w:rsidP="0039543B">
      <w:r w:rsidRPr="00FB350E">
        <w:t>* Co</w:t>
      </w:r>
      <w:r>
        <w:t xml:space="preserve">rresponding author, email: </w:t>
      </w:r>
      <w:hyperlink r:id="rId4" w:history="1">
        <w:r w:rsidRPr="00113589">
          <w:rPr>
            <w:rStyle w:val="Hyperlink"/>
          </w:rPr>
          <w:t>david.dayan@oregonstate.edu</w:t>
        </w:r>
      </w:hyperlink>
      <w:r>
        <w:t xml:space="preserve">, ORCID ID: </w:t>
      </w:r>
      <w:r w:rsidRPr="001E3E8D">
        <w:t>0000-0001-5001-4062</w:t>
      </w:r>
    </w:p>
    <w:p w14:paraId="3DC4E420" w14:textId="77777777" w:rsidR="0039543B" w:rsidRDefault="0039543B" w:rsidP="0039543B">
      <w:r>
        <w:t xml:space="preserve"> </w:t>
      </w:r>
    </w:p>
    <w:p w14:paraId="45707DE3" w14:textId="77777777" w:rsidR="0039543B" w:rsidRDefault="0039543B" w:rsidP="0039543B"/>
    <w:p w14:paraId="3589F0C9" w14:textId="2B1E8A24" w:rsidR="0039543B" w:rsidRDefault="0039543B">
      <w:r>
        <w:br w:type="page"/>
      </w:r>
    </w:p>
    <w:p w14:paraId="257A3845" w14:textId="77777777" w:rsidR="0039543B" w:rsidRDefault="0039543B" w:rsidP="0039543B">
      <w:pPr>
        <w:rPr>
          <w:b/>
          <w:bCs/>
        </w:rPr>
      </w:pPr>
      <w:r>
        <w:rPr>
          <w:b/>
          <w:bCs/>
        </w:rPr>
        <w:lastRenderedPageBreak/>
        <w:t>Supplemental Tables</w:t>
      </w:r>
    </w:p>
    <w:p w14:paraId="5CCD7B91" w14:textId="77777777" w:rsidR="0039543B" w:rsidRDefault="0039543B" w:rsidP="0039543B">
      <w:pPr>
        <w:rPr>
          <w:b/>
          <w:bCs/>
        </w:rPr>
      </w:pPr>
    </w:p>
    <w:p w14:paraId="520A54F9" w14:textId="532C09A0" w:rsidR="0039543B" w:rsidRDefault="0039543B" w:rsidP="0039543B">
      <w:r w:rsidRPr="004918C8">
        <w:rPr>
          <w:b/>
          <w:bCs/>
        </w:rPr>
        <w:t xml:space="preserve">Table </w:t>
      </w:r>
      <w:r w:rsidR="00EA0EE4">
        <w:rPr>
          <w:b/>
          <w:bCs/>
        </w:rPr>
        <w:t>S</w:t>
      </w:r>
      <w:r w:rsidRPr="004918C8">
        <w:rPr>
          <w:b/>
          <w:bCs/>
        </w:rPr>
        <w:t>1</w:t>
      </w:r>
      <w:r>
        <w:t xml:space="preserve"> Observed </w:t>
      </w:r>
      <w:r w:rsidRPr="00CE6F4A">
        <w:rPr>
          <w:i/>
        </w:rPr>
        <w:t>vs</w:t>
      </w:r>
      <w:r>
        <w:rPr>
          <w:i/>
          <w:iCs/>
        </w:rPr>
        <w:t>.</w:t>
      </w:r>
      <w:r>
        <w:t xml:space="preserve"> Expected heterozygosity for neutral and migration timing datasets among groups. Collections drawn from multiple years are combined</w:t>
      </w:r>
    </w:p>
    <w:p w14:paraId="716AB27D" w14:textId="77777777" w:rsidR="0039543B" w:rsidRPr="00CE6F4A" w:rsidRDefault="0039543B" w:rsidP="0039543B">
      <w:pPr>
        <w:rPr>
          <w:b/>
          <w:bCs/>
        </w:rPr>
      </w:pPr>
    </w:p>
    <w:tbl>
      <w:tblPr>
        <w:tblW w:w="9983" w:type="dxa"/>
        <w:tblCellMar>
          <w:left w:w="0" w:type="dxa"/>
          <w:right w:w="0" w:type="dxa"/>
        </w:tblCellMar>
        <w:tblLook w:val="04A0" w:firstRow="1" w:lastRow="0" w:firstColumn="1" w:lastColumn="0" w:noHBand="0" w:noVBand="1"/>
      </w:tblPr>
      <w:tblGrid>
        <w:gridCol w:w="1569"/>
        <w:gridCol w:w="1060"/>
        <w:gridCol w:w="1060"/>
        <w:gridCol w:w="1060"/>
        <w:gridCol w:w="1060"/>
        <w:gridCol w:w="1060"/>
        <w:gridCol w:w="1060"/>
        <w:gridCol w:w="1060"/>
        <w:gridCol w:w="1060"/>
      </w:tblGrid>
      <w:tr w:rsidR="0039543B" w:rsidRPr="00CE6F4A" w14:paraId="0423850F" w14:textId="77777777" w:rsidTr="00B65FDA">
        <w:trPr>
          <w:trHeight w:val="320"/>
        </w:trPr>
        <w:tc>
          <w:tcPr>
            <w:tcW w:w="1503" w:type="dxa"/>
            <w:tcBorders>
              <w:top w:val="nil"/>
              <w:left w:val="nil"/>
              <w:bottom w:val="nil"/>
              <w:right w:val="nil"/>
            </w:tcBorders>
            <w:shd w:val="clear" w:color="auto" w:fill="auto"/>
            <w:noWrap/>
            <w:tcMar>
              <w:top w:w="15" w:type="dxa"/>
              <w:left w:w="15" w:type="dxa"/>
              <w:bottom w:w="0" w:type="dxa"/>
              <w:right w:w="15" w:type="dxa"/>
            </w:tcMar>
            <w:vAlign w:val="bottom"/>
            <w:hideMark/>
          </w:tcPr>
          <w:p w14:paraId="254E640A" w14:textId="77777777" w:rsidR="0039543B" w:rsidRPr="00CE6F4A" w:rsidRDefault="0039543B" w:rsidP="00B65FDA"/>
        </w:tc>
        <w:tc>
          <w:tcPr>
            <w:tcW w:w="2120" w:type="dxa"/>
            <w:gridSpan w:val="2"/>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B60AC93" w14:textId="77777777" w:rsidR="0039543B" w:rsidRPr="00CE6F4A" w:rsidRDefault="0039543B" w:rsidP="00B65FDA">
            <w:pPr>
              <w:jc w:val="center"/>
              <w:rPr>
                <w:b/>
                <w:bCs/>
                <w:color w:val="000000"/>
                <w:sz w:val="20"/>
                <w:szCs w:val="20"/>
              </w:rPr>
            </w:pPr>
            <w:r w:rsidRPr="00CE6F4A">
              <w:rPr>
                <w:b/>
                <w:bCs/>
                <w:color w:val="000000"/>
                <w:sz w:val="20"/>
                <w:szCs w:val="20"/>
              </w:rPr>
              <w:t>Winter</w:t>
            </w:r>
          </w:p>
        </w:tc>
        <w:tc>
          <w:tcPr>
            <w:tcW w:w="2120" w:type="dxa"/>
            <w:gridSpan w:val="2"/>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6C94E2E" w14:textId="77777777" w:rsidR="0039543B" w:rsidRPr="00CE6F4A" w:rsidRDefault="0039543B" w:rsidP="00B65FDA">
            <w:pPr>
              <w:jc w:val="center"/>
              <w:rPr>
                <w:b/>
                <w:bCs/>
                <w:color w:val="000000"/>
                <w:sz w:val="20"/>
                <w:szCs w:val="20"/>
              </w:rPr>
            </w:pPr>
            <w:r w:rsidRPr="00CE6F4A">
              <w:rPr>
                <w:b/>
                <w:bCs/>
                <w:color w:val="000000"/>
                <w:sz w:val="20"/>
                <w:szCs w:val="20"/>
              </w:rPr>
              <w:t>Early</w:t>
            </w:r>
            <w:r>
              <w:rPr>
                <w:b/>
                <w:bCs/>
                <w:color w:val="000000"/>
                <w:sz w:val="20"/>
                <w:szCs w:val="20"/>
              </w:rPr>
              <w:t xml:space="preserve"> </w:t>
            </w:r>
            <w:r w:rsidRPr="00CE6F4A">
              <w:rPr>
                <w:b/>
                <w:bCs/>
                <w:color w:val="000000"/>
                <w:sz w:val="20"/>
                <w:szCs w:val="20"/>
              </w:rPr>
              <w:t>Summer</w:t>
            </w:r>
          </w:p>
        </w:tc>
        <w:tc>
          <w:tcPr>
            <w:tcW w:w="2120" w:type="dxa"/>
            <w:gridSpan w:val="2"/>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3C91F32" w14:textId="77777777" w:rsidR="0039543B" w:rsidRPr="00CE6F4A" w:rsidRDefault="0039543B" w:rsidP="00B65FDA">
            <w:pPr>
              <w:jc w:val="center"/>
              <w:rPr>
                <w:b/>
                <w:bCs/>
                <w:color w:val="000000"/>
                <w:sz w:val="20"/>
                <w:szCs w:val="20"/>
              </w:rPr>
            </w:pPr>
            <w:r w:rsidRPr="00CE6F4A">
              <w:rPr>
                <w:b/>
                <w:bCs/>
                <w:color w:val="000000"/>
                <w:sz w:val="20"/>
                <w:szCs w:val="20"/>
              </w:rPr>
              <w:t>Late</w:t>
            </w:r>
            <w:r>
              <w:rPr>
                <w:b/>
                <w:bCs/>
                <w:color w:val="000000"/>
                <w:sz w:val="20"/>
                <w:szCs w:val="20"/>
              </w:rPr>
              <w:t xml:space="preserve"> </w:t>
            </w:r>
            <w:r w:rsidRPr="00CE6F4A">
              <w:rPr>
                <w:b/>
                <w:bCs/>
                <w:color w:val="000000"/>
                <w:sz w:val="20"/>
                <w:szCs w:val="20"/>
              </w:rPr>
              <w:t>Summer</w:t>
            </w:r>
          </w:p>
        </w:tc>
        <w:tc>
          <w:tcPr>
            <w:tcW w:w="2120" w:type="dxa"/>
            <w:gridSpan w:val="2"/>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5BE6487" w14:textId="77777777" w:rsidR="0039543B" w:rsidRPr="00CE6F4A" w:rsidRDefault="0039543B" w:rsidP="00B65FDA">
            <w:pPr>
              <w:jc w:val="center"/>
              <w:rPr>
                <w:b/>
                <w:bCs/>
                <w:color w:val="000000"/>
                <w:sz w:val="20"/>
                <w:szCs w:val="20"/>
              </w:rPr>
            </w:pPr>
            <w:r w:rsidRPr="00CE6F4A">
              <w:rPr>
                <w:b/>
                <w:bCs/>
                <w:color w:val="000000"/>
                <w:sz w:val="20"/>
                <w:szCs w:val="20"/>
              </w:rPr>
              <w:t>Half</w:t>
            </w:r>
            <w:r>
              <w:rPr>
                <w:b/>
                <w:bCs/>
                <w:color w:val="000000"/>
                <w:sz w:val="20"/>
                <w:szCs w:val="20"/>
              </w:rPr>
              <w:t xml:space="preserve"> P</w:t>
            </w:r>
            <w:r w:rsidRPr="00CE6F4A">
              <w:rPr>
                <w:b/>
                <w:bCs/>
                <w:color w:val="000000"/>
                <w:sz w:val="20"/>
                <w:szCs w:val="20"/>
              </w:rPr>
              <w:t>ounder</w:t>
            </w:r>
          </w:p>
        </w:tc>
      </w:tr>
      <w:tr w:rsidR="0039543B" w:rsidRPr="00CE6F4A" w14:paraId="5BB8D2BF" w14:textId="77777777" w:rsidTr="00B65FDA">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B44725" w14:textId="77777777" w:rsidR="0039543B" w:rsidRPr="00CE6F4A" w:rsidRDefault="0039543B" w:rsidP="00B65FDA">
            <w:pPr>
              <w:jc w:val="center"/>
              <w:rPr>
                <w:b/>
                <w:bCs/>
                <w:color w:val="000000"/>
                <w:sz w:val="20"/>
                <w:szCs w:val="20"/>
              </w:rPr>
            </w:pP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C1A4735" w14:textId="77777777" w:rsidR="0039543B" w:rsidRPr="00CE6F4A" w:rsidRDefault="0039543B" w:rsidP="00B65FDA">
            <w:pPr>
              <w:jc w:val="center"/>
              <w:rPr>
                <w:color w:val="000000"/>
                <w:sz w:val="20"/>
                <w:szCs w:val="20"/>
              </w:rPr>
            </w:pPr>
            <w:r w:rsidRPr="00CE6F4A">
              <w:rPr>
                <w:color w:val="000000"/>
                <w:sz w:val="20"/>
                <w:szCs w:val="20"/>
              </w:rPr>
              <w:t>Ho</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72AA440" w14:textId="77777777" w:rsidR="0039543B" w:rsidRPr="00CE6F4A" w:rsidRDefault="0039543B" w:rsidP="00B65FDA">
            <w:pPr>
              <w:jc w:val="center"/>
              <w:rPr>
                <w:color w:val="000000"/>
                <w:sz w:val="20"/>
                <w:szCs w:val="20"/>
              </w:rPr>
            </w:pPr>
            <w:r w:rsidRPr="00CE6F4A">
              <w:rPr>
                <w:color w:val="000000"/>
                <w:sz w:val="20"/>
                <w:szCs w:val="20"/>
              </w:rPr>
              <w:t>He</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9EC2FF3" w14:textId="77777777" w:rsidR="0039543B" w:rsidRPr="00CE6F4A" w:rsidRDefault="0039543B" w:rsidP="00B65FDA">
            <w:pPr>
              <w:jc w:val="center"/>
              <w:rPr>
                <w:color w:val="000000"/>
                <w:sz w:val="20"/>
                <w:szCs w:val="20"/>
              </w:rPr>
            </w:pPr>
            <w:r w:rsidRPr="00CE6F4A">
              <w:rPr>
                <w:color w:val="000000"/>
                <w:sz w:val="20"/>
                <w:szCs w:val="20"/>
              </w:rPr>
              <w:t>Ho</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4F84B21" w14:textId="77777777" w:rsidR="0039543B" w:rsidRPr="00CE6F4A" w:rsidRDefault="0039543B" w:rsidP="00B65FDA">
            <w:pPr>
              <w:jc w:val="center"/>
              <w:rPr>
                <w:color w:val="000000"/>
                <w:sz w:val="20"/>
                <w:szCs w:val="20"/>
              </w:rPr>
            </w:pPr>
            <w:r w:rsidRPr="00CE6F4A">
              <w:rPr>
                <w:color w:val="000000"/>
                <w:sz w:val="20"/>
                <w:szCs w:val="20"/>
              </w:rPr>
              <w:t>He</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4670043" w14:textId="77777777" w:rsidR="0039543B" w:rsidRPr="00CE6F4A" w:rsidRDefault="0039543B" w:rsidP="00B65FDA">
            <w:pPr>
              <w:jc w:val="center"/>
              <w:rPr>
                <w:color w:val="000000"/>
                <w:sz w:val="20"/>
                <w:szCs w:val="20"/>
              </w:rPr>
            </w:pPr>
            <w:r w:rsidRPr="00CE6F4A">
              <w:rPr>
                <w:color w:val="000000"/>
                <w:sz w:val="20"/>
                <w:szCs w:val="20"/>
              </w:rPr>
              <w:t>Ho</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E81EAEB" w14:textId="77777777" w:rsidR="0039543B" w:rsidRPr="00CE6F4A" w:rsidRDefault="0039543B" w:rsidP="00B65FDA">
            <w:pPr>
              <w:jc w:val="center"/>
              <w:rPr>
                <w:color w:val="000000"/>
                <w:sz w:val="20"/>
                <w:szCs w:val="20"/>
              </w:rPr>
            </w:pPr>
            <w:r w:rsidRPr="00CE6F4A">
              <w:rPr>
                <w:color w:val="000000"/>
                <w:sz w:val="20"/>
                <w:szCs w:val="20"/>
              </w:rPr>
              <w:t>He</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91E3EBF" w14:textId="77777777" w:rsidR="0039543B" w:rsidRPr="00CE6F4A" w:rsidRDefault="0039543B" w:rsidP="00B65FDA">
            <w:pPr>
              <w:jc w:val="center"/>
              <w:rPr>
                <w:color w:val="000000"/>
                <w:sz w:val="20"/>
                <w:szCs w:val="20"/>
              </w:rPr>
            </w:pPr>
            <w:r w:rsidRPr="00CE6F4A">
              <w:rPr>
                <w:color w:val="000000"/>
                <w:sz w:val="20"/>
                <w:szCs w:val="20"/>
              </w:rPr>
              <w:t>Ho</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859E526" w14:textId="77777777" w:rsidR="0039543B" w:rsidRPr="00CE6F4A" w:rsidRDefault="0039543B" w:rsidP="00B65FDA">
            <w:pPr>
              <w:jc w:val="center"/>
              <w:rPr>
                <w:color w:val="000000"/>
                <w:sz w:val="20"/>
                <w:szCs w:val="20"/>
              </w:rPr>
            </w:pPr>
            <w:r w:rsidRPr="00CE6F4A">
              <w:rPr>
                <w:color w:val="000000"/>
                <w:sz w:val="20"/>
                <w:szCs w:val="20"/>
              </w:rPr>
              <w:t>He</w:t>
            </w:r>
          </w:p>
        </w:tc>
      </w:tr>
      <w:tr w:rsidR="0039543B" w:rsidRPr="00CE6F4A" w14:paraId="0F07C04A" w14:textId="77777777" w:rsidTr="00B65FDA">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C79D176" w14:textId="77777777" w:rsidR="0039543B" w:rsidRPr="00CE6F4A" w:rsidRDefault="0039543B" w:rsidP="00B65FDA">
            <w:pPr>
              <w:jc w:val="center"/>
              <w:rPr>
                <w:b/>
                <w:bCs/>
                <w:color w:val="000000"/>
                <w:sz w:val="20"/>
                <w:szCs w:val="20"/>
              </w:rPr>
            </w:pPr>
            <w:r>
              <w:rPr>
                <w:b/>
                <w:bCs/>
                <w:color w:val="000000"/>
                <w:sz w:val="20"/>
                <w:szCs w:val="20"/>
              </w:rPr>
              <w:t>Neutral Dataset</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865812C" w14:textId="77777777" w:rsidR="0039543B" w:rsidRPr="00CE6F4A" w:rsidRDefault="0039543B" w:rsidP="00B65FDA">
            <w:pPr>
              <w:jc w:val="center"/>
              <w:rPr>
                <w:color w:val="000000"/>
                <w:sz w:val="20"/>
                <w:szCs w:val="20"/>
              </w:rPr>
            </w:pPr>
            <w:r w:rsidRPr="00514F46">
              <w:rPr>
                <w:rFonts w:ascii="Calibri" w:hAnsi="Calibri" w:cs="Calibri"/>
                <w:color w:val="000000"/>
                <w:sz w:val="20"/>
                <w:szCs w:val="20"/>
              </w:rPr>
              <w:t>﻿</w:t>
            </w:r>
            <w:r w:rsidRPr="00514F46">
              <w:rPr>
                <w:color w:val="000000"/>
                <w:sz w:val="20"/>
                <w:szCs w:val="20"/>
              </w:rPr>
              <w:t>0.30</w:t>
            </w:r>
            <w:r>
              <w:rPr>
                <w:color w:val="000000"/>
                <w:sz w:val="20"/>
                <w:szCs w:val="2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193EA3" w14:textId="77777777" w:rsidR="0039543B" w:rsidRPr="00CE6F4A" w:rsidRDefault="0039543B" w:rsidP="00B65FDA">
            <w:pPr>
              <w:jc w:val="center"/>
              <w:rPr>
                <w:color w:val="000000"/>
                <w:sz w:val="20"/>
                <w:szCs w:val="20"/>
              </w:rPr>
            </w:pPr>
            <w:r w:rsidRPr="00514F46">
              <w:rPr>
                <w:rFonts w:ascii="Calibri" w:hAnsi="Calibri" w:cs="Calibri"/>
                <w:color w:val="000000"/>
                <w:sz w:val="20"/>
                <w:szCs w:val="20"/>
              </w:rPr>
              <w:t>﻿</w:t>
            </w:r>
            <w:r w:rsidRPr="00514F46">
              <w:rPr>
                <w:color w:val="000000"/>
                <w:sz w:val="20"/>
                <w:szCs w:val="20"/>
              </w:rPr>
              <w:t>0.31</w:t>
            </w:r>
            <w:r>
              <w:rPr>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84E242" w14:textId="77777777" w:rsidR="0039543B" w:rsidRPr="00CE6F4A" w:rsidRDefault="0039543B" w:rsidP="00B65FDA">
            <w:pPr>
              <w:jc w:val="center"/>
              <w:rPr>
                <w:color w:val="000000"/>
                <w:sz w:val="20"/>
                <w:szCs w:val="20"/>
              </w:rPr>
            </w:pPr>
            <w:r>
              <w:rPr>
                <w:color w:val="000000"/>
                <w:sz w:val="20"/>
                <w:szCs w:val="20"/>
              </w:rPr>
              <w:t>0.301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CE8DF4E" w14:textId="77777777" w:rsidR="0039543B" w:rsidRPr="00CE6F4A" w:rsidRDefault="0039543B" w:rsidP="00B65FDA">
            <w:pPr>
              <w:jc w:val="center"/>
              <w:rPr>
                <w:color w:val="000000"/>
                <w:sz w:val="20"/>
                <w:szCs w:val="20"/>
              </w:rPr>
            </w:pPr>
            <w:r>
              <w:rPr>
                <w:color w:val="000000"/>
                <w:sz w:val="20"/>
                <w:szCs w:val="20"/>
              </w:rPr>
              <w:t>0.304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CBB1AB" w14:textId="77777777" w:rsidR="0039543B" w:rsidRPr="00CE6F4A" w:rsidRDefault="0039543B" w:rsidP="00B65FDA">
            <w:pPr>
              <w:jc w:val="center"/>
              <w:rPr>
                <w:color w:val="000000"/>
                <w:sz w:val="20"/>
                <w:szCs w:val="20"/>
              </w:rPr>
            </w:pPr>
            <w:r w:rsidRPr="00CE6F4A">
              <w:rPr>
                <w:color w:val="000000"/>
                <w:sz w:val="20"/>
                <w:szCs w:val="20"/>
              </w:rPr>
              <w:t>0.</w:t>
            </w:r>
            <w:r>
              <w:rPr>
                <w:color w:val="000000"/>
                <w:sz w:val="20"/>
                <w:szCs w:val="20"/>
              </w:rPr>
              <w:t>301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6BAA2F" w14:textId="77777777" w:rsidR="0039543B" w:rsidRPr="00CE6F4A" w:rsidRDefault="0039543B" w:rsidP="00B65FDA">
            <w:pPr>
              <w:jc w:val="center"/>
              <w:rPr>
                <w:color w:val="000000"/>
                <w:sz w:val="20"/>
                <w:szCs w:val="20"/>
              </w:rPr>
            </w:pPr>
            <w:r w:rsidRPr="00CE6F4A">
              <w:rPr>
                <w:color w:val="000000"/>
                <w:sz w:val="20"/>
                <w:szCs w:val="20"/>
              </w:rPr>
              <w:t>0.</w:t>
            </w:r>
            <w:r>
              <w:rPr>
                <w:color w:val="000000"/>
                <w:sz w:val="20"/>
                <w:szCs w:val="20"/>
              </w:rPr>
              <w:t>308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66CCEB4" w14:textId="77777777" w:rsidR="0039543B" w:rsidRPr="00CE6F4A" w:rsidRDefault="0039543B" w:rsidP="00B65FDA">
            <w:pPr>
              <w:jc w:val="center"/>
              <w:rPr>
                <w:color w:val="000000"/>
                <w:sz w:val="20"/>
                <w:szCs w:val="20"/>
              </w:rPr>
            </w:pPr>
            <w:r w:rsidRPr="00CE6F4A">
              <w:rPr>
                <w:color w:val="000000"/>
                <w:sz w:val="20"/>
                <w:szCs w:val="20"/>
              </w:rPr>
              <w:t>0.2</w:t>
            </w:r>
            <w:r>
              <w:rPr>
                <w:color w:val="000000"/>
                <w:sz w:val="20"/>
                <w:szCs w:val="20"/>
              </w:rPr>
              <w:t>99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428C29" w14:textId="77777777" w:rsidR="0039543B" w:rsidRPr="00CE6F4A" w:rsidRDefault="0039543B" w:rsidP="00B65FDA">
            <w:pPr>
              <w:jc w:val="center"/>
              <w:rPr>
                <w:color w:val="000000"/>
                <w:sz w:val="20"/>
                <w:szCs w:val="20"/>
              </w:rPr>
            </w:pPr>
            <w:r w:rsidRPr="00CE6F4A">
              <w:rPr>
                <w:color w:val="000000"/>
                <w:sz w:val="20"/>
                <w:szCs w:val="20"/>
              </w:rPr>
              <w:t>0.</w:t>
            </w:r>
            <w:r>
              <w:rPr>
                <w:color w:val="000000"/>
                <w:sz w:val="20"/>
                <w:szCs w:val="20"/>
              </w:rPr>
              <w:t>309</w:t>
            </w:r>
          </w:p>
        </w:tc>
      </w:tr>
      <w:tr w:rsidR="0039543B" w:rsidRPr="00CE6F4A" w14:paraId="10ED1750" w14:textId="77777777" w:rsidTr="00B65FDA">
        <w:trPr>
          <w:trHeight w:val="320"/>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7687D9F" w14:textId="77777777" w:rsidR="0039543B" w:rsidRDefault="0039543B" w:rsidP="00B65FDA">
            <w:pPr>
              <w:jc w:val="center"/>
              <w:rPr>
                <w:b/>
                <w:bCs/>
                <w:color w:val="000000"/>
                <w:sz w:val="20"/>
                <w:szCs w:val="20"/>
              </w:rPr>
            </w:pPr>
            <w:r w:rsidRPr="00CE6F4A">
              <w:rPr>
                <w:b/>
                <w:bCs/>
                <w:color w:val="000000"/>
                <w:sz w:val="20"/>
                <w:szCs w:val="20"/>
              </w:rPr>
              <w:t xml:space="preserve">Migration </w:t>
            </w:r>
            <w:r>
              <w:rPr>
                <w:b/>
                <w:bCs/>
                <w:color w:val="000000"/>
                <w:sz w:val="20"/>
                <w:szCs w:val="20"/>
              </w:rPr>
              <w:t>T</w:t>
            </w:r>
            <w:r w:rsidRPr="00CE6F4A">
              <w:rPr>
                <w:b/>
                <w:bCs/>
                <w:color w:val="000000"/>
                <w:sz w:val="20"/>
                <w:szCs w:val="20"/>
              </w:rPr>
              <w:t>iming</w:t>
            </w:r>
          </w:p>
          <w:p w14:paraId="3EA81314" w14:textId="77777777" w:rsidR="0039543B" w:rsidRPr="00CE6F4A" w:rsidRDefault="0039543B" w:rsidP="00B65FDA">
            <w:pPr>
              <w:jc w:val="center"/>
              <w:rPr>
                <w:b/>
                <w:bCs/>
                <w:color w:val="000000"/>
                <w:sz w:val="20"/>
                <w:szCs w:val="20"/>
              </w:rPr>
            </w:pPr>
            <w:r>
              <w:rPr>
                <w:b/>
                <w:bCs/>
                <w:color w:val="000000"/>
                <w:sz w:val="20"/>
                <w:szCs w:val="20"/>
              </w:rPr>
              <w:t>Dataset</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0F0C9B2" w14:textId="77777777" w:rsidR="0039543B" w:rsidRPr="00CE6F4A" w:rsidRDefault="0039543B" w:rsidP="00B65FDA">
            <w:pPr>
              <w:jc w:val="center"/>
              <w:rPr>
                <w:color w:val="000000"/>
                <w:sz w:val="20"/>
                <w:szCs w:val="20"/>
              </w:rPr>
            </w:pPr>
            <w:r w:rsidRPr="00CE6F4A">
              <w:rPr>
                <w:color w:val="000000"/>
                <w:sz w:val="20"/>
                <w:szCs w:val="20"/>
              </w:rPr>
              <w:t>0.102</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0768CED" w14:textId="77777777" w:rsidR="0039543B" w:rsidRPr="00CE6F4A" w:rsidRDefault="0039543B" w:rsidP="00B65FDA">
            <w:pPr>
              <w:jc w:val="center"/>
              <w:rPr>
                <w:color w:val="000000"/>
                <w:sz w:val="20"/>
                <w:szCs w:val="20"/>
              </w:rPr>
            </w:pPr>
            <w:r w:rsidRPr="00CE6F4A">
              <w:rPr>
                <w:color w:val="000000"/>
                <w:sz w:val="20"/>
                <w:szCs w:val="20"/>
              </w:rPr>
              <w:t>0.096</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F094315" w14:textId="77777777" w:rsidR="0039543B" w:rsidRPr="00CE6F4A" w:rsidRDefault="0039543B" w:rsidP="00B65FDA">
            <w:pPr>
              <w:jc w:val="center"/>
              <w:rPr>
                <w:color w:val="000000"/>
                <w:sz w:val="20"/>
                <w:szCs w:val="20"/>
              </w:rPr>
            </w:pPr>
            <w:r w:rsidRPr="00CE6F4A">
              <w:rPr>
                <w:color w:val="000000"/>
                <w:sz w:val="20"/>
                <w:szCs w:val="20"/>
              </w:rPr>
              <w:t>0.010</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15F2E15" w14:textId="77777777" w:rsidR="0039543B" w:rsidRPr="00CE6F4A" w:rsidRDefault="0039543B" w:rsidP="00B65FDA">
            <w:pPr>
              <w:jc w:val="center"/>
              <w:rPr>
                <w:color w:val="000000"/>
                <w:sz w:val="20"/>
                <w:szCs w:val="20"/>
              </w:rPr>
            </w:pPr>
            <w:r w:rsidRPr="00CE6F4A">
              <w:rPr>
                <w:color w:val="000000"/>
                <w:sz w:val="20"/>
                <w:szCs w:val="20"/>
              </w:rPr>
              <w:t>0.009</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B77B0F8" w14:textId="77777777" w:rsidR="0039543B" w:rsidRPr="00CE6F4A" w:rsidRDefault="0039543B" w:rsidP="00B65FDA">
            <w:pPr>
              <w:jc w:val="center"/>
              <w:rPr>
                <w:color w:val="000000"/>
                <w:sz w:val="20"/>
                <w:szCs w:val="20"/>
              </w:rPr>
            </w:pPr>
            <w:r w:rsidRPr="00CE6F4A">
              <w:rPr>
                <w:color w:val="000000"/>
                <w:sz w:val="20"/>
                <w:szCs w:val="20"/>
              </w:rPr>
              <w:t>0.387</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9CD1607" w14:textId="77777777" w:rsidR="0039543B" w:rsidRPr="00CE6F4A" w:rsidRDefault="0039543B" w:rsidP="00B65FDA">
            <w:pPr>
              <w:jc w:val="center"/>
              <w:rPr>
                <w:color w:val="000000"/>
                <w:sz w:val="20"/>
                <w:szCs w:val="20"/>
              </w:rPr>
            </w:pPr>
            <w:r w:rsidRPr="00CE6F4A">
              <w:rPr>
                <w:color w:val="000000"/>
                <w:sz w:val="20"/>
                <w:szCs w:val="20"/>
              </w:rPr>
              <w:t>0.35</w:t>
            </w:r>
            <w:r>
              <w:rPr>
                <w:color w:val="000000"/>
                <w:sz w:val="20"/>
                <w:szCs w:val="20"/>
              </w:rPr>
              <w:t>5</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BD2CECE" w14:textId="77777777" w:rsidR="0039543B" w:rsidRPr="00CE6F4A" w:rsidRDefault="0039543B" w:rsidP="00B65FDA">
            <w:pPr>
              <w:jc w:val="center"/>
              <w:rPr>
                <w:color w:val="000000"/>
                <w:sz w:val="20"/>
                <w:szCs w:val="20"/>
              </w:rPr>
            </w:pPr>
            <w:r w:rsidRPr="00CE6F4A">
              <w:rPr>
                <w:color w:val="000000"/>
                <w:sz w:val="20"/>
                <w:szCs w:val="20"/>
              </w:rPr>
              <w:t>0.266</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1547A85" w14:textId="77777777" w:rsidR="0039543B" w:rsidRPr="00CE6F4A" w:rsidRDefault="0039543B" w:rsidP="00B65FDA">
            <w:pPr>
              <w:jc w:val="center"/>
              <w:rPr>
                <w:color w:val="000000"/>
                <w:sz w:val="20"/>
                <w:szCs w:val="20"/>
              </w:rPr>
            </w:pPr>
            <w:r w:rsidRPr="00CE6F4A">
              <w:rPr>
                <w:color w:val="000000"/>
                <w:sz w:val="20"/>
                <w:szCs w:val="20"/>
              </w:rPr>
              <w:t>0.357</w:t>
            </w:r>
          </w:p>
        </w:tc>
      </w:tr>
    </w:tbl>
    <w:p w14:paraId="72A4071D" w14:textId="77777777" w:rsidR="0039543B" w:rsidRDefault="0039543B" w:rsidP="0039543B">
      <w:pPr>
        <w:rPr>
          <w:b/>
          <w:bCs/>
        </w:rPr>
      </w:pPr>
      <w:r w:rsidRPr="00BC4605">
        <w:rPr>
          <w:b/>
          <w:bCs/>
        </w:rPr>
        <w:t xml:space="preserve"> </w:t>
      </w:r>
    </w:p>
    <w:p w14:paraId="19B1E670" w14:textId="77777777" w:rsidR="0039543B" w:rsidRDefault="0039543B" w:rsidP="0039543B">
      <w:pPr>
        <w:rPr>
          <w:b/>
          <w:bCs/>
        </w:rPr>
      </w:pPr>
    </w:p>
    <w:p w14:paraId="58E216C0" w14:textId="772AC13E" w:rsidR="0039543B" w:rsidRPr="007A3386" w:rsidRDefault="0039543B" w:rsidP="0039543B">
      <w:r w:rsidRPr="00960B7D">
        <w:rPr>
          <w:b/>
          <w:bCs/>
        </w:rPr>
        <w:t xml:space="preserve">Table </w:t>
      </w:r>
      <w:r w:rsidR="00EA0EE4">
        <w:rPr>
          <w:b/>
          <w:bCs/>
        </w:rPr>
        <w:t>S</w:t>
      </w:r>
      <w:r>
        <w:rPr>
          <w:b/>
          <w:bCs/>
        </w:rPr>
        <w:t xml:space="preserve">2 </w:t>
      </w:r>
      <w:r w:rsidRPr="00960B7D">
        <w:t>Mean</w:t>
      </w:r>
      <w:r>
        <w:rPr>
          <w:b/>
          <w:bCs/>
        </w:rPr>
        <w:t xml:space="preserve"> </w:t>
      </w:r>
      <w:r>
        <w:t xml:space="preserve">admixture proportions and standard deviation for the four groups analyzed with STRUCTURE using </w:t>
      </w:r>
      <w:r>
        <w:rPr>
          <w:i/>
          <w:iCs/>
        </w:rPr>
        <w:t xml:space="preserve">k = </w:t>
      </w:r>
      <w:r>
        <w:rPr>
          <w:i/>
          <w:iCs/>
        </w:rPr>
        <w:softHyphen/>
      </w:r>
      <w:r>
        <w:t xml:space="preserve">3. Cluster 1 appears as purple, 2 as blue-green, and 3 as yellow (in order from top to bottom) in the </w:t>
      </w:r>
      <w:r w:rsidRPr="00E237D0">
        <w:rPr>
          <w:i/>
          <w:iCs/>
        </w:rPr>
        <w:t>k</w:t>
      </w:r>
      <w:r>
        <w:t xml:space="preserve"> = 3 row of Fig. 2</w:t>
      </w:r>
    </w:p>
    <w:p w14:paraId="748FA933" w14:textId="77777777" w:rsidR="0039543B" w:rsidRDefault="0039543B" w:rsidP="0039543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260"/>
        <w:gridCol w:w="1170"/>
        <w:gridCol w:w="1530"/>
      </w:tblGrid>
      <w:tr w:rsidR="0039543B" w:rsidRPr="00377C79" w14:paraId="0AE49081" w14:textId="77777777" w:rsidTr="00B65FDA">
        <w:tc>
          <w:tcPr>
            <w:tcW w:w="1440" w:type="dxa"/>
            <w:tcBorders>
              <w:top w:val="single" w:sz="4" w:space="0" w:color="auto"/>
              <w:bottom w:val="single" w:sz="4" w:space="0" w:color="auto"/>
            </w:tcBorders>
          </w:tcPr>
          <w:p w14:paraId="465B077B" w14:textId="77777777" w:rsidR="0039543B" w:rsidRPr="00960B7D" w:rsidRDefault="0039543B" w:rsidP="00B65FDA">
            <w:pPr>
              <w:jc w:val="center"/>
              <w:rPr>
                <w:b/>
                <w:bCs/>
                <w:sz w:val="20"/>
                <w:szCs w:val="20"/>
              </w:rPr>
            </w:pPr>
          </w:p>
        </w:tc>
        <w:tc>
          <w:tcPr>
            <w:tcW w:w="1260" w:type="dxa"/>
            <w:tcBorders>
              <w:top w:val="single" w:sz="4" w:space="0" w:color="auto"/>
              <w:bottom w:val="single" w:sz="4" w:space="0" w:color="auto"/>
            </w:tcBorders>
          </w:tcPr>
          <w:p w14:paraId="2D3AE090" w14:textId="77777777" w:rsidR="0039543B" w:rsidRPr="00960B7D" w:rsidRDefault="0039543B" w:rsidP="00B65FDA">
            <w:pPr>
              <w:jc w:val="center"/>
              <w:rPr>
                <w:b/>
                <w:bCs/>
                <w:sz w:val="20"/>
                <w:szCs w:val="20"/>
              </w:rPr>
            </w:pPr>
            <w:r w:rsidRPr="00960B7D">
              <w:rPr>
                <w:b/>
                <w:bCs/>
                <w:sz w:val="20"/>
                <w:szCs w:val="20"/>
              </w:rPr>
              <w:t>Cluster 1</w:t>
            </w:r>
          </w:p>
        </w:tc>
        <w:tc>
          <w:tcPr>
            <w:tcW w:w="1170" w:type="dxa"/>
            <w:tcBorders>
              <w:top w:val="single" w:sz="4" w:space="0" w:color="auto"/>
              <w:bottom w:val="single" w:sz="4" w:space="0" w:color="auto"/>
            </w:tcBorders>
          </w:tcPr>
          <w:p w14:paraId="46C5B6D9" w14:textId="77777777" w:rsidR="0039543B" w:rsidRPr="00960B7D" w:rsidRDefault="0039543B" w:rsidP="00B65FDA">
            <w:pPr>
              <w:jc w:val="center"/>
              <w:rPr>
                <w:b/>
                <w:bCs/>
                <w:sz w:val="20"/>
                <w:szCs w:val="20"/>
              </w:rPr>
            </w:pPr>
            <w:r w:rsidRPr="00960B7D">
              <w:rPr>
                <w:b/>
                <w:bCs/>
                <w:sz w:val="20"/>
                <w:szCs w:val="20"/>
              </w:rPr>
              <w:t>Cluster 2</w:t>
            </w:r>
          </w:p>
        </w:tc>
        <w:tc>
          <w:tcPr>
            <w:tcW w:w="1530" w:type="dxa"/>
            <w:tcBorders>
              <w:top w:val="single" w:sz="4" w:space="0" w:color="auto"/>
              <w:bottom w:val="single" w:sz="4" w:space="0" w:color="auto"/>
            </w:tcBorders>
          </w:tcPr>
          <w:p w14:paraId="2A048810" w14:textId="77777777" w:rsidR="0039543B" w:rsidRPr="00960B7D" w:rsidRDefault="0039543B" w:rsidP="00B65FDA">
            <w:pPr>
              <w:jc w:val="center"/>
              <w:rPr>
                <w:b/>
                <w:bCs/>
                <w:sz w:val="20"/>
                <w:szCs w:val="20"/>
              </w:rPr>
            </w:pPr>
            <w:r w:rsidRPr="00960B7D">
              <w:rPr>
                <w:b/>
                <w:bCs/>
                <w:sz w:val="20"/>
                <w:szCs w:val="20"/>
              </w:rPr>
              <w:t>Cluster 3</w:t>
            </w:r>
          </w:p>
        </w:tc>
      </w:tr>
      <w:tr w:rsidR="0039543B" w:rsidRPr="00377C79" w14:paraId="553FEC64" w14:textId="77777777" w:rsidTr="00B65FDA">
        <w:tc>
          <w:tcPr>
            <w:tcW w:w="1440" w:type="dxa"/>
            <w:tcBorders>
              <w:top w:val="single" w:sz="4" w:space="0" w:color="auto"/>
            </w:tcBorders>
          </w:tcPr>
          <w:p w14:paraId="7D884B4C" w14:textId="77777777" w:rsidR="0039543B" w:rsidRPr="00960B7D" w:rsidRDefault="0039543B" w:rsidP="00B65FDA">
            <w:pPr>
              <w:jc w:val="center"/>
              <w:rPr>
                <w:sz w:val="20"/>
                <w:szCs w:val="20"/>
              </w:rPr>
            </w:pPr>
            <w:r w:rsidRPr="00960B7D">
              <w:rPr>
                <w:sz w:val="20"/>
                <w:szCs w:val="20"/>
              </w:rPr>
              <w:t>Late</w:t>
            </w:r>
            <w:r>
              <w:rPr>
                <w:sz w:val="20"/>
                <w:szCs w:val="20"/>
              </w:rPr>
              <w:t xml:space="preserve"> S</w:t>
            </w:r>
            <w:r w:rsidRPr="00960B7D">
              <w:rPr>
                <w:sz w:val="20"/>
                <w:szCs w:val="20"/>
              </w:rPr>
              <w:t>ummer</w:t>
            </w:r>
          </w:p>
        </w:tc>
        <w:tc>
          <w:tcPr>
            <w:tcW w:w="1260" w:type="dxa"/>
            <w:tcBorders>
              <w:top w:val="single" w:sz="4" w:space="0" w:color="auto"/>
            </w:tcBorders>
          </w:tcPr>
          <w:p w14:paraId="70BDA9C7" w14:textId="77777777" w:rsidR="0039543B" w:rsidRPr="0085052D" w:rsidRDefault="0039543B" w:rsidP="00B65FDA">
            <w:pPr>
              <w:jc w:val="center"/>
              <w:rPr>
                <w:sz w:val="20"/>
                <w:szCs w:val="20"/>
              </w:rPr>
            </w:pPr>
            <w:r w:rsidRPr="0085052D">
              <w:rPr>
                <w:sz w:val="20"/>
                <w:szCs w:val="20"/>
              </w:rPr>
              <w:t>0.3</w:t>
            </w:r>
            <w:r>
              <w:rPr>
                <w:sz w:val="20"/>
                <w:szCs w:val="20"/>
              </w:rPr>
              <w:t>7</w:t>
            </w:r>
            <w:r w:rsidRPr="0085052D">
              <w:rPr>
                <w:sz w:val="20"/>
                <w:szCs w:val="20"/>
              </w:rPr>
              <w:t xml:space="preserve"> ± 0.1</w:t>
            </w:r>
            <w:r>
              <w:rPr>
                <w:sz w:val="20"/>
                <w:szCs w:val="20"/>
              </w:rPr>
              <w:t>8</w:t>
            </w:r>
          </w:p>
        </w:tc>
        <w:tc>
          <w:tcPr>
            <w:tcW w:w="1170" w:type="dxa"/>
            <w:tcBorders>
              <w:top w:val="single" w:sz="4" w:space="0" w:color="auto"/>
            </w:tcBorders>
          </w:tcPr>
          <w:p w14:paraId="37272B35" w14:textId="77777777" w:rsidR="0039543B" w:rsidRPr="0085052D" w:rsidRDefault="0039543B" w:rsidP="00B65FDA">
            <w:pPr>
              <w:jc w:val="center"/>
              <w:rPr>
                <w:sz w:val="20"/>
                <w:szCs w:val="20"/>
              </w:rPr>
            </w:pPr>
            <w:r w:rsidRPr="0085052D">
              <w:rPr>
                <w:sz w:val="20"/>
                <w:szCs w:val="20"/>
              </w:rPr>
              <w:t>0.33 ± 0.2</w:t>
            </w:r>
            <w:r>
              <w:rPr>
                <w:sz w:val="20"/>
                <w:szCs w:val="20"/>
              </w:rPr>
              <w:t>1</w:t>
            </w:r>
          </w:p>
        </w:tc>
        <w:tc>
          <w:tcPr>
            <w:tcW w:w="1530" w:type="dxa"/>
            <w:tcBorders>
              <w:top w:val="single" w:sz="4" w:space="0" w:color="auto"/>
            </w:tcBorders>
          </w:tcPr>
          <w:p w14:paraId="74B16A17" w14:textId="77777777" w:rsidR="0039543B" w:rsidRPr="0085052D" w:rsidRDefault="0039543B" w:rsidP="00B65FDA">
            <w:pPr>
              <w:jc w:val="center"/>
              <w:rPr>
                <w:sz w:val="20"/>
                <w:szCs w:val="20"/>
              </w:rPr>
            </w:pPr>
            <w:r w:rsidRPr="0085052D">
              <w:rPr>
                <w:sz w:val="20"/>
                <w:szCs w:val="20"/>
              </w:rPr>
              <w:t>0.30 ± 0.16</w:t>
            </w:r>
          </w:p>
        </w:tc>
      </w:tr>
      <w:tr w:rsidR="0039543B" w:rsidRPr="00377C79" w14:paraId="03139355" w14:textId="77777777" w:rsidTr="00B65FDA">
        <w:tc>
          <w:tcPr>
            <w:tcW w:w="1440" w:type="dxa"/>
          </w:tcPr>
          <w:p w14:paraId="105C91DF" w14:textId="77777777" w:rsidR="0039543B" w:rsidRPr="00960B7D" w:rsidRDefault="0039543B" w:rsidP="00B65FDA">
            <w:pPr>
              <w:jc w:val="center"/>
              <w:rPr>
                <w:sz w:val="20"/>
                <w:szCs w:val="20"/>
              </w:rPr>
            </w:pPr>
            <w:r w:rsidRPr="00960B7D">
              <w:rPr>
                <w:sz w:val="20"/>
                <w:szCs w:val="20"/>
              </w:rPr>
              <w:t>Half</w:t>
            </w:r>
            <w:r>
              <w:rPr>
                <w:sz w:val="20"/>
                <w:szCs w:val="20"/>
              </w:rPr>
              <w:t xml:space="preserve"> P</w:t>
            </w:r>
            <w:r w:rsidRPr="00960B7D">
              <w:rPr>
                <w:sz w:val="20"/>
                <w:szCs w:val="20"/>
              </w:rPr>
              <w:t>ounder</w:t>
            </w:r>
          </w:p>
        </w:tc>
        <w:tc>
          <w:tcPr>
            <w:tcW w:w="1260" w:type="dxa"/>
          </w:tcPr>
          <w:p w14:paraId="4A54CDCF" w14:textId="77777777" w:rsidR="0039543B" w:rsidRPr="0085052D" w:rsidRDefault="0039543B" w:rsidP="00B65FDA">
            <w:pPr>
              <w:jc w:val="center"/>
              <w:rPr>
                <w:sz w:val="20"/>
                <w:szCs w:val="20"/>
              </w:rPr>
            </w:pPr>
            <w:r w:rsidRPr="0085052D">
              <w:rPr>
                <w:sz w:val="20"/>
                <w:szCs w:val="20"/>
              </w:rPr>
              <w:t>0.34 ± 0.17</w:t>
            </w:r>
          </w:p>
        </w:tc>
        <w:tc>
          <w:tcPr>
            <w:tcW w:w="1170" w:type="dxa"/>
          </w:tcPr>
          <w:p w14:paraId="32686813" w14:textId="77777777" w:rsidR="0039543B" w:rsidRPr="0085052D" w:rsidRDefault="0039543B" w:rsidP="00B65FDA">
            <w:pPr>
              <w:jc w:val="center"/>
              <w:rPr>
                <w:sz w:val="20"/>
                <w:szCs w:val="20"/>
              </w:rPr>
            </w:pPr>
            <w:r w:rsidRPr="0085052D">
              <w:rPr>
                <w:sz w:val="20"/>
                <w:szCs w:val="20"/>
              </w:rPr>
              <w:t>0.3</w:t>
            </w:r>
            <w:r>
              <w:rPr>
                <w:sz w:val="20"/>
                <w:szCs w:val="20"/>
              </w:rPr>
              <w:t>2</w:t>
            </w:r>
            <w:r w:rsidRPr="0085052D">
              <w:rPr>
                <w:sz w:val="20"/>
                <w:szCs w:val="20"/>
              </w:rPr>
              <w:t xml:space="preserve"> ± 0.21</w:t>
            </w:r>
          </w:p>
        </w:tc>
        <w:tc>
          <w:tcPr>
            <w:tcW w:w="1530" w:type="dxa"/>
          </w:tcPr>
          <w:p w14:paraId="6A6D6DA0" w14:textId="77777777" w:rsidR="0039543B" w:rsidRPr="0085052D" w:rsidRDefault="0039543B" w:rsidP="00B65FDA">
            <w:pPr>
              <w:jc w:val="center"/>
              <w:rPr>
                <w:sz w:val="20"/>
                <w:szCs w:val="20"/>
              </w:rPr>
            </w:pPr>
            <w:r w:rsidRPr="0085052D">
              <w:rPr>
                <w:sz w:val="20"/>
                <w:szCs w:val="20"/>
              </w:rPr>
              <w:t>0.34 ± 0.18</w:t>
            </w:r>
          </w:p>
        </w:tc>
      </w:tr>
      <w:tr w:rsidR="0039543B" w:rsidRPr="00377C79" w14:paraId="4C360634" w14:textId="77777777" w:rsidTr="00B65FDA">
        <w:tc>
          <w:tcPr>
            <w:tcW w:w="1440" w:type="dxa"/>
          </w:tcPr>
          <w:p w14:paraId="2107CF31" w14:textId="77777777" w:rsidR="0039543B" w:rsidRPr="00960B7D" w:rsidRDefault="0039543B" w:rsidP="00B65FDA">
            <w:pPr>
              <w:jc w:val="center"/>
              <w:rPr>
                <w:sz w:val="20"/>
                <w:szCs w:val="20"/>
              </w:rPr>
            </w:pPr>
            <w:r w:rsidRPr="00960B7D">
              <w:rPr>
                <w:sz w:val="20"/>
                <w:szCs w:val="20"/>
              </w:rPr>
              <w:t>Early</w:t>
            </w:r>
            <w:r>
              <w:rPr>
                <w:sz w:val="20"/>
                <w:szCs w:val="20"/>
              </w:rPr>
              <w:t xml:space="preserve"> S</w:t>
            </w:r>
            <w:r w:rsidRPr="00960B7D">
              <w:rPr>
                <w:sz w:val="20"/>
                <w:szCs w:val="20"/>
              </w:rPr>
              <w:t>ummer</w:t>
            </w:r>
          </w:p>
        </w:tc>
        <w:tc>
          <w:tcPr>
            <w:tcW w:w="1260" w:type="dxa"/>
          </w:tcPr>
          <w:p w14:paraId="43A43DD4" w14:textId="77777777" w:rsidR="0039543B" w:rsidRPr="0085052D" w:rsidRDefault="0039543B" w:rsidP="00B65FDA">
            <w:pPr>
              <w:jc w:val="center"/>
              <w:rPr>
                <w:sz w:val="20"/>
                <w:szCs w:val="20"/>
              </w:rPr>
            </w:pPr>
            <w:r w:rsidRPr="0085052D">
              <w:rPr>
                <w:sz w:val="20"/>
                <w:szCs w:val="20"/>
              </w:rPr>
              <w:t>0.3</w:t>
            </w:r>
            <w:r>
              <w:rPr>
                <w:sz w:val="20"/>
                <w:szCs w:val="20"/>
              </w:rPr>
              <w:t>2</w:t>
            </w:r>
            <w:r w:rsidRPr="0085052D">
              <w:rPr>
                <w:sz w:val="20"/>
                <w:szCs w:val="20"/>
              </w:rPr>
              <w:t xml:space="preserve"> ± 0.1</w:t>
            </w:r>
            <w:r>
              <w:rPr>
                <w:sz w:val="20"/>
                <w:szCs w:val="20"/>
              </w:rPr>
              <w:t>7</w:t>
            </w:r>
          </w:p>
        </w:tc>
        <w:tc>
          <w:tcPr>
            <w:tcW w:w="1170" w:type="dxa"/>
          </w:tcPr>
          <w:p w14:paraId="0EE4D33F" w14:textId="77777777" w:rsidR="0039543B" w:rsidRPr="0085052D" w:rsidRDefault="0039543B" w:rsidP="00B65FDA">
            <w:pPr>
              <w:jc w:val="center"/>
              <w:rPr>
                <w:sz w:val="20"/>
                <w:szCs w:val="20"/>
              </w:rPr>
            </w:pPr>
            <w:r w:rsidRPr="0085052D">
              <w:rPr>
                <w:sz w:val="20"/>
                <w:szCs w:val="20"/>
              </w:rPr>
              <w:t>0.17 ± 0.0</w:t>
            </w:r>
            <w:r>
              <w:rPr>
                <w:sz w:val="20"/>
                <w:szCs w:val="20"/>
              </w:rPr>
              <w:t>9</w:t>
            </w:r>
          </w:p>
        </w:tc>
        <w:tc>
          <w:tcPr>
            <w:tcW w:w="1530" w:type="dxa"/>
          </w:tcPr>
          <w:p w14:paraId="7B88DA92" w14:textId="77777777" w:rsidR="0039543B" w:rsidRPr="0085052D" w:rsidRDefault="0039543B" w:rsidP="00B65FDA">
            <w:pPr>
              <w:jc w:val="center"/>
              <w:rPr>
                <w:sz w:val="20"/>
                <w:szCs w:val="20"/>
              </w:rPr>
            </w:pPr>
            <w:r w:rsidRPr="0085052D">
              <w:rPr>
                <w:sz w:val="20"/>
                <w:szCs w:val="20"/>
              </w:rPr>
              <w:t>0.51 ± 0.18</w:t>
            </w:r>
          </w:p>
        </w:tc>
      </w:tr>
      <w:tr w:rsidR="0039543B" w:rsidRPr="00377C79" w14:paraId="44D0AB0D" w14:textId="77777777" w:rsidTr="00B65FDA">
        <w:tc>
          <w:tcPr>
            <w:tcW w:w="1440" w:type="dxa"/>
            <w:tcBorders>
              <w:bottom w:val="single" w:sz="4" w:space="0" w:color="auto"/>
            </w:tcBorders>
          </w:tcPr>
          <w:p w14:paraId="4F98D9C6" w14:textId="77777777" w:rsidR="0039543B" w:rsidRPr="00960B7D" w:rsidRDefault="0039543B" w:rsidP="00B65FDA">
            <w:pPr>
              <w:jc w:val="center"/>
              <w:rPr>
                <w:sz w:val="20"/>
                <w:szCs w:val="20"/>
              </w:rPr>
            </w:pPr>
            <w:r w:rsidRPr="00960B7D">
              <w:rPr>
                <w:sz w:val="20"/>
                <w:szCs w:val="20"/>
              </w:rPr>
              <w:t>Winter</w:t>
            </w:r>
          </w:p>
        </w:tc>
        <w:tc>
          <w:tcPr>
            <w:tcW w:w="1260" w:type="dxa"/>
            <w:tcBorders>
              <w:bottom w:val="single" w:sz="4" w:space="0" w:color="auto"/>
            </w:tcBorders>
          </w:tcPr>
          <w:p w14:paraId="35E75573" w14:textId="77777777" w:rsidR="0039543B" w:rsidRPr="0085052D" w:rsidRDefault="0039543B" w:rsidP="00B65FDA">
            <w:pPr>
              <w:jc w:val="center"/>
              <w:rPr>
                <w:sz w:val="20"/>
                <w:szCs w:val="20"/>
              </w:rPr>
            </w:pPr>
            <w:r w:rsidRPr="0085052D">
              <w:rPr>
                <w:sz w:val="20"/>
                <w:szCs w:val="20"/>
              </w:rPr>
              <w:t>0.41 ± 0.18</w:t>
            </w:r>
          </w:p>
        </w:tc>
        <w:tc>
          <w:tcPr>
            <w:tcW w:w="1170" w:type="dxa"/>
            <w:tcBorders>
              <w:bottom w:val="single" w:sz="4" w:space="0" w:color="auto"/>
            </w:tcBorders>
          </w:tcPr>
          <w:p w14:paraId="06C5F26D" w14:textId="77777777" w:rsidR="0039543B" w:rsidRPr="0085052D" w:rsidRDefault="0039543B" w:rsidP="00B65FDA">
            <w:pPr>
              <w:jc w:val="center"/>
              <w:rPr>
                <w:sz w:val="20"/>
                <w:szCs w:val="20"/>
              </w:rPr>
            </w:pPr>
            <w:r w:rsidRPr="0085052D">
              <w:rPr>
                <w:sz w:val="20"/>
                <w:szCs w:val="20"/>
              </w:rPr>
              <w:t>0.1</w:t>
            </w:r>
            <w:r>
              <w:rPr>
                <w:sz w:val="20"/>
                <w:szCs w:val="20"/>
              </w:rPr>
              <w:t>8</w:t>
            </w:r>
            <w:r w:rsidRPr="0085052D">
              <w:rPr>
                <w:sz w:val="20"/>
                <w:szCs w:val="20"/>
              </w:rPr>
              <w:t xml:space="preserve"> ± 0.0</w:t>
            </w:r>
            <w:r>
              <w:rPr>
                <w:sz w:val="20"/>
                <w:szCs w:val="20"/>
              </w:rPr>
              <w:t>8</w:t>
            </w:r>
          </w:p>
        </w:tc>
        <w:tc>
          <w:tcPr>
            <w:tcW w:w="1530" w:type="dxa"/>
            <w:tcBorders>
              <w:bottom w:val="single" w:sz="4" w:space="0" w:color="auto"/>
            </w:tcBorders>
          </w:tcPr>
          <w:p w14:paraId="72F1E44F" w14:textId="77777777" w:rsidR="0039543B" w:rsidRPr="0085052D" w:rsidRDefault="0039543B" w:rsidP="00B65FDA">
            <w:pPr>
              <w:jc w:val="center"/>
              <w:rPr>
                <w:sz w:val="20"/>
                <w:szCs w:val="20"/>
              </w:rPr>
            </w:pPr>
            <w:r w:rsidRPr="0085052D">
              <w:rPr>
                <w:sz w:val="20"/>
                <w:szCs w:val="20"/>
              </w:rPr>
              <w:t>0.4</w:t>
            </w:r>
            <w:r>
              <w:rPr>
                <w:sz w:val="20"/>
                <w:szCs w:val="20"/>
              </w:rPr>
              <w:t xml:space="preserve">2 </w:t>
            </w:r>
            <w:r w:rsidRPr="0085052D">
              <w:rPr>
                <w:sz w:val="20"/>
                <w:szCs w:val="20"/>
              </w:rPr>
              <w:t>± 0.18</w:t>
            </w:r>
          </w:p>
        </w:tc>
      </w:tr>
    </w:tbl>
    <w:p w14:paraId="143EF169" w14:textId="77777777" w:rsidR="0039543B" w:rsidRDefault="0039543B" w:rsidP="0039543B">
      <w:pPr>
        <w:rPr>
          <w:sz w:val="20"/>
          <w:szCs w:val="20"/>
        </w:rPr>
      </w:pPr>
    </w:p>
    <w:p w14:paraId="4DBFFAE5" w14:textId="77777777" w:rsidR="0039543B" w:rsidRPr="00960B7D" w:rsidRDefault="0039543B" w:rsidP="0039543B">
      <w:pPr>
        <w:rPr>
          <w:sz w:val="20"/>
          <w:szCs w:val="20"/>
        </w:rPr>
      </w:pPr>
    </w:p>
    <w:p w14:paraId="59091468" w14:textId="60AB238F" w:rsidR="0039543B" w:rsidRPr="007A3386" w:rsidRDefault="0039543B" w:rsidP="0039543B">
      <w:r w:rsidRPr="00960B7D">
        <w:rPr>
          <w:b/>
          <w:bCs/>
        </w:rPr>
        <w:t xml:space="preserve">Table </w:t>
      </w:r>
      <w:r w:rsidR="00EA0EE4">
        <w:rPr>
          <w:b/>
          <w:bCs/>
        </w:rPr>
        <w:t>S</w:t>
      </w:r>
      <w:r>
        <w:rPr>
          <w:b/>
          <w:bCs/>
        </w:rPr>
        <w:t xml:space="preserve">3 </w:t>
      </w:r>
      <w:r w:rsidRPr="00960B7D">
        <w:t>Mean</w:t>
      </w:r>
      <w:r>
        <w:rPr>
          <w:b/>
          <w:bCs/>
        </w:rPr>
        <w:t xml:space="preserve"> </w:t>
      </w:r>
      <w:r>
        <w:t xml:space="preserve">admixture proportions and standard deviation for the four groups analyzed with STRUCTURE using </w:t>
      </w:r>
      <w:r>
        <w:rPr>
          <w:i/>
          <w:iCs/>
        </w:rPr>
        <w:t xml:space="preserve">k = </w:t>
      </w:r>
      <w:r>
        <w:rPr>
          <w:i/>
          <w:iCs/>
        </w:rPr>
        <w:softHyphen/>
      </w:r>
      <w:r>
        <w:t xml:space="preserve">4. Cluster 1 appears as purple, 2 as blue, 3 as green, and 4 as yellow (in order top to bottom) in the </w:t>
      </w:r>
      <w:r w:rsidRPr="00E237D0">
        <w:rPr>
          <w:i/>
          <w:iCs/>
        </w:rPr>
        <w:t>k</w:t>
      </w:r>
      <w:r>
        <w:t xml:space="preserve"> = 3 row of Fig. 2</w:t>
      </w:r>
    </w:p>
    <w:p w14:paraId="4C60C53A" w14:textId="77777777" w:rsidR="0039543B" w:rsidRDefault="0039543B" w:rsidP="0039543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260"/>
        <w:gridCol w:w="1170"/>
        <w:gridCol w:w="1530"/>
        <w:gridCol w:w="1530"/>
      </w:tblGrid>
      <w:tr w:rsidR="0039543B" w:rsidRPr="00377C79" w14:paraId="34DD2712" w14:textId="77777777" w:rsidTr="00B65FDA">
        <w:tc>
          <w:tcPr>
            <w:tcW w:w="1440" w:type="dxa"/>
            <w:tcBorders>
              <w:top w:val="single" w:sz="4" w:space="0" w:color="auto"/>
              <w:bottom w:val="single" w:sz="4" w:space="0" w:color="auto"/>
            </w:tcBorders>
          </w:tcPr>
          <w:p w14:paraId="377B2E0B" w14:textId="77777777" w:rsidR="0039543B" w:rsidRPr="00960B7D" w:rsidRDefault="0039543B" w:rsidP="00B65FDA">
            <w:pPr>
              <w:jc w:val="center"/>
              <w:rPr>
                <w:b/>
                <w:bCs/>
                <w:sz w:val="20"/>
                <w:szCs w:val="20"/>
              </w:rPr>
            </w:pPr>
          </w:p>
        </w:tc>
        <w:tc>
          <w:tcPr>
            <w:tcW w:w="1260" w:type="dxa"/>
            <w:tcBorders>
              <w:top w:val="single" w:sz="4" w:space="0" w:color="auto"/>
              <w:bottom w:val="single" w:sz="4" w:space="0" w:color="auto"/>
            </w:tcBorders>
          </w:tcPr>
          <w:p w14:paraId="0BA22C06" w14:textId="77777777" w:rsidR="0039543B" w:rsidRPr="00960B7D" w:rsidRDefault="0039543B" w:rsidP="00B65FDA">
            <w:pPr>
              <w:jc w:val="center"/>
              <w:rPr>
                <w:b/>
                <w:bCs/>
                <w:sz w:val="20"/>
                <w:szCs w:val="20"/>
              </w:rPr>
            </w:pPr>
            <w:r w:rsidRPr="00960B7D">
              <w:rPr>
                <w:b/>
                <w:bCs/>
                <w:sz w:val="20"/>
                <w:szCs w:val="20"/>
              </w:rPr>
              <w:t>Cluster 1</w:t>
            </w:r>
          </w:p>
        </w:tc>
        <w:tc>
          <w:tcPr>
            <w:tcW w:w="1170" w:type="dxa"/>
            <w:tcBorders>
              <w:top w:val="single" w:sz="4" w:space="0" w:color="auto"/>
              <w:bottom w:val="single" w:sz="4" w:space="0" w:color="auto"/>
            </w:tcBorders>
          </w:tcPr>
          <w:p w14:paraId="677F955B" w14:textId="77777777" w:rsidR="0039543B" w:rsidRPr="00960B7D" w:rsidRDefault="0039543B" w:rsidP="00B65FDA">
            <w:pPr>
              <w:jc w:val="center"/>
              <w:rPr>
                <w:b/>
                <w:bCs/>
                <w:sz w:val="20"/>
                <w:szCs w:val="20"/>
              </w:rPr>
            </w:pPr>
            <w:r w:rsidRPr="00960B7D">
              <w:rPr>
                <w:b/>
                <w:bCs/>
                <w:sz w:val="20"/>
                <w:szCs w:val="20"/>
              </w:rPr>
              <w:t>Cluster 2</w:t>
            </w:r>
          </w:p>
        </w:tc>
        <w:tc>
          <w:tcPr>
            <w:tcW w:w="1530" w:type="dxa"/>
            <w:tcBorders>
              <w:top w:val="single" w:sz="4" w:space="0" w:color="auto"/>
              <w:bottom w:val="single" w:sz="4" w:space="0" w:color="auto"/>
            </w:tcBorders>
          </w:tcPr>
          <w:p w14:paraId="2491A039" w14:textId="77777777" w:rsidR="0039543B" w:rsidRPr="00960B7D" w:rsidRDefault="0039543B" w:rsidP="00B65FDA">
            <w:pPr>
              <w:jc w:val="center"/>
              <w:rPr>
                <w:b/>
                <w:bCs/>
                <w:sz w:val="20"/>
                <w:szCs w:val="20"/>
              </w:rPr>
            </w:pPr>
            <w:r w:rsidRPr="00960B7D">
              <w:rPr>
                <w:b/>
                <w:bCs/>
                <w:sz w:val="20"/>
                <w:szCs w:val="20"/>
              </w:rPr>
              <w:t>Cluster 3</w:t>
            </w:r>
          </w:p>
        </w:tc>
        <w:tc>
          <w:tcPr>
            <w:tcW w:w="1530" w:type="dxa"/>
            <w:tcBorders>
              <w:top w:val="single" w:sz="4" w:space="0" w:color="auto"/>
              <w:bottom w:val="single" w:sz="4" w:space="0" w:color="auto"/>
            </w:tcBorders>
          </w:tcPr>
          <w:p w14:paraId="01BC6E39" w14:textId="77777777" w:rsidR="0039543B" w:rsidRPr="00960B7D" w:rsidRDefault="0039543B" w:rsidP="00B65FDA">
            <w:pPr>
              <w:jc w:val="center"/>
              <w:rPr>
                <w:b/>
                <w:bCs/>
                <w:sz w:val="20"/>
                <w:szCs w:val="20"/>
              </w:rPr>
            </w:pPr>
            <w:r w:rsidRPr="00960B7D">
              <w:rPr>
                <w:b/>
                <w:bCs/>
                <w:sz w:val="20"/>
                <w:szCs w:val="20"/>
              </w:rPr>
              <w:t xml:space="preserve">Cluster </w:t>
            </w:r>
            <w:r>
              <w:rPr>
                <w:b/>
                <w:bCs/>
                <w:sz w:val="20"/>
                <w:szCs w:val="20"/>
              </w:rPr>
              <w:t>4</w:t>
            </w:r>
          </w:p>
        </w:tc>
      </w:tr>
      <w:tr w:rsidR="0039543B" w:rsidRPr="00377C79" w14:paraId="6FF13C16" w14:textId="77777777" w:rsidTr="00B65FDA">
        <w:tc>
          <w:tcPr>
            <w:tcW w:w="1440" w:type="dxa"/>
            <w:tcBorders>
              <w:top w:val="single" w:sz="4" w:space="0" w:color="auto"/>
            </w:tcBorders>
          </w:tcPr>
          <w:p w14:paraId="2330B762" w14:textId="77777777" w:rsidR="0039543B" w:rsidRPr="00960B7D" w:rsidRDefault="0039543B" w:rsidP="00B65FDA">
            <w:pPr>
              <w:jc w:val="center"/>
              <w:rPr>
                <w:sz w:val="20"/>
                <w:szCs w:val="20"/>
              </w:rPr>
            </w:pPr>
            <w:r w:rsidRPr="00960B7D">
              <w:rPr>
                <w:sz w:val="20"/>
                <w:szCs w:val="20"/>
              </w:rPr>
              <w:t>Late</w:t>
            </w:r>
            <w:r>
              <w:rPr>
                <w:sz w:val="20"/>
                <w:szCs w:val="20"/>
              </w:rPr>
              <w:t xml:space="preserve"> S</w:t>
            </w:r>
            <w:r w:rsidRPr="00960B7D">
              <w:rPr>
                <w:sz w:val="20"/>
                <w:szCs w:val="20"/>
              </w:rPr>
              <w:t>ummer</w:t>
            </w:r>
          </w:p>
        </w:tc>
        <w:tc>
          <w:tcPr>
            <w:tcW w:w="1260" w:type="dxa"/>
            <w:tcBorders>
              <w:top w:val="single" w:sz="4" w:space="0" w:color="auto"/>
            </w:tcBorders>
          </w:tcPr>
          <w:p w14:paraId="1EF7ECEA" w14:textId="77777777" w:rsidR="0039543B" w:rsidRPr="0085052D" w:rsidRDefault="0039543B" w:rsidP="00B65FDA">
            <w:pPr>
              <w:jc w:val="center"/>
              <w:rPr>
                <w:sz w:val="20"/>
                <w:szCs w:val="20"/>
              </w:rPr>
            </w:pPr>
            <w:r w:rsidRPr="0085052D">
              <w:rPr>
                <w:sz w:val="20"/>
                <w:szCs w:val="20"/>
              </w:rPr>
              <w:t>0.27 ± 0.16</w:t>
            </w:r>
          </w:p>
        </w:tc>
        <w:tc>
          <w:tcPr>
            <w:tcW w:w="1170" w:type="dxa"/>
            <w:tcBorders>
              <w:top w:val="single" w:sz="4" w:space="0" w:color="auto"/>
            </w:tcBorders>
          </w:tcPr>
          <w:p w14:paraId="28489D55" w14:textId="77777777" w:rsidR="0039543B" w:rsidRPr="0085052D" w:rsidRDefault="0039543B" w:rsidP="00B65FDA">
            <w:pPr>
              <w:jc w:val="center"/>
              <w:rPr>
                <w:sz w:val="20"/>
                <w:szCs w:val="20"/>
              </w:rPr>
            </w:pPr>
            <w:r w:rsidRPr="0085052D">
              <w:rPr>
                <w:sz w:val="20"/>
                <w:szCs w:val="20"/>
              </w:rPr>
              <w:t>0.25 ± 0.2</w:t>
            </w:r>
            <w:r>
              <w:rPr>
                <w:sz w:val="20"/>
                <w:szCs w:val="20"/>
              </w:rPr>
              <w:t>3</w:t>
            </w:r>
          </w:p>
        </w:tc>
        <w:tc>
          <w:tcPr>
            <w:tcW w:w="1530" w:type="dxa"/>
            <w:tcBorders>
              <w:top w:val="single" w:sz="4" w:space="0" w:color="auto"/>
            </w:tcBorders>
          </w:tcPr>
          <w:p w14:paraId="04C894EF" w14:textId="77777777" w:rsidR="0039543B" w:rsidRPr="0085052D" w:rsidRDefault="0039543B" w:rsidP="00B65FDA">
            <w:pPr>
              <w:jc w:val="center"/>
              <w:rPr>
                <w:sz w:val="20"/>
                <w:szCs w:val="20"/>
              </w:rPr>
            </w:pPr>
            <w:r w:rsidRPr="0085052D">
              <w:rPr>
                <w:sz w:val="20"/>
                <w:szCs w:val="20"/>
              </w:rPr>
              <w:t>0.2</w:t>
            </w:r>
            <w:r>
              <w:rPr>
                <w:sz w:val="20"/>
                <w:szCs w:val="20"/>
              </w:rPr>
              <w:t>2</w:t>
            </w:r>
            <w:r w:rsidRPr="0085052D">
              <w:rPr>
                <w:sz w:val="20"/>
                <w:szCs w:val="20"/>
              </w:rPr>
              <w:t xml:space="preserve"> ± 0.1</w:t>
            </w:r>
            <w:r>
              <w:rPr>
                <w:sz w:val="20"/>
                <w:szCs w:val="20"/>
              </w:rPr>
              <w:t>7</w:t>
            </w:r>
          </w:p>
        </w:tc>
        <w:tc>
          <w:tcPr>
            <w:tcW w:w="1530" w:type="dxa"/>
            <w:tcBorders>
              <w:top w:val="single" w:sz="4" w:space="0" w:color="auto"/>
            </w:tcBorders>
          </w:tcPr>
          <w:p w14:paraId="1E063A24" w14:textId="77777777" w:rsidR="0039543B" w:rsidRPr="0085052D" w:rsidRDefault="0039543B" w:rsidP="00B65FDA">
            <w:pPr>
              <w:jc w:val="center"/>
              <w:rPr>
                <w:sz w:val="20"/>
                <w:szCs w:val="20"/>
              </w:rPr>
            </w:pPr>
            <w:r w:rsidRPr="0085052D">
              <w:rPr>
                <w:sz w:val="20"/>
                <w:szCs w:val="20"/>
              </w:rPr>
              <w:t>0.26 ± 0.13</w:t>
            </w:r>
          </w:p>
        </w:tc>
      </w:tr>
      <w:tr w:rsidR="0039543B" w:rsidRPr="00377C79" w14:paraId="51B13441" w14:textId="77777777" w:rsidTr="00B65FDA">
        <w:tc>
          <w:tcPr>
            <w:tcW w:w="1440" w:type="dxa"/>
          </w:tcPr>
          <w:p w14:paraId="149AFD00" w14:textId="77777777" w:rsidR="0039543B" w:rsidRPr="00960B7D" w:rsidRDefault="0039543B" w:rsidP="00B65FDA">
            <w:pPr>
              <w:jc w:val="center"/>
              <w:rPr>
                <w:sz w:val="20"/>
                <w:szCs w:val="20"/>
              </w:rPr>
            </w:pPr>
            <w:r w:rsidRPr="00960B7D">
              <w:rPr>
                <w:sz w:val="20"/>
                <w:szCs w:val="20"/>
              </w:rPr>
              <w:t>Half</w:t>
            </w:r>
            <w:r>
              <w:rPr>
                <w:sz w:val="20"/>
                <w:szCs w:val="20"/>
              </w:rPr>
              <w:t xml:space="preserve"> P</w:t>
            </w:r>
            <w:r w:rsidRPr="00960B7D">
              <w:rPr>
                <w:sz w:val="20"/>
                <w:szCs w:val="20"/>
              </w:rPr>
              <w:t>ounder</w:t>
            </w:r>
          </w:p>
        </w:tc>
        <w:tc>
          <w:tcPr>
            <w:tcW w:w="1260" w:type="dxa"/>
          </w:tcPr>
          <w:p w14:paraId="18E896C9" w14:textId="77777777" w:rsidR="0039543B" w:rsidRPr="0085052D" w:rsidRDefault="0039543B" w:rsidP="00B65FDA">
            <w:pPr>
              <w:jc w:val="center"/>
              <w:rPr>
                <w:sz w:val="20"/>
                <w:szCs w:val="20"/>
              </w:rPr>
            </w:pPr>
            <w:r w:rsidRPr="0085052D">
              <w:rPr>
                <w:sz w:val="20"/>
                <w:szCs w:val="20"/>
              </w:rPr>
              <w:t>0.2</w:t>
            </w:r>
            <w:r>
              <w:rPr>
                <w:sz w:val="20"/>
                <w:szCs w:val="20"/>
              </w:rPr>
              <w:t>5</w:t>
            </w:r>
            <w:r w:rsidRPr="0085052D">
              <w:rPr>
                <w:sz w:val="20"/>
                <w:szCs w:val="20"/>
              </w:rPr>
              <w:t xml:space="preserve"> ± 0.15</w:t>
            </w:r>
          </w:p>
        </w:tc>
        <w:tc>
          <w:tcPr>
            <w:tcW w:w="1170" w:type="dxa"/>
          </w:tcPr>
          <w:p w14:paraId="2DED4FD3" w14:textId="77777777" w:rsidR="0039543B" w:rsidRPr="0085052D" w:rsidRDefault="0039543B" w:rsidP="00B65FDA">
            <w:pPr>
              <w:jc w:val="center"/>
              <w:rPr>
                <w:sz w:val="20"/>
                <w:szCs w:val="20"/>
              </w:rPr>
            </w:pPr>
            <w:r w:rsidRPr="0085052D">
              <w:rPr>
                <w:sz w:val="20"/>
                <w:szCs w:val="20"/>
              </w:rPr>
              <w:t>0.2</w:t>
            </w:r>
            <w:r>
              <w:rPr>
                <w:sz w:val="20"/>
                <w:szCs w:val="20"/>
              </w:rPr>
              <w:t>4</w:t>
            </w:r>
            <w:r w:rsidRPr="0085052D">
              <w:rPr>
                <w:sz w:val="20"/>
                <w:szCs w:val="20"/>
              </w:rPr>
              <w:t xml:space="preserve"> ± 0.2</w:t>
            </w:r>
            <w:r>
              <w:rPr>
                <w:sz w:val="20"/>
                <w:szCs w:val="20"/>
              </w:rPr>
              <w:t>4</w:t>
            </w:r>
          </w:p>
        </w:tc>
        <w:tc>
          <w:tcPr>
            <w:tcW w:w="1530" w:type="dxa"/>
          </w:tcPr>
          <w:p w14:paraId="041C0AFA" w14:textId="77777777" w:rsidR="0039543B" w:rsidRPr="0085052D" w:rsidRDefault="0039543B" w:rsidP="00B65FDA">
            <w:pPr>
              <w:jc w:val="center"/>
              <w:rPr>
                <w:sz w:val="20"/>
                <w:szCs w:val="20"/>
              </w:rPr>
            </w:pPr>
            <w:r w:rsidRPr="0085052D">
              <w:rPr>
                <w:sz w:val="20"/>
                <w:szCs w:val="20"/>
              </w:rPr>
              <w:t>0.2</w:t>
            </w:r>
            <w:r>
              <w:rPr>
                <w:sz w:val="20"/>
                <w:szCs w:val="20"/>
              </w:rPr>
              <w:t>5</w:t>
            </w:r>
            <w:r w:rsidRPr="0085052D">
              <w:rPr>
                <w:sz w:val="20"/>
                <w:szCs w:val="20"/>
              </w:rPr>
              <w:t xml:space="preserve"> ± 0.</w:t>
            </w:r>
            <w:r>
              <w:rPr>
                <w:sz w:val="20"/>
                <w:szCs w:val="20"/>
              </w:rPr>
              <w:t>20</w:t>
            </w:r>
          </w:p>
        </w:tc>
        <w:tc>
          <w:tcPr>
            <w:tcW w:w="1530" w:type="dxa"/>
          </w:tcPr>
          <w:p w14:paraId="42DDCA93" w14:textId="77777777" w:rsidR="0039543B" w:rsidRPr="0085052D" w:rsidRDefault="0039543B" w:rsidP="00B65FDA">
            <w:pPr>
              <w:jc w:val="center"/>
              <w:rPr>
                <w:sz w:val="20"/>
                <w:szCs w:val="20"/>
              </w:rPr>
            </w:pPr>
            <w:r w:rsidRPr="0085052D">
              <w:rPr>
                <w:sz w:val="20"/>
                <w:szCs w:val="20"/>
              </w:rPr>
              <w:t>0.2</w:t>
            </w:r>
            <w:r>
              <w:rPr>
                <w:sz w:val="20"/>
                <w:szCs w:val="20"/>
              </w:rPr>
              <w:t xml:space="preserve">6 </w:t>
            </w:r>
            <w:r w:rsidRPr="0085052D">
              <w:rPr>
                <w:sz w:val="20"/>
                <w:szCs w:val="20"/>
              </w:rPr>
              <w:t>± 0.14</w:t>
            </w:r>
          </w:p>
        </w:tc>
      </w:tr>
      <w:tr w:rsidR="0039543B" w:rsidRPr="00377C79" w14:paraId="5BC4DA68" w14:textId="77777777" w:rsidTr="00B65FDA">
        <w:tc>
          <w:tcPr>
            <w:tcW w:w="1440" w:type="dxa"/>
          </w:tcPr>
          <w:p w14:paraId="162E8D10" w14:textId="77777777" w:rsidR="0039543B" w:rsidRPr="00960B7D" w:rsidRDefault="0039543B" w:rsidP="00B65FDA">
            <w:pPr>
              <w:jc w:val="center"/>
              <w:rPr>
                <w:sz w:val="20"/>
                <w:szCs w:val="20"/>
              </w:rPr>
            </w:pPr>
            <w:r w:rsidRPr="00960B7D">
              <w:rPr>
                <w:sz w:val="20"/>
                <w:szCs w:val="20"/>
              </w:rPr>
              <w:t>Early</w:t>
            </w:r>
            <w:r>
              <w:rPr>
                <w:sz w:val="20"/>
                <w:szCs w:val="20"/>
              </w:rPr>
              <w:t xml:space="preserve"> S</w:t>
            </w:r>
            <w:r w:rsidRPr="00960B7D">
              <w:rPr>
                <w:sz w:val="20"/>
                <w:szCs w:val="20"/>
              </w:rPr>
              <w:t>ummer</w:t>
            </w:r>
          </w:p>
        </w:tc>
        <w:tc>
          <w:tcPr>
            <w:tcW w:w="1260" w:type="dxa"/>
          </w:tcPr>
          <w:p w14:paraId="12E6646D" w14:textId="77777777" w:rsidR="0039543B" w:rsidRPr="0085052D" w:rsidRDefault="0039543B" w:rsidP="00B65FDA">
            <w:pPr>
              <w:jc w:val="center"/>
              <w:rPr>
                <w:sz w:val="20"/>
                <w:szCs w:val="20"/>
              </w:rPr>
            </w:pPr>
            <w:r w:rsidRPr="0085052D">
              <w:rPr>
                <w:sz w:val="20"/>
                <w:szCs w:val="20"/>
              </w:rPr>
              <w:t>0.27 ± 0.17</w:t>
            </w:r>
          </w:p>
        </w:tc>
        <w:tc>
          <w:tcPr>
            <w:tcW w:w="1170" w:type="dxa"/>
          </w:tcPr>
          <w:p w14:paraId="2BA75342" w14:textId="77777777" w:rsidR="0039543B" w:rsidRPr="0085052D" w:rsidRDefault="0039543B" w:rsidP="00B65FDA">
            <w:pPr>
              <w:jc w:val="center"/>
              <w:rPr>
                <w:sz w:val="20"/>
                <w:szCs w:val="20"/>
              </w:rPr>
            </w:pPr>
            <w:r w:rsidRPr="0085052D">
              <w:rPr>
                <w:sz w:val="20"/>
                <w:szCs w:val="20"/>
              </w:rPr>
              <w:t>0.09 ± 0.0</w:t>
            </w:r>
            <w:r>
              <w:rPr>
                <w:sz w:val="20"/>
                <w:szCs w:val="20"/>
              </w:rPr>
              <w:t>6</w:t>
            </w:r>
          </w:p>
        </w:tc>
        <w:tc>
          <w:tcPr>
            <w:tcW w:w="1530" w:type="dxa"/>
          </w:tcPr>
          <w:p w14:paraId="4D31E484" w14:textId="77777777" w:rsidR="0039543B" w:rsidRPr="0085052D" w:rsidRDefault="0039543B" w:rsidP="00B65FDA">
            <w:pPr>
              <w:jc w:val="center"/>
              <w:rPr>
                <w:sz w:val="20"/>
                <w:szCs w:val="20"/>
              </w:rPr>
            </w:pPr>
            <w:r w:rsidRPr="0085052D">
              <w:rPr>
                <w:sz w:val="20"/>
                <w:szCs w:val="20"/>
              </w:rPr>
              <w:t>0.42 ± 0.24</w:t>
            </w:r>
          </w:p>
        </w:tc>
        <w:tc>
          <w:tcPr>
            <w:tcW w:w="1530" w:type="dxa"/>
          </w:tcPr>
          <w:p w14:paraId="0E18781E" w14:textId="77777777" w:rsidR="0039543B" w:rsidRPr="0085052D" w:rsidRDefault="0039543B" w:rsidP="00B65FDA">
            <w:pPr>
              <w:jc w:val="center"/>
              <w:rPr>
                <w:sz w:val="20"/>
                <w:szCs w:val="20"/>
              </w:rPr>
            </w:pPr>
            <w:r w:rsidRPr="0085052D">
              <w:rPr>
                <w:sz w:val="20"/>
                <w:szCs w:val="20"/>
              </w:rPr>
              <w:t>0.21 ± 0.1</w:t>
            </w:r>
            <w:r>
              <w:rPr>
                <w:sz w:val="20"/>
                <w:szCs w:val="20"/>
              </w:rPr>
              <w:t>2</w:t>
            </w:r>
          </w:p>
        </w:tc>
      </w:tr>
      <w:tr w:rsidR="0039543B" w:rsidRPr="00377C79" w14:paraId="0DB44C8C" w14:textId="77777777" w:rsidTr="00B65FDA">
        <w:tc>
          <w:tcPr>
            <w:tcW w:w="1440" w:type="dxa"/>
            <w:tcBorders>
              <w:bottom w:val="single" w:sz="4" w:space="0" w:color="auto"/>
            </w:tcBorders>
          </w:tcPr>
          <w:p w14:paraId="29FBBADF" w14:textId="77777777" w:rsidR="0039543B" w:rsidRPr="00960B7D" w:rsidRDefault="0039543B" w:rsidP="00B65FDA">
            <w:pPr>
              <w:jc w:val="center"/>
              <w:rPr>
                <w:sz w:val="20"/>
                <w:szCs w:val="20"/>
              </w:rPr>
            </w:pPr>
            <w:r w:rsidRPr="00960B7D">
              <w:rPr>
                <w:sz w:val="20"/>
                <w:szCs w:val="20"/>
              </w:rPr>
              <w:t>Winter</w:t>
            </w:r>
          </w:p>
        </w:tc>
        <w:tc>
          <w:tcPr>
            <w:tcW w:w="1260" w:type="dxa"/>
            <w:tcBorders>
              <w:bottom w:val="single" w:sz="4" w:space="0" w:color="auto"/>
            </w:tcBorders>
          </w:tcPr>
          <w:p w14:paraId="393CD6DA" w14:textId="77777777" w:rsidR="0039543B" w:rsidRPr="0085052D" w:rsidRDefault="0039543B" w:rsidP="00B65FDA">
            <w:pPr>
              <w:jc w:val="center"/>
              <w:rPr>
                <w:sz w:val="20"/>
                <w:szCs w:val="20"/>
              </w:rPr>
            </w:pPr>
            <w:r w:rsidRPr="0085052D">
              <w:rPr>
                <w:sz w:val="20"/>
                <w:szCs w:val="20"/>
              </w:rPr>
              <w:t>0.2</w:t>
            </w:r>
            <w:r>
              <w:rPr>
                <w:sz w:val="20"/>
                <w:szCs w:val="20"/>
              </w:rPr>
              <w:t>9</w:t>
            </w:r>
            <w:r w:rsidRPr="0085052D">
              <w:rPr>
                <w:sz w:val="20"/>
                <w:szCs w:val="20"/>
              </w:rPr>
              <w:t xml:space="preserve"> ± 0.1</w:t>
            </w:r>
            <w:r>
              <w:rPr>
                <w:sz w:val="20"/>
                <w:szCs w:val="20"/>
              </w:rPr>
              <w:t>6</w:t>
            </w:r>
          </w:p>
        </w:tc>
        <w:tc>
          <w:tcPr>
            <w:tcW w:w="1170" w:type="dxa"/>
            <w:tcBorders>
              <w:bottom w:val="single" w:sz="4" w:space="0" w:color="auto"/>
            </w:tcBorders>
          </w:tcPr>
          <w:p w14:paraId="6E0B3ADD" w14:textId="77777777" w:rsidR="0039543B" w:rsidRPr="0085052D" w:rsidRDefault="0039543B" w:rsidP="00B65FDA">
            <w:pPr>
              <w:jc w:val="center"/>
              <w:rPr>
                <w:sz w:val="20"/>
                <w:szCs w:val="20"/>
              </w:rPr>
            </w:pPr>
            <w:r w:rsidRPr="0085052D">
              <w:rPr>
                <w:sz w:val="20"/>
                <w:szCs w:val="20"/>
              </w:rPr>
              <w:t>0.09 ± 0.05</w:t>
            </w:r>
          </w:p>
        </w:tc>
        <w:tc>
          <w:tcPr>
            <w:tcW w:w="1530" w:type="dxa"/>
            <w:tcBorders>
              <w:bottom w:val="single" w:sz="4" w:space="0" w:color="auto"/>
            </w:tcBorders>
          </w:tcPr>
          <w:p w14:paraId="3FDE300A" w14:textId="77777777" w:rsidR="0039543B" w:rsidRPr="0085052D" w:rsidRDefault="0039543B" w:rsidP="00B65FDA">
            <w:pPr>
              <w:jc w:val="center"/>
              <w:rPr>
                <w:sz w:val="20"/>
                <w:szCs w:val="20"/>
              </w:rPr>
            </w:pPr>
            <w:r w:rsidRPr="0085052D">
              <w:rPr>
                <w:sz w:val="20"/>
                <w:szCs w:val="20"/>
              </w:rPr>
              <w:t>0.31 ± 0.20</w:t>
            </w:r>
          </w:p>
        </w:tc>
        <w:tc>
          <w:tcPr>
            <w:tcW w:w="1530" w:type="dxa"/>
            <w:tcBorders>
              <w:bottom w:val="single" w:sz="4" w:space="0" w:color="auto"/>
            </w:tcBorders>
          </w:tcPr>
          <w:p w14:paraId="49E5BDEF" w14:textId="77777777" w:rsidR="0039543B" w:rsidRPr="0085052D" w:rsidRDefault="0039543B" w:rsidP="00B65FDA">
            <w:pPr>
              <w:jc w:val="center"/>
              <w:rPr>
                <w:sz w:val="20"/>
                <w:szCs w:val="20"/>
              </w:rPr>
            </w:pPr>
            <w:r w:rsidRPr="0085052D">
              <w:rPr>
                <w:sz w:val="20"/>
                <w:szCs w:val="20"/>
              </w:rPr>
              <w:t>0.31 ± 0.1</w:t>
            </w:r>
            <w:r>
              <w:rPr>
                <w:sz w:val="20"/>
                <w:szCs w:val="20"/>
              </w:rPr>
              <w:t>5</w:t>
            </w:r>
          </w:p>
        </w:tc>
      </w:tr>
    </w:tbl>
    <w:p w14:paraId="58E95EB7" w14:textId="77777777" w:rsidR="0039543B" w:rsidRPr="00960B7D" w:rsidRDefault="0039543B" w:rsidP="0039543B">
      <w:pPr>
        <w:rPr>
          <w:sz w:val="20"/>
          <w:szCs w:val="20"/>
        </w:rPr>
      </w:pPr>
    </w:p>
    <w:p w14:paraId="0BE373BE" w14:textId="77777777" w:rsidR="0039543B" w:rsidRDefault="0039543B" w:rsidP="0039543B">
      <w:pPr>
        <w:rPr>
          <w:b/>
          <w:bCs/>
        </w:rPr>
      </w:pPr>
    </w:p>
    <w:p w14:paraId="2FDBEAA9" w14:textId="77777777" w:rsidR="0039543B" w:rsidRDefault="0039543B" w:rsidP="0039543B">
      <w:pPr>
        <w:rPr>
          <w:b/>
          <w:bCs/>
        </w:rPr>
      </w:pPr>
      <w:r>
        <w:rPr>
          <w:b/>
          <w:bCs/>
        </w:rPr>
        <w:t xml:space="preserve"> </w:t>
      </w:r>
      <w:r>
        <w:rPr>
          <w:b/>
          <w:bCs/>
        </w:rPr>
        <w:br w:type="page"/>
      </w:r>
    </w:p>
    <w:p w14:paraId="22C6166F" w14:textId="77777777" w:rsidR="0039543B" w:rsidRDefault="0039543B" w:rsidP="0039543B">
      <w:pPr>
        <w:rPr>
          <w:b/>
          <w:bCs/>
        </w:rPr>
      </w:pPr>
      <w:r w:rsidRPr="00224B9C">
        <w:rPr>
          <w:b/>
          <w:bCs/>
        </w:rPr>
        <w:lastRenderedPageBreak/>
        <w:t>Supplemental Figure Captions</w:t>
      </w:r>
    </w:p>
    <w:p w14:paraId="24576D47" w14:textId="77777777" w:rsidR="0039543B" w:rsidRDefault="0039543B" w:rsidP="0039543B"/>
    <w:p w14:paraId="4908052C" w14:textId="184D7840" w:rsidR="0039543B" w:rsidRDefault="00EA0EE4" w:rsidP="0039543B">
      <w:pPr>
        <w:rPr>
          <w:b/>
          <w:bCs/>
        </w:rPr>
      </w:pPr>
      <w:r>
        <w:rPr>
          <w:b/>
          <w:bCs/>
          <w:noProof/>
        </w:rPr>
        <w:drawing>
          <wp:inline distT="0" distB="0" distL="0" distR="0" wp14:anchorId="6F0AEEA3" wp14:editId="59DC6C1C">
            <wp:extent cx="5943600" cy="3411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411855"/>
                    </a:xfrm>
                    <a:prstGeom prst="rect">
                      <a:avLst/>
                    </a:prstGeom>
                  </pic:spPr>
                </pic:pic>
              </a:graphicData>
            </a:graphic>
          </wp:inline>
        </w:drawing>
      </w:r>
    </w:p>
    <w:p w14:paraId="53BB54A8" w14:textId="6BBB690B" w:rsidR="0039543B" w:rsidRPr="0030100F" w:rsidRDefault="0039543B" w:rsidP="0039543B">
      <w:r>
        <w:rPr>
          <w:b/>
          <w:bCs/>
        </w:rPr>
        <w:t xml:space="preserve">Fig. </w:t>
      </w:r>
      <w:r w:rsidR="00EA0EE4">
        <w:rPr>
          <w:b/>
          <w:bCs/>
        </w:rPr>
        <w:t>S</w:t>
      </w:r>
      <w:r>
        <w:rPr>
          <w:b/>
          <w:bCs/>
        </w:rPr>
        <w:t>1</w:t>
      </w:r>
      <w:r>
        <w:t xml:space="preserve"> Admixture proportions from STRUCTURE for </w:t>
      </w:r>
      <w:r>
        <w:rPr>
          <w:i/>
          <w:iCs/>
        </w:rPr>
        <w:t xml:space="preserve">k = </w:t>
      </w:r>
      <w:r>
        <w:t>2 – 4 for each of the four groups. Collections drawn from multiple years are combined</w:t>
      </w:r>
    </w:p>
    <w:p w14:paraId="54AB8B8B" w14:textId="782C5186" w:rsidR="0039543B" w:rsidRDefault="0039543B" w:rsidP="0039543B"/>
    <w:p w14:paraId="57407C56" w14:textId="5FEED66B" w:rsidR="00EA0EE4" w:rsidRDefault="00EA0EE4">
      <w:r>
        <w:br w:type="page"/>
      </w:r>
    </w:p>
    <w:p w14:paraId="68A4A547" w14:textId="464E551A" w:rsidR="00EA0EE4" w:rsidRDefault="00EA0EE4" w:rsidP="0039543B">
      <w:r>
        <w:rPr>
          <w:noProof/>
        </w:rPr>
        <w:lastRenderedPageBreak/>
        <w:drawing>
          <wp:inline distT="0" distB="0" distL="0" distR="0" wp14:anchorId="4623AB86" wp14:editId="00FA6372">
            <wp:extent cx="5943600" cy="3411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411855"/>
                    </a:xfrm>
                    <a:prstGeom prst="rect">
                      <a:avLst/>
                    </a:prstGeom>
                  </pic:spPr>
                </pic:pic>
              </a:graphicData>
            </a:graphic>
          </wp:inline>
        </w:drawing>
      </w:r>
    </w:p>
    <w:p w14:paraId="54153D85" w14:textId="5D9DCC32" w:rsidR="00EA0EE4" w:rsidRDefault="0039543B" w:rsidP="0039543B">
      <w:r w:rsidRPr="00E61712">
        <w:rPr>
          <w:b/>
          <w:bCs/>
        </w:rPr>
        <w:t>Fig.</w:t>
      </w:r>
      <w:r>
        <w:rPr>
          <w:b/>
          <w:bCs/>
        </w:rPr>
        <w:t xml:space="preserve"> </w:t>
      </w:r>
      <w:r w:rsidR="00EA0EE4">
        <w:rPr>
          <w:b/>
          <w:bCs/>
        </w:rPr>
        <w:t>S</w:t>
      </w:r>
      <w:r>
        <w:rPr>
          <w:b/>
          <w:bCs/>
        </w:rPr>
        <w:t xml:space="preserve">2 </w:t>
      </w:r>
      <w:r>
        <w:t>Linkage disequilibrium (r</w:t>
      </w:r>
      <w:r>
        <w:rPr>
          <w:vertAlign w:val="superscript"/>
        </w:rPr>
        <w:t>2</w:t>
      </w:r>
      <w:r>
        <w:t>) among migration timing markers in (a) early-summer and winter runs, (b) late-summer run and half pounders</w:t>
      </w:r>
    </w:p>
    <w:p w14:paraId="09AF8EC2" w14:textId="77777777" w:rsidR="00EA0EE4" w:rsidRDefault="00EA0EE4">
      <w:r>
        <w:br w:type="page"/>
      </w:r>
    </w:p>
    <w:p w14:paraId="5B44131B" w14:textId="77777777" w:rsidR="0039543B" w:rsidRDefault="0039543B" w:rsidP="0039543B"/>
    <w:p w14:paraId="4DE5F1FB" w14:textId="20C5BAA6" w:rsidR="0039543B" w:rsidRDefault="0039543B" w:rsidP="0039543B"/>
    <w:p w14:paraId="5C96288D" w14:textId="3E62C4BD" w:rsidR="00EA0EE4" w:rsidRDefault="00EA0EE4" w:rsidP="0039543B">
      <w:r>
        <w:rPr>
          <w:noProof/>
        </w:rPr>
        <w:drawing>
          <wp:inline distT="0" distB="0" distL="0" distR="0" wp14:anchorId="6E226225" wp14:editId="12642BB5">
            <wp:extent cx="5943600" cy="2869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14:paraId="0980FBC9" w14:textId="5AFEF234" w:rsidR="0039543B" w:rsidRDefault="0039543B" w:rsidP="0039543B">
      <w:r>
        <w:rPr>
          <w:b/>
          <w:bCs/>
        </w:rPr>
        <w:t xml:space="preserve">Fig. </w:t>
      </w:r>
      <w:r w:rsidR="00EA0EE4">
        <w:rPr>
          <w:b/>
          <w:bCs/>
        </w:rPr>
        <w:t>S</w:t>
      </w:r>
      <w:r>
        <w:rPr>
          <w:b/>
          <w:bCs/>
        </w:rPr>
        <w:t xml:space="preserve">3 </w:t>
      </w:r>
      <w:r>
        <w:t>Haplotype network. Each node represents a unique haplotype observed in the dataset. Colors within nodes represent proportion of each group with that haplotype. Edges represent the inferred minimum spanning tree connecting haplotypes. Collections drawn from multiple years are combined</w:t>
      </w:r>
    </w:p>
    <w:p w14:paraId="4F162AF2" w14:textId="48360220" w:rsidR="0039543B" w:rsidRPr="0045298A" w:rsidRDefault="0039543B"/>
    <w:sectPr w:rsidR="0039543B" w:rsidRPr="0045298A" w:rsidSect="006E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3B"/>
    <w:rsid w:val="0000704A"/>
    <w:rsid w:val="000111E4"/>
    <w:rsid w:val="000215D5"/>
    <w:rsid w:val="00030C22"/>
    <w:rsid w:val="00037BCB"/>
    <w:rsid w:val="00066C63"/>
    <w:rsid w:val="00070FBD"/>
    <w:rsid w:val="0007479D"/>
    <w:rsid w:val="00075AD1"/>
    <w:rsid w:val="000A2DAF"/>
    <w:rsid w:val="000A3926"/>
    <w:rsid w:val="000B5E81"/>
    <w:rsid w:val="000E5DD2"/>
    <w:rsid w:val="000F1A6A"/>
    <w:rsid w:val="000F607E"/>
    <w:rsid w:val="00101505"/>
    <w:rsid w:val="001052C3"/>
    <w:rsid w:val="001053B0"/>
    <w:rsid w:val="00106CBD"/>
    <w:rsid w:val="001100E4"/>
    <w:rsid w:val="00113C0B"/>
    <w:rsid w:val="00113D3D"/>
    <w:rsid w:val="00117E1E"/>
    <w:rsid w:val="0012502A"/>
    <w:rsid w:val="0012779A"/>
    <w:rsid w:val="0013106B"/>
    <w:rsid w:val="00153167"/>
    <w:rsid w:val="001574F8"/>
    <w:rsid w:val="00163028"/>
    <w:rsid w:val="00165A45"/>
    <w:rsid w:val="00172350"/>
    <w:rsid w:val="001876DC"/>
    <w:rsid w:val="001954E0"/>
    <w:rsid w:val="001A5BB0"/>
    <w:rsid w:val="001B4514"/>
    <w:rsid w:val="001C0357"/>
    <w:rsid w:val="001C1598"/>
    <w:rsid w:val="001F672E"/>
    <w:rsid w:val="00207895"/>
    <w:rsid w:val="00213089"/>
    <w:rsid w:val="00221155"/>
    <w:rsid w:val="00227A30"/>
    <w:rsid w:val="00235640"/>
    <w:rsid w:val="0023721B"/>
    <w:rsid w:val="002415CD"/>
    <w:rsid w:val="00247D13"/>
    <w:rsid w:val="00257BE3"/>
    <w:rsid w:val="00261E5B"/>
    <w:rsid w:val="00262BF8"/>
    <w:rsid w:val="002753BF"/>
    <w:rsid w:val="00275E96"/>
    <w:rsid w:val="002A1615"/>
    <w:rsid w:val="002A23D0"/>
    <w:rsid w:val="002B68CB"/>
    <w:rsid w:val="002C21B9"/>
    <w:rsid w:val="002D067D"/>
    <w:rsid w:val="002D35EB"/>
    <w:rsid w:val="002D5BB5"/>
    <w:rsid w:val="002E66E3"/>
    <w:rsid w:val="002F4363"/>
    <w:rsid w:val="0031214F"/>
    <w:rsid w:val="003126DF"/>
    <w:rsid w:val="00316240"/>
    <w:rsid w:val="00322706"/>
    <w:rsid w:val="00323764"/>
    <w:rsid w:val="0034255E"/>
    <w:rsid w:val="00351BC1"/>
    <w:rsid w:val="00357922"/>
    <w:rsid w:val="0036047B"/>
    <w:rsid w:val="00373EBF"/>
    <w:rsid w:val="00374007"/>
    <w:rsid w:val="00374E16"/>
    <w:rsid w:val="00391695"/>
    <w:rsid w:val="0039543B"/>
    <w:rsid w:val="003A3475"/>
    <w:rsid w:val="003C1673"/>
    <w:rsid w:val="003C3F11"/>
    <w:rsid w:val="003D77FB"/>
    <w:rsid w:val="003E00C6"/>
    <w:rsid w:val="003E489D"/>
    <w:rsid w:val="003F4FCA"/>
    <w:rsid w:val="00404345"/>
    <w:rsid w:val="00413EC0"/>
    <w:rsid w:val="004212C0"/>
    <w:rsid w:val="00440FD4"/>
    <w:rsid w:val="0045298A"/>
    <w:rsid w:val="00457AFE"/>
    <w:rsid w:val="0047028F"/>
    <w:rsid w:val="00474686"/>
    <w:rsid w:val="00492217"/>
    <w:rsid w:val="004A0EE2"/>
    <w:rsid w:val="004A4376"/>
    <w:rsid w:val="004A7EB4"/>
    <w:rsid w:val="004C2DAD"/>
    <w:rsid w:val="004C7A87"/>
    <w:rsid w:val="004E0EED"/>
    <w:rsid w:val="004E5267"/>
    <w:rsid w:val="004F40CE"/>
    <w:rsid w:val="004F4604"/>
    <w:rsid w:val="00501D4E"/>
    <w:rsid w:val="0050205B"/>
    <w:rsid w:val="00536822"/>
    <w:rsid w:val="00575AB5"/>
    <w:rsid w:val="00575C0C"/>
    <w:rsid w:val="00576BEE"/>
    <w:rsid w:val="0058797F"/>
    <w:rsid w:val="00590916"/>
    <w:rsid w:val="00590F8E"/>
    <w:rsid w:val="005930E1"/>
    <w:rsid w:val="005932F1"/>
    <w:rsid w:val="005A643D"/>
    <w:rsid w:val="005B5FDB"/>
    <w:rsid w:val="005C5598"/>
    <w:rsid w:val="005D2D27"/>
    <w:rsid w:val="005D7078"/>
    <w:rsid w:val="005E1882"/>
    <w:rsid w:val="005F0174"/>
    <w:rsid w:val="005F1A88"/>
    <w:rsid w:val="005F60A2"/>
    <w:rsid w:val="006001FF"/>
    <w:rsid w:val="0061057D"/>
    <w:rsid w:val="00616897"/>
    <w:rsid w:val="0063046E"/>
    <w:rsid w:val="00631807"/>
    <w:rsid w:val="00640EB6"/>
    <w:rsid w:val="00645F87"/>
    <w:rsid w:val="006706ED"/>
    <w:rsid w:val="00677B13"/>
    <w:rsid w:val="006838BF"/>
    <w:rsid w:val="00687430"/>
    <w:rsid w:val="0069085F"/>
    <w:rsid w:val="006965BE"/>
    <w:rsid w:val="006C0B3E"/>
    <w:rsid w:val="006C210F"/>
    <w:rsid w:val="006E3982"/>
    <w:rsid w:val="00702BDA"/>
    <w:rsid w:val="007210DF"/>
    <w:rsid w:val="00727C4E"/>
    <w:rsid w:val="007323AF"/>
    <w:rsid w:val="007601B6"/>
    <w:rsid w:val="00760D36"/>
    <w:rsid w:val="0078196E"/>
    <w:rsid w:val="007A0E65"/>
    <w:rsid w:val="007A1AD0"/>
    <w:rsid w:val="007B19FA"/>
    <w:rsid w:val="007B1F5C"/>
    <w:rsid w:val="007B4C6C"/>
    <w:rsid w:val="007C49ED"/>
    <w:rsid w:val="007D6CB9"/>
    <w:rsid w:val="007D7795"/>
    <w:rsid w:val="007E2F9C"/>
    <w:rsid w:val="007E381C"/>
    <w:rsid w:val="007F4966"/>
    <w:rsid w:val="00800E6B"/>
    <w:rsid w:val="00815DCE"/>
    <w:rsid w:val="00833979"/>
    <w:rsid w:val="00851DB7"/>
    <w:rsid w:val="008546E7"/>
    <w:rsid w:val="00856FFB"/>
    <w:rsid w:val="008570EB"/>
    <w:rsid w:val="00876CA5"/>
    <w:rsid w:val="008847A1"/>
    <w:rsid w:val="00897CE9"/>
    <w:rsid w:val="008A10CA"/>
    <w:rsid w:val="008D37B6"/>
    <w:rsid w:val="008E3062"/>
    <w:rsid w:val="008E3978"/>
    <w:rsid w:val="008F17F8"/>
    <w:rsid w:val="008F2C42"/>
    <w:rsid w:val="00906822"/>
    <w:rsid w:val="00906BF8"/>
    <w:rsid w:val="0091120E"/>
    <w:rsid w:val="00914C9F"/>
    <w:rsid w:val="00941B17"/>
    <w:rsid w:val="00952FC9"/>
    <w:rsid w:val="0096558E"/>
    <w:rsid w:val="00977CE8"/>
    <w:rsid w:val="0098710C"/>
    <w:rsid w:val="009A2A69"/>
    <w:rsid w:val="009D5B66"/>
    <w:rsid w:val="009E502A"/>
    <w:rsid w:val="009F3717"/>
    <w:rsid w:val="00A16025"/>
    <w:rsid w:val="00A22ADA"/>
    <w:rsid w:val="00A24BC1"/>
    <w:rsid w:val="00A46650"/>
    <w:rsid w:val="00A53F27"/>
    <w:rsid w:val="00A5756E"/>
    <w:rsid w:val="00A6050F"/>
    <w:rsid w:val="00A61C14"/>
    <w:rsid w:val="00A669F4"/>
    <w:rsid w:val="00A71A92"/>
    <w:rsid w:val="00AD3B92"/>
    <w:rsid w:val="00B00A8A"/>
    <w:rsid w:val="00B13265"/>
    <w:rsid w:val="00B134BB"/>
    <w:rsid w:val="00B13F3E"/>
    <w:rsid w:val="00B1409A"/>
    <w:rsid w:val="00B2256C"/>
    <w:rsid w:val="00B22743"/>
    <w:rsid w:val="00B25088"/>
    <w:rsid w:val="00B3104D"/>
    <w:rsid w:val="00B54D09"/>
    <w:rsid w:val="00B72883"/>
    <w:rsid w:val="00B800BA"/>
    <w:rsid w:val="00B8616D"/>
    <w:rsid w:val="00B94ECE"/>
    <w:rsid w:val="00B96263"/>
    <w:rsid w:val="00BB15CC"/>
    <w:rsid w:val="00BB6CE7"/>
    <w:rsid w:val="00BC3443"/>
    <w:rsid w:val="00C06177"/>
    <w:rsid w:val="00C13FC0"/>
    <w:rsid w:val="00C2055B"/>
    <w:rsid w:val="00C33AA9"/>
    <w:rsid w:val="00C41065"/>
    <w:rsid w:val="00C42AF9"/>
    <w:rsid w:val="00C45759"/>
    <w:rsid w:val="00C528D8"/>
    <w:rsid w:val="00C6140E"/>
    <w:rsid w:val="00C61B71"/>
    <w:rsid w:val="00C624FD"/>
    <w:rsid w:val="00C77A87"/>
    <w:rsid w:val="00C84D93"/>
    <w:rsid w:val="00CA7054"/>
    <w:rsid w:val="00CA7886"/>
    <w:rsid w:val="00CC6317"/>
    <w:rsid w:val="00CC754A"/>
    <w:rsid w:val="00CD19B7"/>
    <w:rsid w:val="00CE4412"/>
    <w:rsid w:val="00CF44B7"/>
    <w:rsid w:val="00D103FD"/>
    <w:rsid w:val="00D11EF3"/>
    <w:rsid w:val="00D3710E"/>
    <w:rsid w:val="00D42C0E"/>
    <w:rsid w:val="00D65024"/>
    <w:rsid w:val="00D8524B"/>
    <w:rsid w:val="00DB04B9"/>
    <w:rsid w:val="00DB275B"/>
    <w:rsid w:val="00DB5827"/>
    <w:rsid w:val="00DB7260"/>
    <w:rsid w:val="00DC0213"/>
    <w:rsid w:val="00DD0610"/>
    <w:rsid w:val="00DD25F4"/>
    <w:rsid w:val="00DD514B"/>
    <w:rsid w:val="00E14906"/>
    <w:rsid w:val="00E17E1D"/>
    <w:rsid w:val="00E34F5E"/>
    <w:rsid w:val="00E53851"/>
    <w:rsid w:val="00E6119F"/>
    <w:rsid w:val="00E806CB"/>
    <w:rsid w:val="00E92678"/>
    <w:rsid w:val="00E95DE5"/>
    <w:rsid w:val="00E9700D"/>
    <w:rsid w:val="00EA0E8C"/>
    <w:rsid w:val="00EA0EE4"/>
    <w:rsid w:val="00ED45D6"/>
    <w:rsid w:val="00EE22FC"/>
    <w:rsid w:val="00EE2FDD"/>
    <w:rsid w:val="00EE5FC8"/>
    <w:rsid w:val="00EF55CB"/>
    <w:rsid w:val="00EF57D5"/>
    <w:rsid w:val="00EF7F67"/>
    <w:rsid w:val="00F105EB"/>
    <w:rsid w:val="00F26025"/>
    <w:rsid w:val="00F3282A"/>
    <w:rsid w:val="00F34C63"/>
    <w:rsid w:val="00F37A6D"/>
    <w:rsid w:val="00F4748C"/>
    <w:rsid w:val="00F62545"/>
    <w:rsid w:val="00F73FE6"/>
    <w:rsid w:val="00F8630C"/>
    <w:rsid w:val="00F92021"/>
    <w:rsid w:val="00F96472"/>
    <w:rsid w:val="00FB3952"/>
    <w:rsid w:val="00FE4744"/>
    <w:rsid w:val="00FE79C9"/>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FF75B"/>
  <w15:chartTrackingRefBased/>
  <w15:docId w15:val="{8DE3647C-FE83-184E-8DE4-DA851A54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43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43B"/>
    <w:rPr>
      <w:color w:val="0563C1" w:themeColor="hyperlink"/>
      <w:u w:val="single"/>
    </w:rPr>
  </w:style>
  <w:style w:type="paragraph" w:styleId="BalloonText">
    <w:name w:val="Balloon Text"/>
    <w:basedOn w:val="Normal"/>
    <w:link w:val="BalloonTextChar"/>
    <w:uiPriority w:val="99"/>
    <w:semiHidden/>
    <w:unhideWhenUsed/>
    <w:rsid w:val="0039543B"/>
    <w:rPr>
      <w:sz w:val="18"/>
      <w:szCs w:val="18"/>
    </w:rPr>
  </w:style>
  <w:style w:type="character" w:customStyle="1" w:styleId="BalloonTextChar">
    <w:name w:val="Balloon Text Char"/>
    <w:basedOn w:val="DefaultParagraphFont"/>
    <w:link w:val="BalloonText"/>
    <w:uiPriority w:val="99"/>
    <w:semiHidden/>
    <w:rsid w:val="0039543B"/>
    <w:rPr>
      <w:rFonts w:ascii="Times New Roman" w:eastAsia="Times New Roman" w:hAnsi="Times New Roman" w:cs="Times New Roman"/>
      <w:sz w:val="18"/>
      <w:szCs w:val="18"/>
    </w:rPr>
  </w:style>
  <w:style w:type="table" w:styleId="TableGrid">
    <w:name w:val="Table Grid"/>
    <w:basedOn w:val="TableNormal"/>
    <w:uiPriority w:val="39"/>
    <w:rsid w:val="00395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hyperlink" Target="mailto:david.dayan@oregonstate.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4</cp:revision>
  <dcterms:created xsi:type="dcterms:W3CDTF">2023-06-08T00:50:00Z</dcterms:created>
  <dcterms:modified xsi:type="dcterms:W3CDTF">2023-06-08T19:56:00Z</dcterms:modified>
</cp:coreProperties>
</file>