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82C83"/>
          <w:sz w:val="36"/>
          <w:szCs w:val="36"/>
        </w:rPr>
        <w:t xml:space="preserve">Agentic Print — Proof of Concept</w:t>
      </w:r>
    </w:p>
    <w:p>
      <w:pPr>
        <w:spacing w:after="20"/>
      </w:pPr>
      <w:r>
        <w:rPr>
          <w:rFonts w:ascii="Arial" w:cs="Arial" w:eastAsia="Arial" w:hAnsi="Arial"/>
          <w:b/>
          <w:bCs/>
          <w:color w:val="582C83"/>
          <w:sz w:val="30"/>
          <w:szCs w:val="30"/>
        </w:rPr>
        <w:t xml:space="preserve">Success Criteria</w:t>
      </w:r>
    </w:p>
    <w:p>
      <w:pPr>
        <w:pBdr>
          <w:bottom w:val="single" w:color="582C83" w:sz="6" w:space="4"/>
        </w:pBdr>
        <w:spacing w:after="60"/>
      </w:pPr>
      <w:r>
        <w:rPr>
          <w:rFonts w:ascii="Arial" w:cs="Arial" w:eastAsia="Arial" w:hAnsi="Arial"/>
          <w:color w:val="666666"/>
          <w:sz w:val="18"/>
          <w:szCs w:val="18"/>
        </w:rPr>
        <w:t xml:space="preserve">Elevance Health  |  April 2026  |  CONFIDENTIAL</w:t>
      </w:r>
    </w:p>
    <w:p>
      <w:pPr>
        <w:pBdr>
          <w:left w:val="single" w:color="582C83" w:sz="12" w:space="8"/>
        </w:pBdr>
        <w:spacing w:after="100" w:before="200"/>
      </w:pPr>
      <w:r>
        <w:rPr>
          <w:rFonts w:ascii="Arial" w:cs="Arial" w:eastAsia="Arial" w:hAnsi="Arial"/>
          <w:b/>
          <w:bCs/>
          <w:color w:val="582C83"/>
          <w:sz w:val="24"/>
          <w:szCs w:val="24"/>
        </w:rPr>
        <w:t xml:space="preserve">Proof of Concept Objective</w:t>
      </w:r>
    </w:p>
    <w:p>
      <w:pPr>
        <w:spacing w:after="80" w:line="260"/>
      </w:pPr>
      <w:r>
        <w:rPr>
          <w:rFonts w:ascii="Arial" w:cs="Arial" w:eastAsia="Arial" w:hAnsi="Arial"/>
          <w:sz w:val="20"/>
          <w:szCs w:val="20"/>
        </w:rPr>
        <w:t xml:space="preserve">Validate that a structured content platform can deconstruct Elevance Health’s existing member correspondence templates into governed, reusable components — and that those components can be reassembled through a three-layer content management system that enforces Section 508(c) accessibility compliance by design. The POC targets an initial corpus of 75 Grievances &amp; Appeals letters, with a path to 500+ templates across G&amp;A and Utilization Management.</w:t>
      </w:r>
    </w:p>
    <w:p>
      <w:pPr>
        <w:pBdr>
          <w:left w:val="single" w:color="582C83" w:sz="12" w:space="8"/>
        </w:pBdr>
        <w:spacing w:after="100" w:before="200"/>
      </w:pPr>
      <w:r>
        <w:rPr>
          <w:rFonts w:ascii="Arial" w:cs="Arial" w:eastAsia="Arial" w:hAnsi="Arial"/>
          <w:b/>
          <w:bCs/>
          <w:color w:val="582C83"/>
          <w:sz w:val="24"/>
          <w:szCs w:val="24"/>
        </w:rPr>
        <w:t xml:space="preserve">POC Scope — Four Systems</w:t>
      </w:r>
    </w:p>
    <w:p>
      <w:pPr>
        <w:spacing w:after="80" w:line="260"/>
      </w:pPr>
      <w:r>
        <w:rPr>
          <w:rFonts w:ascii="Arial" w:cs="Arial" w:eastAsia="Arial" w:hAnsi="Arial"/>
          <w:sz w:val="20"/>
          <w:szCs w:val="20"/>
        </w:rPr>
        <w:t xml:space="preserve">The proof of concept delivers three specialized processing agents and a content management system, each validated against the success criteria below.</w:t>
      </w:r>
    </w:p>
    <w:p>
      <w:pPr>
        <w:spacing w:after="60" w:before="140"/>
      </w:pPr>
      <w:r>
        <w:rPr>
          <w:rFonts w:ascii="Arial" w:cs="Arial" w:eastAsia="Arial" w:hAnsi="Arial"/>
          <w:b/>
          <w:bCs/>
          <w:color w:val="1A1A1A"/>
          <w:sz w:val="20"/>
          <w:szCs w:val="20"/>
        </w:rPr>
        <w:t xml:space="preserve">1. Template Deconstruction Agent</w:t>
      </w:r>
    </w:p>
    <w:p>
      <w:pPr>
        <w:spacing w:after="80" w:line="260"/>
      </w:pPr>
      <w:r>
        <w:rPr>
          <w:rFonts w:ascii="Arial" w:cs="Arial" w:eastAsia="Arial" w:hAnsi="Arial"/>
          <w:sz w:val="20"/>
          <w:szCs w:val="20"/>
        </w:rPr>
        <w:t xml:space="preserve">Ingests raw .docx correspondence templates and classifies every element into one of three layers: structural markup (Layer 1), managed copy blocks (Layer 2), or variable tokens (Layer 3). Outputs a machine-readable TMLCS representation of each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c>
          <w:tcPr>
            <w:tcW w:type="dxa" w:w="9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8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Success Criterion</w:t>
            </w:r>
          </w:p>
        </w:tc>
        <w:tc>
          <w:tcPr>
            <w:tcW w:type="dxa" w:w="366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Measure / Target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DC-1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Classification accuracy: elements correctly assigned to Layer 1, 2, or 3</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after initial calibration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DC-2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Variable detection: namespace and format directive correctly identified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precision / [TBD] recall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DC-3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CMS block boundary detection: managed copy blocks correctly segmented</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F1 score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DC-4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Human review: deconstructed output accepted without structural correction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Qualitative — reviewer sign-off on sample set</w:t>
            </w:r>
          </w:p>
        </w:tc>
      </w:tr>
    </w:tbl>
    <w:p>
      <w:pPr>
        <w:spacing w:after="60" w:before="140"/>
      </w:pPr>
      <w:r>
        <w:rPr>
          <w:rFonts w:ascii="Arial" w:cs="Arial" w:eastAsia="Arial" w:hAnsi="Arial"/>
          <w:b/>
          <w:bCs/>
          <w:color w:val="1A1A1A"/>
          <w:sz w:val="20"/>
          <w:szCs w:val="20"/>
        </w:rPr>
        <w:t xml:space="preserve">2. Template Rationalization Agent</w:t>
      </w:r>
    </w:p>
    <w:p>
      <w:pPr>
        <w:spacing w:after="80" w:line="260"/>
      </w:pPr>
      <w:r>
        <w:rPr>
          <w:rFonts w:ascii="Arial" w:cs="Arial" w:eastAsia="Arial" w:hAnsi="Arial"/>
          <w:sz w:val="20"/>
          <w:szCs w:val="20"/>
        </w:rPr>
        <w:t xml:space="preserve">Compares deconstructed templates to identify reuse opportunities, near-duplicates, and candidates for consolidation. Each template pair receives a similarity score and a recommended action: REUSE, MERGE, CREATE, or QUARANTINE. Regulated content in the similarity gray zone (0.85–0.98) is automatically quarantined for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c>
          <w:tcPr>
            <w:tcW w:type="dxa" w:w="9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8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Success Criterion</w:t>
            </w:r>
          </w:p>
        </w:tc>
        <w:tc>
          <w:tcPr>
            <w:tcW w:type="dxa" w:w="366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Measure / Target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RA-1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Similarity scoring accuracy against human-labeled pairs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correlation threshold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RA-2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Action classification: correct REUSE / MERGE / CREATE / QUARANTINE assignment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accuracy</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RA-3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Regulated content safeguard: when two templates contain regulatory language and are similar but not identical, the system must always flag them for human review rather than auto-merging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100% (non-negotiable)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RA-4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Consolidation yield: reduction in unique template count within POC corpus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Qualitative — reported as percentage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RA-5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False merge rate: templates incorrectly recommended for consolidation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(target: minimize)</w:t>
            </w:r>
          </w:p>
        </w:tc>
      </w:tr>
    </w:tbl>
    <w:p>
      <w:r>
        <w:br w:type="page"/>
      </w:r>
    </w:p>
    <w:p>
      <w:pPr>
        <w:spacing w:after="60" w:before="140"/>
      </w:pPr>
      <w:r>
        <w:rPr>
          <w:rFonts w:ascii="Arial" w:cs="Arial" w:eastAsia="Arial" w:hAnsi="Arial"/>
          <w:b/>
          <w:bCs/>
          <w:color w:val="1A1A1A"/>
          <w:sz w:val="20"/>
          <w:szCs w:val="20"/>
        </w:rPr>
        <w:t xml:space="preserve">3. 508(c) Compliance Agent</w:t>
      </w:r>
    </w:p>
    <w:p>
      <w:pPr>
        <w:spacing w:after="80" w:line="260"/>
      </w:pPr>
      <w:r>
        <w:rPr>
          <w:rFonts w:ascii="Arial" w:cs="Arial" w:eastAsia="Arial" w:hAnsi="Arial"/>
          <w:sz w:val="20"/>
          <w:szCs w:val="20"/>
        </w:rPr>
        <w:t xml:space="preserve">Scans templates and rendered correspondence for Section 508 / WCAG 2.0 Level AA violations across ten categories (structure, images, color, tables, links, lists, formatting, fonts, spacing, metadata). Produces a finding-level report with severity classification and remediation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c>
          <w:tcPr>
            <w:tcW w:type="dxa" w:w="9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8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Success Criterion</w:t>
            </w:r>
          </w:p>
        </w:tc>
        <w:tc>
          <w:tcPr>
            <w:tcW w:type="dxa" w:w="366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Measure / Target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CA-1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Precision: of the violations the agent reports, the percentage that are real issues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(calibrated against ground truth)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CA-2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Recall: of all known violations in the test corpus, the percentage the agent finds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(calibrated against ground truth)</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CA-3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Severity classification accuracy: Critical / Major / Minor assigned correctly</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[TBD] agreement rate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CA-4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Remediation guidance: actionable and technically correct fix for each finding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Qualitative — reviewer assessment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CA-5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Report completeness: WCAG reference, location, and description present for every finding</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100% of findings fully documented</w:t>
            </w:r>
          </w:p>
        </w:tc>
      </w:tr>
    </w:tbl>
    <w:p>
      <w:pPr>
        <w:spacing w:after="60" w:before="140"/>
      </w:pPr>
      <w:r>
        <w:rPr>
          <w:rFonts w:ascii="Arial" w:cs="Arial" w:eastAsia="Arial" w:hAnsi="Arial"/>
          <w:b/>
          <w:bCs/>
          <w:color w:val="1A1A1A"/>
          <w:sz w:val="20"/>
          <w:szCs w:val="20"/>
        </w:rPr>
        <w:t xml:space="preserve">4. Content Management System (Three-Layer CMS)</w:t>
      </w:r>
    </w:p>
    <w:p>
      <w:pPr>
        <w:spacing w:after="80" w:line="260"/>
      </w:pPr>
      <w:r>
        <w:rPr>
          <w:rFonts w:ascii="Arial" w:cs="Arial" w:eastAsia="Arial" w:hAnsi="Arial"/>
          <w:sz w:val="20"/>
          <w:szCs w:val="20"/>
        </w:rPr>
        <w:t xml:space="preserve">Stores and serves the governed content produced by the agent pipeline. Layer 1 holds structural templates, Layer 2 holds versioned managed copy blocks, and Layer 3 resolves variable tokens at render time (transient, never persisted). Every render produces an immutable audit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c>
          <w:tcPr>
            <w:tcW w:type="dxa" w:w="9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480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Success Criterion</w:t>
            </w:r>
          </w:p>
        </w:tc>
        <w:tc>
          <w:tcPr>
            <w:tcW w:type="dxa" w:w="3660"/>
            <w:tcBorders>
              <w:top w:val="single" w:color="CCCCCC" w:sz="1"/>
              <w:left w:val="single" w:color="CCCCCC" w:sz="1"/>
              <w:bottom w:val="single" w:color="CCCCCC" w:sz="1"/>
              <w:right w:val="single" w:color="CCCCCC" w:sz="1"/>
            </w:tcBorders>
            <w:shd w:fill="582C83" w:val="clear"/>
            <w:tcMar>
              <w:top w:type="dxa" w:w="60"/>
              <w:left w:type="dxa" w:w="100"/>
              <w:bottom w:type="dxa" w:w="60"/>
              <w:right w:type="dxa" w:w="100"/>
            </w:tcMar>
          </w:tcPr>
          <w:p>
            <w:pPr>
              <w:spacing w:after="20"/>
            </w:pPr>
            <w:r>
              <w:rPr>
                <w:rFonts w:ascii="Arial" w:cs="Arial" w:eastAsia="Arial" w:hAnsi="Arial"/>
                <w:b/>
                <w:bCs/>
                <w:color w:val="FFFFFF"/>
                <w:sz w:val="18"/>
                <w:szCs w:val="18"/>
              </w:rPr>
              <w:t xml:space="preserve">Measure / Target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CMS-1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Letter reconstruction: a finished letter assembled from its stored components exactly matches the expected output when given known member data</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100% character-accurate on test set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CMS-2</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Version integrity: content block updates create new versions; prior versions remain retrievable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Verified through audit trail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CMS-3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Audit traceability: every rendered letter produces a full audit record capturing which template, which content block versions, and which compliance scan was used — enabling any letter to be traced back to its exact source components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100% of rendered letters produce a complete audit record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CMS-4</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PHI handling: no protected health information persisted in durable storage</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Zero PHI in any stored artifact (non-negotiable)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1A"/>
                <w:sz w:val="18"/>
                <w:szCs w:val="18"/>
              </w:rPr>
              <w:t xml:space="preserve">CMS-5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Business user content editing: non-technical users can update Layer 2 copy blocks without IT involvement</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20"/>
            </w:pPr>
            <w:r>
              <w:rPr>
                <w:rFonts w:ascii="Arial" w:cs="Arial" w:eastAsia="Arial" w:hAnsi="Arial"/>
                <w:b w:val="false"/>
                <w:bCs w:val="false"/>
                <w:color w:val="1A1A1A"/>
                <w:sz w:val="18"/>
                <w:szCs w:val="18"/>
              </w:rPr>
              <w:t xml:space="preserve">Qualitative — demonstrated in POC walkthrough</w:t>
            </w:r>
          </w:p>
        </w:tc>
      </w:tr>
    </w:tbl>
    <w:p>
      <w:pPr>
        <w:pBdr>
          <w:left w:val="single" w:color="582C83" w:sz="12" w:space="8"/>
        </w:pBdr>
        <w:spacing w:after="100" w:before="200"/>
      </w:pPr>
      <w:r>
        <w:rPr>
          <w:rFonts w:ascii="Arial" w:cs="Arial" w:eastAsia="Arial" w:hAnsi="Arial"/>
          <w:b/>
          <w:bCs/>
          <w:color w:val="582C83"/>
          <w:sz w:val="24"/>
          <w:szCs w:val="24"/>
        </w:rPr>
        <w:t xml:space="preserve">Evaluation Approach</w:t>
      </w:r>
    </w:p>
    <w:p>
      <w:pPr>
        <w:spacing w:after="80" w:line="260"/>
      </w:pPr>
      <w:r>
        <w:rPr>
          <w:rFonts w:ascii="Arial" w:cs="Arial" w:eastAsia="Arial" w:hAnsi="Arial"/>
          <w:b/>
          <w:bCs/>
          <w:sz w:val="20"/>
          <w:szCs w:val="20"/>
        </w:rPr>
        <w:t xml:space="preserve">Calibration-first methodology.  </w:t>
      </w:r>
      <w:r>
        <w:rPr>
          <w:rFonts w:ascii="Arial" w:cs="Arial" w:eastAsia="Arial" w:hAnsi="Arial"/>
          <w:sz w:val="20"/>
          <w:szCs w:val="20"/>
        </w:rPr>
        <w:t xml:space="preserve">Numeric targets marked [TBD] will be established after the first full run of each agent against the POC corpus. This ensures thresholds reflect actual system behavior rather than aspirational estimates. Targets will be set collaboratively with business and compliance stakeholders before exit criteria are finalized.</w:t>
      </w:r>
    </w:p>
    <w:p>
      <w:pPr>
        <w:spacing w:after="80" w:line="260"/>
      </w:pPr>
      <w:r>
        <w:rPr>
          <w:rFonts w:ascii="Arial" w:cs="Arial" w:eastAsia="Arial" w:hAnsi="Arial"/>
          <w:b/>
          <w:bCs/>
          <w:sz w:val="20"/>
          <w:szCs w:val="20"/>
        </w:rPr>
        <w:t xml:space="preserve">Human-in-the-loop validation.  </w:t>
      </w:r>
      <w:r>
        <w:rPr>
          <w:rFonts w:ascii="Arial" w:cs="Arial" w:eastAsia="Arial" w:hAnsi="Arial"/>
          <w:sz w:val="20"/>
          <w:szCs w:val="20"/>
        </w:rPr>
        <w:t xml:space="preserve">All agent outputs are recommendations subject to human review. Success is measured by the accuracy and usefulness of those recommendations, not autonomous decision-making.</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Elevance Health  |  Agentic Print POC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sz w:val="28"/>
      <w:szCs w:val="28"/>
    </w:rPr>
  </w:style>
  <w:style w:type="paragraph" w:styleId="Heading2">
    <w:name w:val="Heading 2"/>
    <w:basedOn w:val="Normal"/>
    <w:next w:val="Normal"/>
    <w:qFormat/>
    <w:pPr>
      <w:spacing w:after="10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2026-04-17T16:21:11.298Z</dcterms:created>
  <dcterms:modified xsi:type="dcterms:W3CDTF">2026-04-17T16:21:11.298Z</dcterms:modified>
</cp:coreProperties>
</file>

<file path=docProps/custom.xml><?xml version="1.0" encoding="utf-8"?>
<Properties xmlns="http://schemas.openxmlformats.org/officeDocument/2006/custom-properties" xmlns:vt="http://schemas.openxmlformats.org/officeDocument/2006/docPropsVTypes"/>
</file>