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WEBSITE DESIGN &amp; MANAGEMENT AGREEMENT</w:t>
      </w:r>
    </w:p>
    <w:p>
      <w:pPr>
        <w:pStyle w:val="Heading2"/>
      </w:pPr>
      <w:r>
        <w:t>Ascent Plan</w:t>
      </w:r>
    </w:p>
    <w:p>
      <w:r>
        <w:rPr>
          <w:b/>
        </w:rPr>
        <w:t>Agreement ID:</w:t>
      </w:r>
      <w:r>
        <w:t xml:space="preserve"> </w:t>
      </w:r>
      <w:r>
        <w:rPr>
          <w:rFonts w:ascii="Consolas" w:hAnsi="Consolas"/>
          <w:sz w:val="20"/>
        </w:rPr>
        <w:t>[AGREEMENT ID]</w:t>
      </w:r>
      <w:r>
        <w:br/>
      </w:r>
      <w:r>
        <w:rPr>
          <w:b/>
        </w:rPr>
        <w:t>Effective Date:</w:t>
      </w:r>
      <w:r>
        <w:t xml:space="preserve"> </w:t>
      </w:r>
      <w:r>
        <w:rPr>
          <w:rFonts w:ascii="Consolas" w:hAnsi="Consolas"/>
          <w:sz w:val="20"/>
        </w:rPr>
        <w:t>[EFFECTIVE DATE]</w:t>
      </w:r>
    </w:p>
    <w:p>
      <w:r>
        <w:t>This Website Design &amp; Management Agreement (“</w:t>
      </w:r>
      <w:r>
        <w:rPr>
          <w:b/>
        </w:rPr>
        <w:t>Agreement</w:t>
      </w:r>
      <w:r>
        <w:t>”) is entered into by and between:</w:t>
      </w:r>
    </w:p>
    <w:p>
      <w:r>
        <w:rPr>
          <w:b/>
        </w:rPr>
        <w:t>Pinnacle Designs</w:t>
      </w:r>
      <w:r>
        <w:t xml:space="preserve"> (“</w:t>
      </w:r>
      <w:r>
        <w:rPr>
          <w:b/>
        </w:rPr>
        <w:t>Provider</w:t>
      </w:r>
      <w:r>
        <w:t>”)</w:t>
      </w:r>
      <w:r>
        <w:br/>
      </w:r>
      <w:r>
        <w:t>Contact: David — david@pinnacle-designs.com</w:t>
      </w:r>
      <w:r>
        <w:br/>
      </w:r>
      <w:r>
        <w:t>Website: https://pinnacle-designs.com</w:t>
      </w:r>
      <w:r>
        <w:br/>
      </w:r>
      <w:r>
        <w:t>Location: Erwin, Tennessee</w:t>
      </w:r>
    </w:p>
    <w:p>
      <w:r>
        <w:t>and</w:t>
      </w:r>
    </w:p>
    <w:p>
      <w:r>
        <w:rPr>
          <w:b/>
        </w:rPr>
        <w:t>`[CLIENT LEGAL NAME]`</w:t>
      </w:r>
      <w:r>
        <w:t xml:space="preserve"> (“</w:t>
      </w:r>
      <w:r>
        <w:rPr>
          <w:b/>
        </w:rPr>
        <w:t>Client</w:t>
      </w:r>
      <w:r>
        <w:t>”)</w:t>
      </w:r>
      <w:r>
        <w:br/>
      </w:r>
      <w:r>
        <w:t xml:space="preserve">Business name (if different): </w:t>
      </w:r>
      <w:r>
        <w:rPr>
          <w:rFonts w:ascii="Consolas" w:hAnsi="Consolas"/>
          <w:sz w:val="20"/>
        </w:rPr>
        <w:t>[DBA / TRADE NAME]</w:t>
      </w:r>
      <w:r>
        <w:br/>
      </w:r>
      <w:r>
        <w:t xml:space="preserve">Address: </w:t>
      </w:r>
      <w:r>
        <w:rPr>
          <w:rFonts w:ascii="Consolas" w:hAnsi="Consolas"/>
          <w:sz w:val="20"/>
        </w:rPr>
        <w:t>[CLIENT STREET ADDRESS]</w:t>
      </w:r>
      <w:r>
        <w:br/>
      </w:r>
      <w:r>
        <w:t xml:space="preserve">City, State, ZIP: </w:t>
      </w:r>
      <w:r>
        <w:rPr>
          <w:rFonts w:ascii="Consolas" w:hAnsi="Consolas"/>
          <w:sz w:val="20"/>
        </w:rPr>
        <w:t>[CLIENT CITY, STATE ZIP]</w:t>
      </w:r>
      <w:r>
        <w:br/>
      </w:r>
      <w:r>
        <w:t xml:space="preserve">Email: </w:t>
      </w:r>
      <w:r>
        <w:rPr>
          <w:rFonts w:ascii="Consolas" w:hAnsi="Consolas"/>
          <w:sz w:val="20"/>
        </w:rPr>
        <w:t>[CLIENT EMAIL]</w:t>
      </w:r>
      <w:r>
        <w:br/>
      </w:r>
      <w:r>
        <w:t xml:space="preserve">Phone: </w:t>
      </w:r>
      <w:r>
        <w:rPr>
          <w:rFonts w:ascii="Consolas" w:hAnsi="Consolas"/>
          <w:sz w:val="20"/>
        </w:rPr>
        <w:t>[CLIENT PHONE]</w:t>
      </w:r>
    </w:p>
    <w:p>
      <w:r>
        <w:t>Provider and Client are each a “</w:t>
      </w:r>
      <w:r>
        <w:rPr>
          <w:b/>
        </w:rPr>
        <w:t>Party</w:t>
      </w:r>
      <w:r>
        <w:t>” and together the “</w:t>
      </w:r>
      <w:r>
        <w:rPr>
          <w:b/>
        </w:rPr>
        <w:t>Parties</w:t>
      </w:r>
      <w:r>
        <w:t>.”</w:t>
      </w:r>
    </w:p>
    <w:p/>
    <w:p>
      <w:pPr>
        <w:pStyle w:val="Heading2"/>
      </w:pPr>
      <w:r>
        <w:t>1. Services — Ascent Plan</w:t>
      </w:r>
    </w:p>
    <w:p>
      <w:r>
        <w:t xml:space="preserve">Provider will design, launch, and manage a custom website for Client under the </w:t>
      </w:r>
      <w:r>
        <w:rPr>
          <w:b/>
        </w:rPr>
        <w:t>Ascent</w:t>
      </w:r>
      <w:r>
        <w:t xml:space="preserve"> plan, which includes: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Website scope</w:t>
            </w:r>
          </w:p>
        </w:tc>
        <w:tc>
          <w:tcPr>
            <w:tcW w:type="dxa" w:w="4680"/>
          </w:tcPr>
          <w:p>
            <w:r/>
            <w:r>
              <w:t xml:space="preserve">Custom website with </w:t>
            </w:r>
            <w:r>
              <w:rPr>
                <w:b/>
              </w:rPr>
              <w:t>up to 10 pages</w:t>
            </w:r>
            <w:r>
              <w:t xml:space="preserve"> as agreed in Exhibit 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Google Business Profile</w:t>
            </w:r>
          </w:p>
        </w:tc>
        <w:tc>
          <w:tcPr>
            <w:tcW w:type="dxa" w:w="4680"/>
          </w:tcPr>
          <w:p>
            <w:r/>
            <w:r>
              <w:t>Initial setup and optimization (verification subject to Google’s process)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Analytics</w:t>
            </w:r>
          </w:p>
        </w:tc>
        <w:tc>
          <w:tcPr>
            <w:tcW w:type="dxa" w:w="4680"/>
          </w:tcPr>
          <w:p>
            <w:r/>
            <w:r>
              <w:t>Google Analytics (or equivalent) installation and basic reporting dashboard access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Hosting &amp; SSL</w:t>
            </w:r>
          </w:p>
        </w:tc>
        <w:tc>
          <w:tcPr>
            <w:tcW w:type="dxa" w:w="4680"/>
          </w:tcPr>
          <w:p>
            <w:r/>
            <w:r>
              <w:t>Secure hosting with SSL certificate for Client’s primary domain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Monthly updates</w:t>
            </w:r>
          </w:p>
        </w:tc>
        <w:tc>
          <w:tcPr>
            <w:tcW w:type="dxa" w:w="4680"/>
          </w:tcPr>
          <w:p>
            <w:r/>
            <w:r>
              <w:t xml:space="preserve">Up to </w:t>
            </w:r>
            <w:r>
              <w:rPr>
                <w:b/>
              </w:rPr>
              <w:t>2 hours per month</w:t>
            </w:r>
            <w:r>
              <w:t xml:space="preserve"> of text, image, and minor content updates (see Section 4)</w:t>
            </w:r>
          </w:p>
        </w:tc>
      </w:tr>
    </w:tbl>
    <w:p>
      <w:r>
        <w:rPr>
          <w:b/>
        </w:rPr>
        <w:t>Primary domain:</w:t>
      </w:r>
      <w:r>
        <w:t xml:space="preserve"> </w:t>
      </w:r>
      <w:r>
        <w:rPr>
          <w:rFonts w:ascii="Consolas" w:hAnsi="Consolas"/>
          <w:sz w:val="20"/>
        </w:rPr>
        <w:t>[DOMAIN NAME]</w:t>
      </w:r>
    </w:p>
    <w:p>
      <w:r>
        <w:rPr>
          <w:b/>
        </w:rPr>
        <w:t>Google Business Profile URL (if existing):</w:t>
      </w:r>
      <w:r>
        <w:t xml:space="preserve"> </w:t>
      </w:r>
      <w:r>
        <w:rPr>
          <w:rFonts w:ascii="Consolas" w:hAnsi="Consolas"/>
          <w:sz w:val="20"/>
        </w:rPr>
        <w:t>[GBP URL OR “N/A — new listing”]</w:t>
      </w:r>
    </w:p>
    <w:p>
      <w:r>
        <w:rPr>
          <w:b/>
        </w:rPr>
        <w:t>Target launch date:</w:t>
      </w:r>
      <w:r>
        <w:t xml:space="preserve"> </w:t>
      </w:r>
      <w:r>
        <w:rPr>
          <w:rFonts w:ascii="Consolas" w:hAnsi="Consolas"/>
          <w:sz w:val="20"/>
        </w:rPr>
        <w:t>[TARGET LAUNCH DATE]</w:t>
      </w:r>
      <w:r>
        <w:t xml:space="preserve"> (estimate; not guaranteed — see Section 6)</w:t>
      </w:r>
    </w:p>
    <w:p/>
    <w:p>
      <w:pPr>
        <w:pStyle w:val="Heading2"/>
      </w:pPr>
      <w:r>
        <w:t>2. Fees &amp;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Fee type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Amount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Due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Design &amp; setup fee (down payment)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$1,000.00 USD</w:t>
            </w:r>
          </w:p>
        </w:tc>
        <w:tc>
          <w:tcPr>
            <w:tcW w:type="dxa" w:w="3120"/>
          </w:tcPr>
          <w:p>
            <w:r/>
            <w:r>
              <w:t>Due upon signing this Agreement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Monthly management fee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$199.00 USD/month</w:t>
            </w:r>
          </w:p>
        </w:tc>
        <w:tc>
          <w:tcPr>
            <w:tcW w:type="dxa" w:w="3120"/>
          </w:tcPr>
          <w:p>
            <w:r/>
            <w:r>
              <w:t xml:space="preserve">Billed on </w:t>
            </w:r>
            <w:r>
              <w:rPr>
                <w:rFonts w:ascii="Consolas" w:hAnsi="Consolas"/>
                <w:sz w:val="20"/>
              </w:rPr>
              <w:t>[BILLING DAY]</w:t>
            </w:r>
            <w:r>
              <w:t xml:space="preserve"> of each month, beginning </w:t>
            </w:r>
            <w:r>
              <w:rPr>
                <w:rFonts w:ascii="Consolas" w:hAnsi="Consolas"/>
                <w:sz w:val="20"/>
              </w:rPr>
              <w:t>[FIRST MONTHLY BILLING DATE]</w:t>
            </w:r>
          </w:p>
        </w:tc>
      </w:tr>
    </w:tbl>
    <w:p>
      <w:pPr>
        <w:pStyle w:val="ListBullet"/>
      </w:pPr>
      <w:r>
        <w:t xml:space="preserve">Monthly fees are </w:t>
      </w:r>
      <w:r>
        <w:rPr>
          <w:b/>
        </w:rPr>
        <w:t>automatically recurring</w:t>
      </w:r>
      <w:r>
        <w:t xml:space="preserve"> unless this Agreement is terminated under Section 9.</w:t>
      </w:r>
    </w:p>
    <w:p>
      <w:pPr>
        <w:pStyle w:val="ListBullet"/>
      </w:pPr>
      <w:r>
        <w:t xml:space="preserve">Late payments more than </w:t>
      </w:r>
      <w:r>
        <w:rPr>
          <w:b/>
        </w:rPr>
        <w:t>15 days</w:t>
      </w:r>
      <w:r>
        <w:t xml:space="preserve"> past due may result in suspension of update services and/or the live website until the account is current.</w:t>
      </w:r>
    </w:p>
    <w:p>
      <w:pPr>
        <w:pStyle w:val="ListBullet"/>
      </w:pPr>
      <w:r>
        <w:t xml:space="preserve">All fees are </w:t>
      </w:r>
      <w:r>
        <w:rPr>
          <w:b/>
        </w:rPr>
        <w:t>non-refundable</w:t>
      </w:r>
      <w:r>
        <w:t xml:space="preserve"> except where required by law or expressly agreed in writing.</w:t>
      </w:r>
    </w:p>
    <w:p>
      <w:pPr>
        <w:pStyle w:val="ListBullet"/>
      </w:pPr>
      <w:r>
        <w:t xml:space="preserve">Provider may adjust monthly fees with </w:t>
      </w:r>
      <w:r>
        <w:rPr>
          <w:b/>
        </w:rPr>
        <w:t>60 days’ written notice</w:t>
      </w:r>
      <w:r>
        <w:t>. Client may terminate before the new rate takes effect.</w:t>
      </w:r>
    </w:p>
    <w:p>
      <w:r>
        <w:rPr>
          <w:b/>
        </w:rPr>
        <w:t>Payment method:</w:t>
      </w:r>
      <w:r>
        <w:t xml:space="preserve"> </w:t>
      </w:r>
      <w:r>
        <w:rPr>
          <w:rFonts w:ascii="Consolas" w:hAnsi="Consolas"/>
          <w:sz w:val="20"/>
        </w:rPr>
        <w:t>[PAYMENT METHOD — e.g. card on file, ACH, invoice]</w:t>
      </w:r>
    </w:p>
    <w:p/>
    <w:p>
      <w:pPr>
        <w:pStyle w:val="Heading2"/>
      </w:pPr>
      <w:r>
        <w:t>3. Client Responsibilities</w:t>
      </w:r>
    </w:p>
    <w:p>
      <w:r>
        <w:t>Client agrees to:</w:t>
      </w:r>
    </w:p>
    <w:p>
      <w:pPr>
        <w:pStyle w:val="ListNumber"/>
      </w:pPr>
      <w:r>
        <w:t>Provide accurate business information, branding assets, and written content in a timely manner.</w:t>
      </w:r>
    </w:p>
    <w:p>
      <w:pPr>
        <w:pStyle w:val="ListNumber"/>
      </w:pPr>
      <w:r>
        <w:t xml:space="preserve">Respond to design proofs and approval requests within </w:t>
      </w:r>
      <w:r>
        <w:rPr>
          <w:b/>
        </w:rPr>
        <w:t>10 business days</w:t>
      </w:r>
      <w:r>
        <w:t>.</w:t>
      </w:r>
    </w:p>
    <w:p>
      <w:pPr>
        <w:pStyle w:val="ListNumber"/>
      </w:pPr>
      <w:r>
        <w:t>Complete Google verification steps when required (postcard, phone, or email verification).</w:t>
      </w:r>
    </w:p>
    <w:p>
      <w:pPr>
        <w:pStyle w:val="ListNumber"/>
      </w:pPr>
      <w:r>
        <w:t xml:space="preserve">Register and maintain ownership of the domain </w:t>
      </w:r>
      <w:r>
        <w:rPr>
          <w:rFonts w:ascii="Consolas" w:hAnsi="Consolas"/>
          <w:sz w:val="20"/>
        </w:rPr>
        <w:t>[DOMAIN NAME]</w:t>
      </w:r>
      <w:r>
        <w:t>.</w:t>
      </w:r>
    </w:p>
    <w:p>
      <w:pPr>
        <w:pStyle w:val="ListNumber"/>
      </w:pPr>
      <w:r>
        <w:t>Grant Provider admin or manager access to Google Business Profile as needed for setup.</w:t>
      </w:r>
    </w:p>
    <w:p>
      <w:pPr>
        <w:pStyle w:val="ListNumber"/>
      </w:pPr>
      <w:r>
        <w:t>Ensure all content complies with applicable laws and does not infringe third-party rights.</w:t>
      </w:r>
    </w:p>
    <w:p>
      <w:pPr>
        <w:pStyle w:val="ListNumber"/>
      </w:pPr>
      <w:r>
        <w:t xml:space="preserve">Designate one primary contact: </w:t>
      </w:r>
      <w:r>
        <w:rPr>
          <w:rFonts w:ascii="Consolas" w:hAnsi="Consolas"/>
          <w:sz w:val="20"/>
        </w:rPr>
        <w:t>[CLIENT CONTACT NAME]</w:t>
      </w:r>
      <w:r>
        <w:t>.</w:t>
      </w:r>
    </w:p>
    <w:p>
      <w:r>
        <w:t>Delays caused by Client may extend the launch timeline without penalty to Provider.</w:t>
      </w:r>
    </w:p>
    <w:p/>
    <w:p>
      <w:pPr>
        <w:pStyle w:val="Heading2"/>
      </w:pPr>
      <w:r>
        <w:t>4. Updates &amp; Work Outside Scope</w:t>
      </w:r>
    </w:p>
    <w:p>
      <w:r>
        <w:rPr>
          <w:b/>
        </w:rPr>
        <w:t>Included (within 2 hrs/mo):</w:t>
      </w:r>
      <w:r>
        <w:t xml:space="preserve"> Text edits, price/menu changes, photo swaps, minor layout tweaks, Google Business Profile text/photo updates, and routine analytics-related tag checks.</w:t>
      </w:r>
    </w:p>
    <w:p>
      <w:r>
        <w:rPr>
          <w:b/>
        </w:rPr>
        <w:t>Not included (quoted separately):</w:t>
      </w:r>
      <w:r>
        <w:t xml:space="preserve"> Pages beyond the 10-page scope, e-commerce, booking systems, custom integrations, paid ad management, extensive copywriting, professional photography, logo design, or full redesigns. Provider will provide a written quote before starting out-of-scope work.</w:t>
      </w:r>
    </w:p>
    <w:p>
      <w:r>
        <w:t xml:space="preserve">Unused monthly update hours </w:t>
      </w:r>
      <w:r>
        <w:rPr>
          <w:b/>
        </w:rPr>
        <w:t>do not roll over</w:t>
      </w:r>
      <w:r>
        <w:t>.</w:t>
      </w:r>
    </w:p>
    <w:p/>
    <w:p>
      <w:pPr>
        <w:pStyle w:val="Heading2"/>
      </w:pPr>
      <w:r>
        <w:t>5. Intellectual Property &amp; Content</w:t>
      </w:r>
    </w:p>
    <w:p>
      <w:pPr>
        <w:pStyle w:val="ListNumber"/>
      </w:pPr>
      <w:r>
        <w:t xml:space="preserve">Upon </w:t>
      </w:r>
      <w:r>
        <w:rPr>
          <w:b/>
        </w:rPr>
        <w:t>full payment</w:t>
      </w:r>
      <w:r>
        <w:t xml:space="preserve"> of the design &amp; setup fee, Client receives a license to use the delivered website design for their business.</w:t>
      </w:r>
    </w:p>
    <w:p>
      <w:pPr>
        <w:pStyle w:val="ListNumber"/>
      </w:pPr>
      <w:r>
        <w:t>Client retains ownership of content Client supplies.</w:t>
      </w:r>
    </w:p>
    <w:p>
      <w:pPr>
        <w:pStyle w:val="ListNumber"/>
      </w:pPr>
      <w:r>
        <w:t>Provider retains ownership of pre-existing code, frameworks, tools, and generic templates.</w:t>
      </w:r>
    </w:p>
    <w:p>
      <w:pPr>
        <w:pStyle w:val="ListNumber"/>
      </w:pPr>
      <w:r>
        <w:t>Provider may display the completed website in its portfolio unless Client opts out in writing.</w:t>
      </w:r>
    </w:p>
    <w:p>
      <w:pPr>
        <w:pStyle w:val="ListNumber"/>
      </w:pPr>
      <w:r>
        <w:t>If Client terminates with outstanding balances, Provider may withhold transfer of custom work until paid in full.</w:t>
      </w:r>
    </w:p>
    <w:p/>
    <w:p>
      <w:pPr>
        <w:pStyle w:val="Heading2"/>
      </w:pPr>
      <w:r>
        <w:t>6. Hosting, Domain &amp; Uptime</w:t>
      </w:r>
    </w:p>
    <w:p>
      <w:pPr>
        <w:pStyle w:val="ListBullet"/>
      </w:pPr>
      <w:r>
        <w:t>Provider hosts the site on infrastructure Provider selects.</w:t>
      </w:r>
    </w:p>
    <w:p>
      <w:pPr>
        <w:pStyle w:val="ListBullet"/>
      </w:pPr>
      <w:r>
        <w:t xml:space="preserve">Provider uses commercially reasonable efforts to maintain uptime but does </w:t>
      </w:r>
      <w:r>
        <w:rPr>
          <w:b/>
        </w:rPr>
        <w:t>not</w:t>
      </w:r>
      <w:r>
        <w:t xml:space="preserve"> guarantee uninterrupted service.</w:t>
      </w:r>
    </w:p>
    <w:p>
      <w:pPr>
        <w:pStyle w:val="ListBullet"/>
      </w:pPr>
      <w:r>
        <w:t>Client is responsible for domain renewal fees unless otherwise agreed.</w:t>
      </w:r>
    </w:p>
    <w:p>
      <w:pPr>
        <w:pStyle w:val="ListBullet"/>
      </w:pPr>
      <w:r>
        <w:t>Google Business Profile and Analytics accounts remain Client-owned; Provider assists with initial setup only.</w:t>
      </w:r>
    </w:p>
    <w:p/>
    <w:p>
      <w:pPr>
        <w:pStyle w:val="Heading2"/>
      </w:pPr>
      <w:r>
        <w:t>7. Warranties &amp; Disclaimer</w:t>
      </w:r>
    </w:p>
    <w:p>
      <w:r>
        <w:t>Provider warrants services will be performed in a professional manner consistent with industry standards.</w:t>
      </w:r>
    </w:p>
    <w:p>
      <w:r>
        <w:rPr>
          <w:b/>
        </w:rPr>
        <w:t>EXCEPT AS STATED ABOVE, SERVICES ARE PROVIDED “AS IS.” PROVIDER DISCLAIMS ALL OTHER WARRANTIES, EXPRESS OR IMPLIED.</w:t>
      </w:r>
    </w:p>
    <w:p>
      <w:r>
        <w:t>Provider does not guarantee search rankings, traffic, leads, or sales. Google Business Profile approval and verification are controlled by Google.</w:t>
      </w:r>
    </w:p>
    <w:p/>
    <w:p>
      <w:pPr>
        <w:pStyle w:val="Heading2"/>
      </w:pPr>
      <w:r>
        <w:t>8. Limitation of Liability</w:t>
      </w:r>
    </w:p>
    <w:p>
      <w:r>
        <w:t xml:space="preserve">To the maximum extent permitted by law, Provider’s total liability shall not exceed fees paid by Client in the </w:t>
      </w:r>
      <w:r>
        <w:rPr>
          <w:b/>
        </w:rPr>
        <w:t>12 months</w:t>
      </w:r>
      <w:r>
        <w:t xml:space="preserve"> preceding the claim. Provider shall not be liable for indirect, incidental, special, or consequential damages.</w:t>
      </w:r>
    </w:p>
    <w:p/>
    <w:p>
      <w:pPr>
        <w:pStyle w:val="Heading2"/>
      </w:pPr>
      <w:r>
        <w:t>9. Term &amp; Termination</w:t>
      </w:r>
    </w:p>
    <w:p>
      <w:pPr>
        <w:pStyle w:val="ListNumber"/>
      </w:pPr>
      <w:r>
        <w:rPr>
          <w:b/>
        </w:rPr>
        <w:t>Term:</w:t>
      </w:r>
      <w:r>
        <w:t xml:space="preserve"> Month-to-month after launch, beginning on </w:t>
      </w:r>
      <w:r>
        <w:rPr>
          <w:rFonts w:ascii="Consolas" w:hAnsi="Consolas"/>
          <w:sz w:val="20"/>
        </w:rPr>
        <w:t>[LAUNCH DATE OR FIRST BILLING DATE]</w:t>
      </w:r>
      <w:r>
        <w:t>.</w:t>
      </w:r>
    </w:p>
    <w:p>
      <w:pPr>
        <w:pStyle w:val="ListNumber"/>
      </w:pPr>
      <w:r>
        <w:rPr>
          <w:b/>
        </w:rPr>
        <w:t>Termination by Client:</w:t>
      </w:r>
      <w:r>
        <w:t xml:space="preserve"> </w:t>
      </w:r>
      <w:r>
        <w:rPr>
          <w:b/>
        </w:rPr>
        <w:t>30 days’ written notice</w:t>
      </w:r>
      <w:r>
        <w:t xml:space="preserve"> to david@pinnacle-designs.com.</w:t>
      </w:r>
    </w:p>
    <w:p>
      <w:pPr>
        <w:pStyle w:val="ListNumber"/>
      </w:pPr>
      <w:r>
        <w:rPr>
          <w:b/>
        </w:rPr>
        <w:t>Termination by Provider:</w:t>
      </w:r>
      <w:r>
        <w:t xml:space="preserve"> Immediate upon uncured material breach (including non-payment) after </w:t>
      </w:r>
      <w:r>
        <w:rPr>
          <w:b/>
        </w:rPr>
        <w:t>10 days’ notice</w:t>
      </w:r>
      <w:r>
        <w:t xml:space="preserve">; or </w:t>
      </w:r>
      <w:r>
        <w:rPr>
          <w:b/>
        </w:rPr>
        <w:t>30 days’ notice</w:t>
      </w:r>
      <w:r>
        <w:t xml:space="preserve"> without cause.</w:t>
      </w:r>
    </w:p>
    <w:p>
      <w:pPr>
        <w:pStyle w:val="ListNumber"/>
      </w:pPr>
      <w:r>
        <w:rPr>
          <w:b/>
        </w:rPr>
        <w:t>Effect of termination:</w:t>
      </w:r>
      <w:r>
        <w:t xml:space="preserve"> Site taken offline within </w:t>
      </w:r>
      <w:r>
        <w:rPr>
          <w:b/>
        </w:rPr>
        <w:t>30 days</w:t>
      </w:r>
      <w:r>
        <w:t xml:space="preserve"> unless Client arranges paid migration. Outstanding invoices remain due.</w:t>
      </w:r>
    </w:p>
    <w:p/>
    <w:p>
      <w:pPr>
        <w:pStyle w:val="Heading2"/>
      </w:pPr>
      <w:r>
        <w:t>10. Confidentiality</w:t>
      </w:r>
    </w:p>
    <w:p>
      <w:r>
        <w:t>Each Party will keep non-public business information confidential and use it only to perform under this Agreement.</w:t>
      </w:r>
    </w:p>
    <w:p/>
    <w:p>
      <w:pPr>
        <w:pStyle w:val="Heading2"/>
      </w:pPr>
      <w:r>
        <w:t>11. General</w:t>
      </w:r>
    </w:p>
    <w:p>
      <w:pPr>
        <w:pStyle w:val="ListBullet"/>
      </w:pPr>
      <w:r>
        <w:rPr>
          <w:b/>
        </w:rPr>
        <w:t>Governing law:</w:t>
      </w:r>
      <w:r>
        <w:t xml:space="preserve"> State of Tennessee.</w:t>
      </w:r>
    </w:p>
    <w:p>
      <w:pPr>
        <w:pStyle w:val="ListBullet"/>
      </w:pPr>
      <w:r>
        <w:rPr>
          <w:b/>
        </w:rPr>
        <w:t>Disputes:</w:t>
      </w:r>
      <w:r>
        <w:t xml:space="preserve"> Good-faith negotiation first; then courts in </w:t>
      </w:r>
      <w:r>
        <w:rPr>
          <w:b/>
        </w:rPr>
        <w:t>Unicoi County, Tennessee</w:t>
      </w:r>
      <w:r>
        <w:t xml:space="preserve"> (or mutually agreed venue).</w:t>
      </w:r>
    </w:p>
    <w:p>
      <w:pPr>
        <w:pStyle w:val="ListBullet"/>
      </w:pPr>
      <w:r>
        <w:rPr>
          <w:b/>
        </w:rPr>
        <w:t>Entire agreement:</w:t>
      </w:r>
      <w:r>
        <w:t xml:space="preserve"> Supersedes prior discussions about the Ascent plan.</w:t>
      </w:r>
    </w:p>
    <w:p>
      <w:pPr>
        <w:pStyle w:val="ListBullet"/>
      </w:pPr>
      <w:r>
        <w:rPr>
          <w:b/>
        </w:rPr>
        <w:t>Amendments:</w:t>
      </w:r>
      <w:r>
        <w:t xml:space="preserve"> Must be in writing and signed by both Parties.</w:t>
      </w:r>
    </w:p>
    <w:p/>
    <w:p>
      <w:pPr>
        <w:pStyle w:val="Heading2"/>
      </w:pPr>
      <w:r>
        <w:t>Signatures</w:t>
      </w:r>
    </w:p>
    <w:p>
      <w:r>
        <w:rPr>
          <w:b/>
        </w:rPr>
        <w:t>PINNACLE DESIGNS (Provider)</w:t>
      </w:r>
    </w:p>
    <w:p>
      <w:r>
        <w:t>Signature: _________________________________</w:t>
      </w:r>
      <w:r>
        <w:br/>
      </w:r>
      <w:r>
        <w:t>Name: David</w:t>
      </w:r>
      <w:r>
        <w:br/>
      </w:r>
      <w:r>
        <w:t xml:space="preserve">Title: </w:t>
      </w:r>
      <w:r>
        <w:rPr>
          <w:rFonts w:ascii="Consolas" w:hAnsi="Consolas"/>
          <w:sz w:val="20"/>
        </w:rPr>
        <w:t>[TITLE]</w:t>
      </w:r>
      <w:r>
        <w:br/>
      </w:r>
      <w:r>
        <w:t>Date: _________________</w:t>
      </w:r>
    </w:p>
    <w:p>
      <w:r>
        <w:rPr>
          <w:b/>
        </w:rPr>
        <w:t>CLIENT</w:t>
      </w:r>
    </w:p>
    <w:p>
      <w:r>
        <w:t>Signature: _________________________________</w:t>
      </w:r>
      <w:r>
        <w:br/>
      </w:r>
      <w:r>
        <w:t xml:space="preserve">Name: </w:t>
      </w:r>
      <w:r>
        <w:rPr>
          <w:rFonts w:ascii="Consolas" w:hAnsi="Consolas"/>
          <w:sz w:val="20"/>
        </w:rPr>
        <w:t>[CLIENT SIGNER NAME]</w:t>
      </w:r>
      <w:r>
        <w:br/>
      </w:r>
      <w:r>
        <w:t xml:space="preserve">Title: </w:t>
      </w:r>
      <w:r>
        <w:rPr>
          <w:rFonts w:ascii="Consolas" w:hAnsi="Consolas"/>
          <w:sz w:val="20"/>
        </w:rPr>
        <w:t>[CLIENT SIGNER TITLE]</w:t>
      </w:r>
      <w:r>
        <w:br/>
      </w:r>
      <w:r>
        <w:t>Date: _________________</w:t>
      </w:r>
    </w:p>
    <w:p/>
    <w:p>
      <w:pPr>
        <w:pStyle w:val="Heading3"/>
      </w:pPr>
      <w:r>
        <w:t>Exhibit A — Page Outline (up to 10 pages)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Working title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Home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[TITLE]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[NOTES]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>About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[TITLE]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[NOTES]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[PAGE]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[TITLE]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[NOTES]</w:t>
            </w:r>
          </w:p>
        </w:tc>
      </w:tr>
      <w:tr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[PAGE]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[TITLE]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[NOTES]</w:t>
            </w:r>
          </w:p>
        </w:tc>
      </w:tr>
      <w:tr>
        <w:tc>
          <w:tcPr>
            <w:tcW w:type="dxa" w:w="2340"/>
          </w:tcPr>
          <w:p>
            <w:r/>
            <w: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[PAGE]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[TITLE]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[NOTES]</w:t>
            </w:r>
          </w:p>
        </w:tc>
      </w:tr>
      <w:tr>
        <w:tc>
          <w:tcPr>
            <w:tcW w:type="dxa" w:w="2340"/>
          </w:tcPr>
          <w:p>
            <w:r/>
            <w:r>
              <w:t>6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[PAGE]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[TITLE]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[NOTES]</w:t>
            </w:r>
          </w:p>
        </w:tc>
      </w:tr>
      <w:tr>
        <w:tc>
          <w:tcPr>
            <w:tcW w:type="dxa" w:w="2340"/>
          </w:tcPr>
          <w:p>
            <w:r/>
            <w:r>
              <w:t>7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[PAGE]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[TITLE]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[NOTES]</w:t>
            </w:r>
          </w:p>
        </w:tc>
      </w:tr>
      <w:tr>
        <w:tc>
          <w:tcPr>
            <w:tcW w:type="dxa" w:w="2340"/>
          </w:tcPr>
          <w:p>
            <w:r/>
            <w:r>
              <w:t>8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[PAGE]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[TITLE]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[NOTES]</w:t>
            </w:r>
          </w:p>
        </w:tc>
      </w:tr>
      <w:tr>
        <w:tc>
          <w:tcPr>
            <w:tcW w:type="dxa" w:w="2340"/>
          </w:tcPr>
          <w:p>
            <w:r/>
            <w:r>
              <w:t>9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[PAGE]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[TITLE]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[NOTES]</w:t>
            </w:r>
          </w:p>
        </w:tc>
      </w:tr>
      <w:tr>
        <w:tc>
          <w:tcPr>
            <w:tcW w:type="dxa" w:w="2340"/>
          </w:tcPr>
          <w:p>
            <w:r/>
            <w:r>
              <w:t>10</w:t>
            </w:r>
          </w:p>
        </w:tc>
        <w:tc>
          <w:tcPr>
            <w:tcW w:type="dxa" w:w="2340"/>
          </w:tcPr>
          <w:p>
            <w:r/>
            <w:r>
              <w:t>Contact</w:t>
            </w:r>
          </w:p>
        </w:tc>
        <w:tc>
          <w:tcPr>
            <w:tcW w:type="dxa" w:w="2340"/>
          </w:tcPr>
          <w:p>
            <w:r/>
            <w:r>
              <w:t>Contact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[NOTES]</w:t>
            </w:r>
          </w:p>
        </w:tc>
      </w:tr>
    </w:tbl>
    <w:p>
      <w:pPr>
        <w:pStyle w:val="Heading3"/>
      </w:pPr>
      <w:r>
        <w:t>Exhibit B — Analytics &amp; GBP</w:t>
      </w:r>
    </w:p>
    <w:p>
      <w:pPr>
        <w:pStyle w:val="ListBullet"/>
      </w:pPr>
      <w:r>
        <w:rPr>
          <w:b/>
        </w:rPr>
        <w:t>Analytics property ID (after setup):</w:t>
      </w:r>
      <w:r>
        <w:t xml:space="preserve"> </w:t>
      </w:r>
      <w:r>
        <w:rPr>
          <w:rFonts w:ascii="Consolas" w:hAnsi="Consolas"/>
          <w:sz w:val="20"/>
        </w:rPr>
        <w:t>[GA4 MEASUREMENT ID]</w:t>
      </w:r>
    </w:p>
    <w:p>
      <w:pPr>
        <w:pStyle w:val="ListBullet"/>
      </w:pPr>
      <w:r>
        <w:rPr>
          <w:b/>
        </w:rPr>
        <w:t>GBP manager access email:</w:t>
      </w:r>
      <w:r>
        <w:t xml:space="preserve"> </w:t>
      </w:r>
      <w:r>
        <w:rPr>
          <w:rFonts w:ascii="Consolas" w:hAnsi="Consolas"/>
          <w:sz w:val="20"/>
        </w:rPr>
        <w:t>[EMAIL USED FOR GBP]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