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DESIGN &amp; MANAGEMENT AGREEMENT</w:t>
      </w:r>
    </w:p>
    <w:p>
      <w:pPr>
        <w:pStyle w:val="Heading2"/>
      </w:pPr>
      <w:r>
        <w:t>Base Camp Plan</w:t>
      </w:r>
    </w:p>
    <w:p>
      <w:r>
        <w:rPr>
          <w:b/>
        </w:rPr>
        <w:t>Agreement ID:</w:t>
      </w:r>
      <w:r>
        <w:t xml:space="preserve"> </w:t>
      </w:r>
      <w:r>
        <w:rPr>
          <w:rFonts w:ascii="Consolas" w:hAnsi="Consolas"/>
          <w:sz w:val="20"/>
        </w:rPr>
        <w:t>[AGREEMENT ID]</w:t>
      </w:r>
      <w:r>
        <w:br/>
      </w:r>
      <w:r>
        <w:rPr>
          <w:b/>
        </w:rPr>
        <w:t>Effective Date:</w:t>
      </w:r>
      <w:r>
        <w:t xml:space="preserve"> </w:t>
      </w:r>
      <w:r>
        <w:rPr>
          <w:rFonts w:ascii="Consolas" w:hAnsi="Consolas"/>
          <w:sz w:val="20"/>
        </w:rPr>
        <w:t>[EFFECTIVE DATE]</w:t>
      </w:r>
    </w:p>
    <w:p>
      <w:r>
        <w:t>This Website Design &amp; Management Agreement (“</w:t>
      </w:r>
      <w:r>
        <w:rPr>
          <w:b/>
        </w:rPr>
        <w:t>Agreement</w:t>
      </w:r>
      <w:r>
        <w:t>”) is entered into by and between:</w:t>
      </w:r>
    </w:p>
    <w:p>
      <w:r>
        <w:rPr>
          <w:b/>
        </w:rPr>
        <w:t>Pinnacle Designs</w:t>
      </w:r>
      <w:r>
        <w:t xml:space="preserve"> (“</w:t>
      </w:r>
      <w:r>
        <w:rPr>
          <w:b/>
        </w:rPr>
        <w:t>Provider</w:t>
      </w:r>
      <w:r>
        <w:t>”)</w:t>
      </w:r>
      <w:r>
        <w:br/>
      </w:r>
      <w:r>
        <w:t>Contact: David — david@pinnacle-designs.com</w:t>
      </w:r>
      <w:r>
        <w:br/>
      </w:r>
      <w:r>
        <w:t>Website: https://pinnacle-designs.com</w:t>
      </w:r>
      <w:r>
        <w:br/>
      </w:r>
      <w:r>
        <w:t>Location: Erwin, Tennessee</w:t>
      </w:r>
    </w:p>
    <w:p>
      <w:r>
        <w:t>and</w:t>
      </w:r>
    </w:p>
    <w:p>
      <w:r>
        <w:rPr>
          <w:b/>
        </w:rPr>
        <w:t>`[CLIENT LEGAL NAME]`</w:t>
      </w:r>
      <w:r>
        <w:t xml:space="preserve"> (“</w:t>
      </w:r>
      <w:r>
        <w:rPr>
          <w:b/>
        </w:rPr>
        <w:t>Client</w:t>
      </w:r>
      <w:r>
        <w:t>”)</w:t>
      </w:r>
      <w:r>
        <w:br/>
      </w:r>
      <w:r>
        <w:t xml:space="preserve">Business name (if different): </w:t>
      </w:r>
      <w:r>
        <w:rPr>
          <w:rFonts w:ascii="Consolas" w:hAnsi="Consolas"/>
          <w:sz w:val="20"/>
        </w:rPr>
        <w:t>[DBA / TRADE NAME]</w:t>
      </w:r>
      <w:r>
        <w:br/>
      </w:r>
      <w:r>
        <w:t xml:space="preserve">Address: </w:t>
      </w:r>
      <w:r>
        <w:rPr>
          <w:rFonts w:ascii="Consolas" w:hAnsi="Consolas"/>
          <w:sz w:val="20"/>
        </w:rPr>
        <w:t>[CLIENT STREET ADDRESS]</w:t>
      </w:r>
      <w:r>
        <w:br/>
      </w:r>
      <w:r>
        <w:t xml:space="preserve">City, State, ZIP: </w:t>
      </w:r>
      <w:r>
        <w:rPr>
          <w:rFonts w:ascii="Consolas" w:hAnsi="Consolas"/>
          <w:sz w:val="20"/>
        </w:rPr>
        <w:t>[CLIENT CITY, STATE ZIP]</w:t>
      </w:r>
      <w:r>
        <w:br/>
      </w:r>
      <w:r>
        <w:t xml:space="preserve">Email: </w:t>
      </w:r>
      <w:r>
        <w:rPr>
          <w:rFonts w:ascii="Consolas" w:hAnsi="Consolas"/>
          <w:sz w:val="20"/>
        </w:rPr>
        <w:t>[CLIENT EMAIL]</w:t>
      </w:r>
      <w:r>
        <w:br/>
      </w:r>
      <w:r>
        <w:t xml:space="preserve">Phone: </w:t>
      </w:r>
      <w:r>
        <w:rPr>
          <w:rFonts w:ascii="Consolas" w:hAnsi="Consolas"/>
          <w:sz w:val="20"/>
        </w:rPr>
        <w:t>[CLIENT PHONE]</w:t>
      </w:r>
    </w:p>
    <w:p>
      <w:r>
        <w:t>Provider and Client are each a “</w:t>
      </w:r>
      <w:r>
        <w:rPr>
          <w:b/>
        </w:rPr>
        <w:t>Party</w:t>
      </w:r>
      <w:r>
        <w:t>” and together the “</w:t>
      </w:r>
      <w:r>
        <w:rPr>
          <w:b/>
        </w:rPr>
        <w:t>Parties</w:t>
      </w:r>
      <w:r>
        <w:t>.”</w:t>
      </w:r>
    </w:p>
    <w:p/>
    <w:p>
      <w:pPr>
        <w:pStyle w:val="Heading2"/>
      </w:pPr>
      <w:r>
        <w:t>1. Services — Base Camp Plan</w:t>
      </w:r>
    </w:p>
    <w:p>
      <w:r>
        <w:t xml:space="preserve">Provider will design, launch, and manage a custom website for Client under the </w:t>
      </w:r>
      <w:r>
        <w:rPr>
          <w:b/>
        </w:rPr>
        <w:t>Base Camp</w:t>
      </w:r>
      <w:r>
        <w:t xml:space="preserve"> plan, which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Website scope</w:t>
            </w:r>
          </w:p>
        </w:tc>
        <w:tc>
          <w:tcPr>
            <w:tcW w:type="dxa" w:w="4680"/>
          </w:tcPr>
          <w:p>
            <w:r/>
            <w:r>
              <w:t xml:space="preserve">Custom </w:t>
            </w:r>
            <w:r>
              <w:rPr>
                <w:b/>
              </w:rPr>
              <w:t>3–5 page</w:t>
            </w:r>
            <w:r>
              <w:t xml:space="preserve"> website (e.g. Home, About, Services, Contact, and one additional page as agreed)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Basic SEO</w:t>
            </w:r>
          </w:p>
        </w:tc>
        <w:tc>
          <w:tcPr>
            <w:tcW w:type="dxa" w:w="4680"/>
          </w:tcPr>
          <w:p>
            <w:r/>
            <w:r>
              <w:t>On-page SEO setup: page titles, meta descriptions, heading structure, and mobile-friendly layout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Hosting &amp; SSL</w:t>
            </w:r>
          </w:p>
        </w:tc>
        <w:tc>
          <w:tcPr>
            <w:tcW w:type="dxa" w:w="4680"/>
          </w:tcPr>
          <w:p>
            <w:r/>
            <w:r>
              <w:t>Secure hosting with SSL certificate for Client’s primary domain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Monthly updates</w:t>
            </w:r>
          </w:p>
        </w:tc>
        <w:tc>
          <w:tcPr>
            <w:tcW w:type="dxa" w:w="4680"/>
          </w:tcPr>
          <w:p>
            <w:r/>
            <w:r>
              <w:t xml:space="preserve">Up to </w:t>
            </w:r>
            <w:r>
              <w:rPr>
                <w:b/>
              </w:rPr>
              <w:t>1 hour per month</w:t>
            </w:r>
            <w:r>
              <w:t xml:space="preserve"> of text and image updates (see Section 4)</w:t>
            </w:r>
          </w:p>
        </w:tc>
      </w:tr>
    </w:tbl>
    <w:p>
      <w:r>
        <w:rPr>
          <w:b/>
        </w:rPr>
        <w:t>Primary domain:</w:t>
      </w:r>
      <w:r>
        <w:t xml:space="preserve"> </w:t>
      </w:r>
      <w:r>
        <w:rPr>
          <w:rFonts w:ascii="Consolas" w:hAnsi="Consolas"/>
          <w:sz w:val="20"/>
        </w:rPr>
        <w:t>[DOMAIN NAME]</w:t>
      </w:r>
      <w:r>
        <w:t xml:space="preserve"> (e.g. clientbusiness.com)</w:t>
      </w:r>
    </w:p>
    <w:p>
      <w:r>
        <w:rPr>
          <w:b/>
        </w:rPr>
        <w:t>Target launch date:</w:t>
      </w:r>
      <w:r>
        <w:t xml:space="preserve"> </w:t>
      </w:r>
      <w:r>
        <w:rPr>
          <w:rFonts w:ascii="Consolas" w:hAnsi="Consolas"/>
          <w:sz w:val="20"/>
        </w:rPr>
        <w:t>[TARGET LAUNCH DATE]</w:t>
      </w:r>
      <w:r>
        <w:t xml:space="preserve"> (estimate; not guaranteed — see Section 6)</w:t>
      </w:r>
    </w:p>
    <w:p/>
    <w:p>
      <w:pPr>
        <w:pStyle w:val="Heading2"/>
      </w:pPr>
      <w:r>
        <w:t>2. Fees &amp;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Fee type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Design &amp; setup fee (down payment)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$500.00 USD</w:t>
            </w:r>
          </w:p>
        </w:tc>
        <w:tc>
          <w:tcPr>
            <w:tcW w:type="dxa" w:w="3120"/>
          </w:tcPr>
          <w:p>
            <w:r/>
            <w:r>
              <w:t>Due upon signing this Agreement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Monthly management fee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$99.00 USD/month</w:t>
            </w:r>
          </w:p>
        </w:tc>
        <w:tc>
          <w:tcPr>
            <w:tcW w:type="dxa" w:w="3120"/>
          </w:tcPr>
          <w:p>
            <w:r/>
            <w:r>
              <w:t xml:space="preserve">Billed on </w:t>
            </w:r>
            <w:r>
              <w:rPr>
                <w:rFonts w:ascii="Consolas" w:hAnsi="Consolas"/>
                <w:sz w:val="20"/>
              </w:rPr>
              <w:t>[BILLING DAY]</w:t>
            </w:r>
            <w:r>
              <w:t xml:space="preserve"> of each month, beginning </w:t>
            </w:r>
            <w:r>
              <w:rPr>
                <w:rFonts w:ascii="Consolas" w:hAnsi="Consolas"/>
                <w:sz w:val="20"/>
              </w:rPr>
              <w:t>[FIRST MONTHLY BILLING DATE]</w:t>
            </w:r>
          </w:p>
        </w:tc>
      </w:tr>
    </w:tbl>
    <w:p>
      <w:pPr>
        <w:pStyle w:val="ListBullet"/>
      </w:pPr>
      <w:r>
        <w:t xml:space="preserve">Monthly fees are </w:t>
      </w:r>
      <w:r>
        <w:rPr>
          <w:b/>
        </w:rPr>
        <w:t>automatically recurring</w:t>
      </w:r>
      <w:r>
        <w:t xml:space="preserve"> unless this Agreement is terminated under Section 9.</w:t>
      </w:r>
    </w:p>
    <w:p>
      <w:pPr>
        <w:pStyle w:val="ListBullet"/>
      </w:pPr>
      <w:r>
        <w:t xml:space="preserve">Late payments more than </w:t>
      </w:r>
      <w:r>
        <w:rPr>
          <w:b/>
        </w:rPr>
        <w:t>15 days</w:t>
      </w:r>
      <w:r>
        <w:t xml:space="preserve"> past due may result in suspension of update services and/or the live website until the account is current.</w:t>
      </w:r>
    </w:p>
    <w:p>
      <w:pPr>
        <w:pStyle w:val="ListBullet"/>
      </w:pPr>
      <w:r>
        <w:t xml:space="preserve">All fees are </w:t>
      </w:r>
      <w:r>
        <w:rPr>
          <w:b/>
        </w:rPr>
        <w:t>non-refundable</w:t>
      </w:r>
      <w:r>
        <w:t xml:space="preserve"> except where required by law or expressly agreed in writing.</w:t>
      </w:r>
    </w:p>
    <w:p>
      <w:pPr>
        <w:pStyle w:val="ListBullet"/>
      </w:pPr>
      <w:r>
        <w:t xml:space="preserve">Provider may adjust monthly fees with </w:t>
      </w:r>
      <w:r>
        <w:rPr>
          <w:b/>
        </w:rPr>
        <w:t>60 days’ written notice</w:t>
      </w:r>
      <w:r>
        <w:t>. Client may terminate before the new rate takes effect.</w:t>
      </w:r>
    </w:p>
    <w:p>
      <w:r>
        <w:rPr>
          <w:b/>
        </w:rPr>
        <w:t>Payment method:</w:t>
      </w:r>
      <w:r>
        <w:t xml:space="preserve"> </w:t>
      </w:r>
      <w:r>
        <w:rPr>
          <w:rFonts w:ascii="Consolas" w:hAnsi="Consolas"/>
          <w:sz w:val="20"/>
        </w:rPr>
        <w:t>[PAYMENT METHOD — e.g. card on file, ACH, invoice]</w:t>
      </w:r>
    </w:p>
    <w:p/>
    <w:p>
      <w:pPr>
        <w:pStyle w:val="Heading2"/>
      </w:pPr>
      <w:r>
        <w:t>3. Client Responsibilities</w:t>
      </w:r>
    </w:p>
    <w:p>
      <w:r>
        <w:t>Client agrees to:</w:t>
      </w:r>
    </w:p>
    <w:p>
      <w:pPr>
        <w:pStyle w:val="ListNumber"/>
      </w:pPr>
      <w:r>
        <w:t>Provide accurate business information, branding assets (logo, photos), and written content in a timely manner.</w:t>
      </w:r>
    </w:p>
    <w:p>
      <w:pPr>
        <w:pStyle w:val="ListNumber"/>
      </w:pPr>
      <w:r>
        <w:t xml:space="preserve">Respond to design proofs and approval requests within </w:t>
      </w:r>
      <w:r>
        <w:rPr>
          <w:b/>
        </w:rPr>
        <w:t>10 business days</w:t>
      </w:r>
      <w:r>
        <w:t xml:space="preserve"> to keep the project on schedule.</w:t>
      </w:r>
    </w:p>
    <w:p>
      <w:pPr>
        <w:pStyle w:val="ListNumber"/>
      </w:pPr>
      <w:r>
        <w:t xml:space="preserve">Register and maintain ownership of the domain </w:t>
      </w:r>
      <w:r>
        <w:rPr>
          <w:rFonts w:ascii="Consolas" w:hAnsi="Consolas"/>
          <w:sz w:val="20"/>
        </w:rPr>
        <w:t>[DOMAIN NAME]</w:t>
      </w:r>
      <w:r>
        <w:t xml:space="preserve"> (or authorize Provider to register on Client’s behalf with Client as registrant).</w:t>
      </w:r>
    </w:p>
    <w:p>
      <w:pPr>
        <w:pStyle w:val="ListNumber"/>
      </w:pPr>
      <w:r>
        <w:t>Ensure all content provided does not infringe third-party rights and complies with applicable laws.</w:t>
      </w:r>
    </w:p>
    <w:p>
      <w:pPr>
        <w:pStyle w:val="ListNumber"/>
      </w:pPr>
      <w:r>
        <w:t xml:space="preserve">Designate one primary contact: </w:t>
      </w:r>
      <w:r>
        <w:rPr>
          <w:rFonts w:ascii="Consolas" w:hAnsi="Consolas"/>
          <w:sz w:val="20"/>
        </w:rPr>
        <w:t>[CLIENT CONTACT NAME]</w:t>
      </w:r>
      <w:r>
        <w:t>.</w:t>
      </w:r>
    </w:p>
    <w:p>
      <w:r>
        <w:t>Delays caused by Client may extend the launch timeline without penalty to Provider.</w:t>
      </w:r>
    </w:p>
    <w:p/>
    <w:p>
      <w:pPr>
        <w:pStyle w:val="Heading2"/>
      </w:pPr>
      <w:r>
        <w:t>4. Updates &amp; Work Outside Scope</w:t>
      </w:r>
    </w:p>
    <w:p>
      <w:r>
        <w:rPr>
          <w:b/>
        </w:rPr>
        <w:t>Included (within 1 hr/mo):</w:t>
      </w:r>
      <w:r>
        <w:t xml:space="preserve"> Text edits, price/menu changes, photo swaps, minor layout tweaks, and similar routine updates.</w:t>
      </w:r>
    </w:p>
    <w:p>
      <w:r>
        <w:rPr>
          <w:b/>
        </w:rPr>
        <w:t>Not included (quoted separately):</w:t>
      </w:r>
      <w:r>
        <w:t xml:space="preserve"> New pages beyond the 5-page scope, booking systems, e-commerce, custom integrations, copywriting from scratch, professional photography, logo design, or redesigns. Provider will provide a written quote before starting out-of-scope work.</w:t>
      </w:r>
    </w:p>
    <w:p>
      <w:r>
        <w:t xml:space="preserve">Unused monthly update hours </w:t>
      </w:r>
      <w:r>
        <w:rPr>
          <w:b/>
        </w:rPr>
        <w:t>do not roll over</w:t>
      </w:r>
      <w:r>
        <w:t xml:space="preserve"> to future months.</w:t>
      </w:r>
    </w:p>
    <w:p/>
    <w:p>
      <w:pPr>
        <w:pStyle w:val="Heading2"/>
      </w:pPr>
      <w:r>
        <w:t>5. Intellectual Property &amp; Content</w:t>
      </w:r>
    </w:p>
    <w:p>
      <w:pPr>
        <w:pStyle w:val="ListNumber"/>
      </w:pPr>
      <w:r>
        <w:t xml:space="preserve">Upon </w:t>
      </w:r>
      <w:r>
        <w:rPr>
          <w:b/>
        </w:rPr>
        <w:t>full payment</w:t>
      </w:r>
      <w:r>
        <w:t xml:space="preserve"> of the design &amp; setup fee, Client receives a license to use the delivered website design for their business.</w:t>
      </w:r>
    </w:p>
    <w:p>
      <w:pPr>
        <w:pStyle w:val="ListNumber"/>
      </w:pPr>
      <w:r>
        <w:t>Client retains ownership of content Client supplies (text, logos, images).</w:t>
      </w:r>
    </w:p>
    <w:p>
      <w:pPr>
        <w:pStyle w:val="ListNumber"/>
      </w:pPr>
      <w:r>
        <w:t>Provider retains ownership of pre-existing code, frameworks, tools, and generic templates not unique to Client.</w:t>
      </w:r>
    </w:p>
    <w:p>
      <w:pPr>
        <w:pStyle w:val="ListNumber"/>
      </w:pPr>
      <w:r>
        <w:t>Provider may display the completed website in its portfolio and marketing unless Client opts out in writing.</w:t>
      </w:r>
    </w:p>
    <w:p>
      <w:pPr>
        <w:pStyle w:val="ListNumber"/>
      </w:pPr>
      <w:r>
        <w:t>If Client terminates and has outstanding balances, Provider may withhold transfer of custom work until paid in full.</w:t>
      </w:r>
    </w:p>
    <w:p/>
    <w:p>
      <w:pPr>
        <w:pStyle w:val="Heading2"/>
      </w:pPr>
      <w:r>
        <w:t>6. Hosting, Domain &amp; Uptime</w:t>
      </w:r>
    </w:p>
    <w:p>
      <w:pPr>
        <w:pStyle w:val="ListBullet"/>
      </w:pPr>
      <w:r>
        <w:t>Provider hosts the site on infrastructure Provider selects (may change with reasonable notice).</w:t>
      </w:r>
    </w:p>
    <w:p>
      <w:pPr>
        <w:pStyle w:val="ListBullet"/>
      </w:pPr>
      <w:r>
        <w:t xml:space="preserve">Provider uses commercially reasonable efforts to maintain uptime but does </w:t>
      </w:r>
      <w:r>
        <w:rPr>
          <w:b/>
        </w:rPr>
        <w:t>not</w:t>
      </w:r>
      <w:r>
        <w:t xml:space="preserve"> guarantee uninterrupted service.</w:t>
      </w:r>
    </w:p>
    <w:p>
      <w:pPr>
        <w:pStyle w:val="ListBullet"/>
      </w:pPr>
      <w:r>
        <w:t>Client is responsible for domain renewal fees unless otherwise agreed in writing.</w:t>
      </w:r>
    </w:p>
    <w:p>
      <w:pPr>
        <w:pStyle w:val="ListBullet"/>
      </w:pPr>
      <w:r>
        <w:t>Upon termination, Client may request a static export of content; custom Provider tooling may not be transferable.</w:t>
      </w:r>
    </w:p>
    <w:p/>
    <w:p>
      <w:pPr>
        <w:pStyle w:val="Heading2"/>
      </w:pPr>
      <w:r>
        <w:t>7. Warranties &amp; Disclaimer</w:t>
      </w:r>
    </w:p>
    <w:p>
      <w:r>
        <w:t>Provider warrants services will be performed in a professional manner consistent with industry standards.</w:t>
      </w:r>
    </w:p>
    <w:p>
      <w:r>
        <w:rPr>
          <w:b/>
        </w:rPr>
        <w:t>EXCEPT AS STATED ABOVE, SERVICES ARE PROVIDED “AS IS.” PROVIDER DISCLAIMS ALL OTHER WARRANTIES, EXPRESS OR IMPLIED, INCLUDING MERCHANTABILITY AND FITNESS FOR A PARTICULAR PURPOSE.</w:t>
      </w:r>
    </w:p>
    <w:p>
      <w:r>
        <w:t>Provider is not responsible for search engine rankings, traffic, leads, or sales resulting from the website.</w:t>
      </w:r>
    </w:p>
    <w:p/>
    <w:p>
      <w:pPr>
        <w:pStyle w:val="Heading2"/>
      </w:pPr>
      <w:r>
        <w:t>8. Limitation of Liability</w:t>
      </w:r>
    </w:p>
    <w:p>
      <w:r>
        <w:t xml:space="preserve">To the maximum extent permitted by law, Provider’s total liability arising from this Agreement shall not exceed the fees paid by Client to Provider in the </w:t>
      </w:r>
      <w:r>
        <w:rPr>
          <w:b/>
        </w:rPr>
        <w:t>12 months</w:t>
      </w:r>
      <w:r>
        <w:t xml:space="preserve"> preceding the claim. Provider shall not be liable for indirect, incidental, special, or consequential damages.</w:t>
      </w:r>
    </w:p>
    <w:p/>
    <w:p>
      <w:pPr>
        <w:pStyle w:val="Heading2"/>
      </w:pPr>
      <w:r>
        <w:t>9. Term &amp; Termination</w:t>
      </w:r>
    </w:p>
    <w:p>
      <w:pPr>
        <w:pStyle w:val="ListNumber"/>
      </w:pPr>
      <w:r>
        <w:rPr>
          <w:b/>
        </w:rPr>
        <w:t>Initial term:</w:t>
      </w:r>
      <w:r>
        <w:t xml:space="preserve"> Month-to-month after launch, beginning on </w:t>
      </w:r>
      <w:r>
        <w:rPr>
          <w:rFonts w:ascii="Consolas" w:hAnsi="Consolas"/>
          <w:sz w:val="20"/>
        </w:rPr>
        <w:t>[LAUNCH DATE OR FIRST BILLING DATE]</w:t>
      </w:r>
      <w:r>
        <w:t>.</w:t>
      </w:r>
    </w:p>
    <w:p>
      <w:pPr>
        <w:pStyle w:val="ListNumber"/>
      </w:pPr>
      <w:r>
        <w:rPr>
          <w:b/>
        </w:rPr>
        <w:t>Termination by Client:</w:t>
      </w:r>
      <w:r>
        <w:t xml:space="preserve"> </w:t>
      </w:r>
      <w:r>
        <w:rPr>
          <w:b/>
        </w:rPr>
        <w:t>30 days’ written notice</w:t>
      </w:r>
      <w:r>
        <w:t xml:space="preserve"> to david@pinnacle-designs.com. Design &amp; setup fee is non-refundable. Client remains responsible for fees through the notice period.</w:t>
      </w:r>
    </w:p>
    <w:p>
      <w:pPr>
        <w:pStyle w:val="ListNumber"/>
      </w:pPr>
      <w:r>
        <w:rPr>
          <w:b/>
        </w:rPr>
        <w:t>Termination by Provider:</w:t>
      </w:r>
      <w:r>
        <w:t xml:space="preserve"> Immediate upon material breach (including non-payment) if not cured within </w:t>
      </w:r>
      <w:r>
        <w:rPr>
          <w:b/>
        </w:rPr>
        <w:t>10 days</w:t>
      </w:r>
      <w:r>
        <w:t xml:space="preserve"> of written notice; or </w:t>
      </w:r>
      <w:r>
        <w:rPr>
          <w:b/>
        </w:rPr>
        <w:t>30 days’ notice</w:t>
      </w:r>
      <w:r>
        <w:t xml:space="preserve"> without cause.</w:t>
      </w:r>
    </w:p>
    <w:p>
      <w:pPr>
        <w:pStyle w:val="ListNumber"/>
      </w:pPr>
      <w:r>
        <w:rPr>
          <w:b/>
        </w:rPr>
        <w:t>Effect of termination:</w:t>
      </w:r>
      <w:r>
        <w:t xml:space="preserve"> Monthly fees stop after the notice period. Provider will take the site offline within </w:t>
      </w:r>
      <w:r>
        <w:rPr>
          <w:b/>
        </w:rPr>
        <w:t>30 days</w:t>
      </w:r>
      <w:r>
        <w:t xml:space="preserve"> unless Client arranges a paid migration. Client must settle any outstanding invoices.</w:t>
      </w:r>
    </w:p>
    <w:p/>
    <w:p>
      <w:pPr>
        <w:pStyle w:val="Heading2"/>
      </w:pPr>
      <w:r>
        <w:t>10. Confidentiality</w:t>
      </w:r>
    </w:p>
    <w:p>
      <w:r>
        <w:t>Each Party will keep non-public business information received from the other confidential and use it only to perform under this Agreement.</w:t>
      </w:r>
    </w:p>
    <w:p/>
    <w:p>
      <w:pPr>
        <w:pStyle w:val="Heading2"/>
      </w:pPr>
      <w:r>
        <w:t>11. General</w:t>
      </w:r>
    </w:p>
    <w:p>
      <w:pPr>
        <w:pStyle w:val="ListBullet"/>
      </w:pPr>
      <w:r>
        <w:rPr>
          <w:b/>
        </w:rPr>
        <w:t>Governing law:</w:t>
      </w:r>
      <w:r>
        <w:t xml:space="preserve"> State of Tennessee.</w:t>
      </w:r>
    </w:p>
    <w:p>
      <w:pPr>
        <w:pStyle w:val="ListBullet"/>
      </w:pPr>
      <w:r>
        <w:rPr>
          <w:b/>
        </w:rPr>
        <w:t>Disputes:</w:t>
      </w:r>
      <w:r>
        <w:t xml:space="preserve"> Good-faith negotiation first; then courts in </w:t>
      </w:r>
      <w:r>
        <w:rPr>
          <w:b/>
        </w:rPr>
        <w:t>Unicoi County, Tennessee</w:t>
      </w:r>
      <w:r>
        <w:t xml:space="preserve"> (or mutually agreed venue).</w:t>
      </w:r>
    </w:p>
    <w:p>
      <w:pPr>
        <w:pStyle w:val="ListBullet"/>
      </w:pPr>
      <w:r>
        <w:rPr>
          <w:b/>
        </w:rPr>
        <w:t>Entire agreement:</w:t>
      </w:r>
      <w:r>
        <w:t xml:space="preserve"> This document supersedes prior discussions about the Base Camp plan.</w:t>
      </w:r>
    </w:p>
    <w:p>
      <w:pPr>
        <w:pStyle w:val="ListBullet"/>
      </w:pPr>
      <w:r>
        <w:rPr>
          <w:b/>
        </w:rPr>
        <w:t>Amendments:</w:t>
      </w:r>
      <w:r>
        <w:t xml:space="preserve"> Must be in writing and signed by both Parties.</w:t>
      </w:r>
    </w:p>
    <w:p>
      <w:pPr>
        <w:pStyle w:val="ListBullet"/>
      </w:pPr>
      <w:r>
        <w:rPr>
          <w:b/>
        </w:rPr>
        <w:t>Assignment:</w:t>
      </w:r>
      <w:r>
        <w:t xml:space="preserve"> Client may not assign without Provider’s written consent.</w:t>
      </w:r>
    </w:p>
    <w:p/>
    <w:p>
      <w:pPr>
        <w:pStyle w:val="Heading2"/>
      </w:pPr>
      <w:r>
        <w:t>Signatures</w:t>
      </w:r>
    </w:p>
    <w:p>
      <w:r>
        <w:t>By signing below, each Party agrees to this Agreement.</w:t>
      </w:r>
    </w:p>
    <w:p>
      <w:r>
        <w:rPr>
          <w:b/>
        </w:rPr>
        <w:t>PINNACLE DESIGNS (Provider)</w:t>
      </w:r>
    </w:p>
    <w:p>
      <w:r>
        <w:t>Signature: _________________________________</w:t>
      </w:r>
      <w:r>
        <w:br/>
      </w:r>
      <w:r>
        <w:t>Name: David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[TITLE]</w:t>
      </w:r>
      <w:r>
        <w:br/>
      </w:r>
      <w:r>
        <w:t>Date: _________________</w:t>
      </w:r>
    </w:p>
    <w:p>
      <w:r>
        <w:rPr>
          <w:b/>
        </w:rPr>
        <w:t>CLIENT</w:t>
      </w:r>
    </w:p>
    <w:p>
      <w:r>
        <w:t>Signature: _________________________________</w:t>
      </w:r>
      <w:r>
        <w:br/>
      </w:r>
      <w:r>
        <w:t xml:space="preserve">Name: </w:t>
      </w:r>
      <w:r>
        <w:rPr>
          <w:rFonts w:ascii="Consolas" w:hAnsi="Consolas"/>
          <w:sz w:val="20"/>
        </w:rPr>
        <w:t>[CLIENT SIGNER NAME]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[CLIENT SIGNER TITLE]</w:t>
      </w:r>
      <w:r>
        <w:br/>
      </w:r>
      <w:r>
        <w:t>Date: _________________</w:t>
      </w:r>
    </w:p>
    <w:p/>
    <w:p>
      <w:pPr>
        <w:pStyle w:val="Heading3"/>
      </w:pPr>
      <w:r>
        <w:t>Exhibit A — Page Outline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Working title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Home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About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Services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Contact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[PAGE NAME]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