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MANAGEMENT SOFTWARE EARLY ACCESS AGREEMENT</w:t>
      </w:r>
    </w:p>
    <w:p>
      <w:r>
        <w:rPr>
          <w:b/>
        </w:rPr>
        <w:t>Agreement ID:</w:t>
      </w:r>
      <w:r>
        <w:t xml:space="preserve"> </w:t>
      </w:r>
      <w:r>
        <w:rPr>
          <w:rFonts w:ascii="Consolas" w:hAnsi="Consolas"/>
          <w:sz w:val="20"/>
        </w:rPr>
        <w:t>[AGREEMENT ID]</w:t>
      </w:r>
      <w:r>
        <w:br/>
      </w:r>
      <w:r>
        <w:rPr>
          <w:b/>
        </w:rPr>
        <w:t>Effective Date:</w:t>
      </w:r>
      <w:r>
        <w:t xml:space="preserve"> </w:t>
      </w:r>
      <w:r>
        <w:rPr>
          <w:rFonts w:ascii="Consolas" w:hAnsi="Consolas"/>
          <w:sz w:val="20"/>
        </w:rPr>
        <w:t>[EFFECTIVE DATE]</w:t>
      </w:r>
    </w:p>
    <w:p>
      <w:r>
        <w:t>This Management Software Early Access Agreement (“</w:t>
      </w:r>
      <w:r>
        <w:rPr>
          <w:b/>
        </w:rPr>
        <w:t>Agreement</w:t>
      </w:r>
      <w:r>
        <w:t>”) is entered into by and between:</w:t>
      </w:r>
    </w:p>
    <w:p>
      <w:r>
        <w:rPr>
          <w:b/>
        </w:rPr>
        <w:t>Pinnacle Designs</w:t>
      </w:r>
      <w:r>
        <w:t xml:space="preserve"> (“</w:t>
      </w:r>
      <w:r>
        <w:rPr>
          <w:b/>
        </w:rPr>
        <w:t>Provider</w:t>
      </w:r>
      <w:r>
        <w:t>”)</w:t>
      </w:r>
      <w:r>
        <w:br/>
      </w:r>
      <w:r>
        <w:t>Contact: David — david@pinnacle-designs.com</w:t>
      </w:r>
      <w:r>
        <w:br/>
      </w:r>
      <w:r>
        <w:t>Website: https://pinnacle-designs.com</w:t>
      </w:r>
      <w:r>
        <w:br/>
      </w:r>
      <w:r>
        <w:t>Location: Erwin, Tennessee</w:t>
      </w:r>
    </w:p>
    <w:p>
      <w:r>
        <w:t>and</w:t>
      </w:r>
    </w:p>
    <w:p>
      <w:r>
        <w:rPr>
          <w:b/>
        </w:rPr>
        <w:t>`[CLIENT LEGAL NAME]`</w:t>
      </w:r>
      <w:r>
        <w:t xml:space="preserve"> (“</w:t>
      </w:r>
      <w:r>
        <w:rPr>
          <w:b/>
        </w:rPr>
        <w:t>Client</w:t>
      </w:r>
      <w:r>
        <w:t>”)</w:t>
      </w:r>
      <w:r>
        <w:br/>
      </w:r>
      <w:r>
        <w:t xml:space="preserve">Business name (if different): </w:t>
      </w:r>
      <w:r>
        <w:rPr>
          <w:rFonts w:ascii="Consolas" w:hAnsi="Consolas"/>
          <w:sz w:val="20"/>
        </w:rPr>
        <w:t>[DBA / TRADE NAME]</w:t>
      </w:r>
      <w:r>
        <w:br/>
      </w:r>
      <w:r>
        <w:t xml:space="preserve">Address: </w:t>
      </w:r>
      <w:r>
        <w:rPr>
          <w:rFonts w:ascii="Consolas" w:hAnsi="Consolas"/>
          <w:sz w:val="20"/>
        </w:rPr>
        <w:t>[CLIENT STREET ADDRESS]</w:t>
      </w:r>
      <w:r>
        <w:br/>
      </w:r>
      <w:r>
        <w:t xml:space="preserve">City, State, ZIP: </w:t>
      </w:r>
      <w:r>
        <w:rPr>
          <w:rFonts w:ascii="Consolas" w:hAnsi="Consolas"/>
          <w:sz w:val="20"/>
        </w:rPr>
        <w:t>[CLIENT CITY, STATE ZIP]</w:t>
      </w:r>
      <w:r>
        <w:br/>
      </w:r>
      <w:r>
        <w:t xml:space="preserve">Email: </w:t>
      </w:r>
      <w:r>
        <w:rPr>
          <w:rFonts w:ascii="Consolas" w:hAnsi="Consolas"/>
          <w:sz w:val="20"/>
        </w:rPr>
        <w:t>[CLIENT EMAIL]</w:t>
      </w:r>
      <w:r>
        <w:br/>
      </w:r>
      <w:r>
        <w:t xml:space="preserve">Phone: </w:t>
      </w:r>
      <w:r>
        <w:rPr>
          <w:rFonts w:ascii="Consolas" w:hAnsi="Consolas"/>
          <w:sz w:val="20"/>
        </w:rPr>
        <w:t>[CLIENT PHONE]</w:t>
      </w:r>
    </w:p>
    <w:p>
      <w:r>
        <w:t>Provider and Client are each a “</w:t>
      </w:r>
      <w:r>
        <w:rPr>
          <w:b/>
        </w:rPr>
        <w:t>Party</w:t>
      </w:r>
      <w:r>
        <w:t>” and together the “</w:t>
      </w:r>
      <w:r>
        <w:rPr>
          <w:b/>
        </w:rPr>
        <w:t>Parties</w:t>
      </w:r>
      <w:r>
        <w:t>.”</w:t>
      </w:r>
    </w:p>
    <w:p/>
    <w:p>
      <w:pPr>
        <w:pStyle w:val="Heading2"/>
      </w:pPr>
      <w:r>
        <w:t>1. Background</w:t>
      </w:r>
    </w:p>
    <w:p>
      <w:r>
        <w:t xml:space="preserve">Provider is developing </w:t>
      </w:r>
      <w:r>
        <w:rPr>
          <w:b/>
        </w:rPr>
        <w:t>industry-specific management software</w:t>
      </w:r>
      <w:r>
        <w:t xml:space="preserve"> for local businesses. The software is </w:t>
      </w:r>
      <w:r>
        <w:rPr>
          <w:b/>
        </w:rPr>
        <w:t>in active development</w:t>
      </w:r>
      <w:r>
        <w:t xml:space="preserve"> and not yet generally available. Client wishes to participate in </w:t>
      </w:r>
      <w:r>
        <w:rPr>
          <w:b/>
        </w:rPr>
        <w:t>early access</w:t>
      </w:r>
      <w:r>
        <w:t xml:space="preserve"> to provide feedback and use pre-release features relevant to Client’s industry.</w:t>
      </w:r>
    </w:p>
    <w:p>
      <w:r>
        <w:rPr>
          <w:b/>
        </w:rPr>
        <w:t>Industry vertical:</w:t>
      </w:r>
      <w:r>
        <w:t xml:space="preserve"> </w:t>
      </w:r>
      <w:r>
        <w:rPr>
          <w:rFonts w:ascii="Consolas" w:hAnsi="Consolas"/>
          <w:sz w:val="20"/>
        </w:rPr>
        <w:t>[HOME SERVICES / RETAIL &amp; BOUTIQUES / RESTAURANTS &amp; FOOD SERVICE / PROFESSIONAL SERVICES / OTHER: _______]</w:t>
      </w:r>
    </w:p>
    <w:p>
      <w:r>
        <w:rPr>
          <w:b/>
        </w:rPr>
        <w:t>Product name (working title):</w:t>
      </w:r>
      <w:r>
        <w:t xml:space="preserve"> </w:t>
      </w:r>
      <w:r>
        <w:rPr>
          <w:rFonts w:ascii="Consolas" w:hAnsi="Consolas"/>
          <w:sz w:val="20"/>
        </w:rPr>
        <w:t>[PRODUCT NAME]</w:t>
      </w:r>
    </w:p>
    <w:p/>
    <w:p>
      <w:pPr>
        <w:pStyle w:val="Heading2"/>
      </w:pPr>
      <w:r>
        <w:t>2. Early Access Services</w:t>
      </w:r>
    </w:p>
    <w:p>
      <w:r>
        <w:t>During the early access period, Provider may provide Client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Planned capabilities (subject to change)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Home Services</w:t>
            </w:r>
          </w:p>
        </w:tc>
        <w:tc>
          <w:tcPr>
            <w:tcW w:type="dxa" w:w="4680"/>
          </w:tcPr>
          <w:p>
            <w:r/>
            <w:r>
              <w:t>Job scheduling, customer records, follow-ups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Retail &amp; Boutiques</w:t>
            </w:r>
          </w:p>
        </w:tc>
        <w:tc>
          <w:tcPr>
            <w:tcW w:type="dxa" w:w="4680"/>
          </w:tcPr>
          <w:p>
            <w:r/>
            <w:r>
              <w:t>Inventory visibility, customer management, sales tracking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Restaurants &amp; Food Service</w:t>
            </w:r>
          </w:p>
        </w:tc>
        <w:tc>
          <w:tcPr>
            <w:tcW w:type="dxa" w:w="4680"/>
          </w:tcPr>
          <w:p>
            <w:r/>
            <w:r>
              <w:t>Menu management, order flow, staff coordination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Professional Services</w:t>
            </w:r>
          </w:p>
        </w:tc>
        <w:tc>
          <w:tcPr>
            <w:tcW w:type="dxa" w:w="4680"/>
          </w:tcPr>
          <w:p>
            <w:r/>
            <w:r>
              <w:t>Client intake, appointment booking, project tracking</w:t>
            </w:r>
          </w:p>
        </w:tc>
      </w:tr>
    </w:tbl>
    <w:p>
      <w:r>
        <w:rPr>
          <w:b/>
        </w:rPr>
        <w:t>Client’s enabled modules:</w:t>
      </w:r>
      <w:r>
        <w:t xml:space="preserve"> </w:t>
      </w:r>
      <w:r>
        <w:rPr>
          <w:rFonts w:ascii="Consolas" w:hAnsi="Consolas"/>
          <w:sz w:val="20"/>
        </w:rPr>
        <w:t>[LIST SPECIFIC MODULES FOR THIS CLIENT]</w:t>
      </w:r>
    </w:p>
    <w:p>
      <w:r>
        <w:t xml:space="preserve">Provider may add, modify, or remove features at any time during development. Early access is </w:t>
      </w:r>
      <w:r>
        <w:rPr>
          <w:b/>
        </w:rPr>
        <w:t>not</w:t>
      </w:r>
      <w:r>
        <w:t xml:space="preserve"> a guarantee of any particular feature set at general release.</w:t>
      </w:r>
    </w:p>
    <w:p>
      <w:r>
        <w:rPr>
          <w:b/>
        </w:rPr>
        <w:t>Access method:</w:t>
      </w:r>
      <w:r>
        <w:t xml:space="preserve"> </w:t>
      </w:r>
      <w:r>
        <w:rPr>
          <w:rFonts w:ascii="Consolas" w:hAnsi="Consolas"/>
          <w:sz w:val="20"/>
        </w:rPr>
        <w:t>[WEB APP URL / LOGIN PORTAL]</w:t>
      </w:r>
      <w:r>
        <w:br/>
      </w:r>
      <w:r>
        <w:rPr>
          <w:b/>
        </w:rPr>
        <w:t>Early access start:</w:t>
      </w:r>
      <w:r>
        <w:t xml:space="preserve"> </w:t>
      </w:r>
      <w:r>
        <w:rPr>
          <w:rFonts w:ascii="Consolas" w:hAnsi="Consolas"/>
          <w:sz w:val="20"/>
        </w:rPr>
        <w:t>[START DATE]</w:t>
      </w:r>
      <w:r>
        <w:br/>
      </w:r>
      <w:r>
        <w:rPr>
          <w:b/>
        </w:rPr>
        <w:t>Estimated general availability:</w:t>
      </w:r>
      <w:r>
        <w:t xml:space="preserve"> </w:t>
      </w:r>
      <w:r>
        <w:rPr>
          <w:rFonts w:ascii="Consolas" w:hAnsi="Consolas"/>
          <w:sz w:val="20"/>
        </w:rPr>
        <w:t>[DATE OR “TBD”]</w:t>
      </w:r>
      <w:r>
        <w:t xml:space="preserve"> (non-binding estimate)</w:t>
      </w:r>
    </w:p>
    <w:p/>
    <w:p>
      <w:pPr>
        <w:pStyle w:val="Heading2"/>
      </w:pPr>
      <w:r>
        <w:t>3. Fees</w:t>
      </w:r>
    </w:p>
    <w:p>
      <w:r>
        <w:t>Early access pricing for this Client: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Fee type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Early access fee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`$[AMOUNT]/month`</w:t>
            </w:r>
            <w:r>
              <w:t xml:space="preserve"> or </w:t>
            </w:r>
            <w:r>
              <w:rPr>
                <w:b/>
              </w:rPr>
              <w:t>`$[AMOUNT] one-time`</w:t>
            </w:r>
            <w:r>
              <w:t xml:space="preserve"> or </w:t>
            </w:r>
            <w:r>
              <w:rPr>
                <w:b/>
              </w:rPr>
              <w:t>`Complimentary during beta`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[SELECT AND DELETE OTHERS]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General release pricing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`$[AMOUNT]/month`</w:t>
            </w:r>
            <w:r>
              <w:t xml:space="preserve"> (estimate)</w:t>
            </w:r>
          </w:p>
        </w:tc>
        <w:tc>
          <w:tcPr>
            <w:tcW w:type="dxa" w:w="3120"/>
          </w:tcPr>
          <w:p>
            <w:r/>
            <w:r>
              <w:t xml:space="preserve">Client will receive </w:t>
            </w:r>
            <w:r>
              <w:rPr>
                <w:b/>
              </w:rPr>
              <w:t>30 days’ notice</w:t>
            </w:r>
            <w:r>
              <w:t xml:space="preserve"> before paid general-release pricing applies</w:t>
            </w:r>
          </w:p>
        </w:tc>
      </w:tr>
    </w:tbl>
    <w:p>
      <w:r>
        <w:t>Provider may offer discounted or complimentary access during beta in exchange for feedback participation.</w:t>
      </w:r>
    </w:p>
    <w:p>
      <w:r>
        <w:rPr>
          <w:b/>
        </w:rPr>
        <w:t>Payment method:</w:t>
      </w:r>
      <w:r>
        <w:t xml:space="preserve"> </w:t>
      </w:r>
      <w:r>
        <w:rPr>
          <w:rFonts w:ascii="Consolas" w:hAnsi="Consolas"/>
          <w:sz w:val="20"/>
        </w:rPr>
        <w:t>[PAYMENT METHOD OR “N/A — complimentary beta”]</w:t>
      </w:r>
    </w:p>
    <w:p/>
    <w:p>
      <w:pPr>
        <w:pStyle w:val="Heading2"/>
      </w:pPr>
      <w:r>
        <w:t>4. Beta Software — Important Limitations</w:t>
      </w:r>
    </w:p>
    <w:p>
      <w:r>
        <w:t xml:space="preserve">Client understands and agrees that the software is </w:t>
      </w:r>
      <w:r>
        <w:rPr>
          <w:b/>
        </w:rPr>
        <w:t>pre-release (“Beta”)</w:t>
      </w:r>
      <w:r>
        <w:t xml:space="preserve"> and:</w:t>
      </w:r>
    </w:p>
    <w:p>
      <w:pPr>
        <w:pStyle w:val="ListNumber"/>
      </w:pPr>
      <w:r>
        <w:t>May contain bugs, errors, incomplete features, or downtime.</w:t>
      </w:r>
    </w:p>
    <w:p>
      <w:pPr>
        <w:pStyle w:val="ListNumber"/>
      </w:pPr>
      <w:r>
        <w:t xml:space="preserve">Is provided </w:t>
      </w:r>
      <w:r>
        <w:rPr>
          <w:b/>
        </w:rPr>
        <w:t>“AS IS”</w:t>
      </w:r>
      <w:r>
        <w:t xml:space="preserve"> without warranties of any kind.</w:t>
      </w:r>
    </w:p>
    <w:p>
      <w:pPr>
        <w:pStyle w:val="ListNumber"/>
      </w:pPr>
      <w:r>
        <w:rPr>
          <w:b/>
        </w:rPr>
        <w:t>Must not be relied on</w:t>
      </w:r>
      <w:r>
        <w:t xml:space="preserve"> as Client’s sole system for critical operations unless Client accepts that risk in writing.</w:t>
      </w:r>
    </w:p>
    <w:p>
      <w:pPr>
        <w:pStyle w:val="ListNumber"/>
      </w:pPr>
      <w:r>
        <w:t xml:space="preserve">Client data may be lost during updates; Client should maintain </w:t>
      </w:r>
      <w:r>
        <w:rPr>
          <w:b/>
        </w:rPr>
        <w:t>independent backups</w:t>
      </w:r>
      <w:r>
        <w:t xml:space="preserve"> of important records.</w:t>
      </w:r>
    </w:p>
    <w:p>
      <w:pPr>
        <w:pStyle w:val="ListNumber"/>
      </w:pPr>
      <w:r>
        <w:t>Provider may reset environments, migrate data, or change APIs with notice when reasonably practicable.</w:t>
      </w:r>
    </w:p>
    <w:p>
      <w:pPr>
        <w:pStyle w:val="ListNumber"/>
      </w:pPr>
      <w:r>
        <w:t xml:space="preserve">Support is </w:t>
      </w:r>
      <w:r>
        <w:rPr>
          <w:b/>
        </w:rPr>
        <w:t>best-effort</w:t>
      </w:r>
      <w:r>
        <w:t xml:space="preserve"> during beta; no guaranteed response times or SLA unless specified in Exhibit A.</w:t>
      </w:r>
    </w:p>
    <w:p>
      <w:r>
        <w:rPr>
          <w:b/>
        </w:rPr>
        <w:t>Recommended:</w:t>
      </w:r>
      <w:r>
        <w:t xml:space="preserve"> Client continues using existing tools for mission-critical workflows until general release.</w:t>
      </w:r>
    </w:p>
    <w:p/>
    <w:p>
      <w:pPr>
        <w:pStyle w:val="Heading2"/>
      </w:pPr>
      <w:r>
        <w:t>5. Client Responsibilities</w:t>
      </w:r>
    </w:p>
    <w:p>
      <w:r>
        <w:t>Client agrees to:</w:t>
      </w:r>
    </w:p>
    <w:p>
      <w:pPr>
        <w:pStyle w:val="ListNumber"/>
      </w:pPr>
      <w:r>
        <w:t xml:space="preserve">Designate a primary feedback contact: </w:t>
      </w:r>
      <w:r>
        <w:rPr>
          <w:rFonts w:ascii="Consolas" w:hAnsi="Consolas"/>
          <w:sz w:val="20"/>
        </w:rPr>
        <w:t>[CLIENT CONTACT NAME]</w:t>
      </w:r>
      <w:r>
        <w:t>.</w:t>
      </w:r>
    </w:p>
    <w:p>
      <w:pPr>
        <w:pStyle w:val="ListNumber"/>
      </w:pPr>
      <w:r>
        <w:t xml:space="preserve">Participate in reasonable feedback requests (surveys, calls, bug reports) — approximately </w:t>
      </w:r>
      <w:r>
        <w:rPr>
          <w:b/>
        </w:rPr>
        <w:t>`[FREQUENCY]`</w:t>
      </w:r>
      <w:r>
        <w:t xml:space="preserve"> during beta.</w:t>
      </w:r>
    </w:p>
    <w:p>
      <w:pPr>
        <w:pStyle w:val="ListNumber"/>
      </w:pPr>
      <w:r>
        <w:t>Report bugs and usability issues promptly to david@pinnacle-designs.com.</w:t>
      </w:r>
    </w:p>
    <w:p>
      <w:pPr>
        <w:pStyle w:val="ListNumber"/>
      </w:pPr>
      <w:r>
        <w:t>Ensure users comply with acceptable use (no unlawful content, abuse, or reverse engineering).</w:t>
      </w:r>
    </w:p>
    <w:p>
      <w:pPr>
        <w:pStyle w:val="ListNumber"/>
      </w:pPr>
      <w:r>
        <w:t>Maintain accurate account information and secure login credentials.</w:t>
      </w:r>
    </w:p>
    <w:p/>
    <w:p>
      <w:pPr>
        <w:pStyle w:val="Heading2"/>
      </w:pPr>
      <w:r>
        <w:t>6. Data &amp; Privacy</w:t>
      </w:r>
    </w:p>
    <w:p>
      <w:pPr>
        <w:pStyle w:val="ListNumber"/>
      </w:pPr>
      <w:r>
        <w:rPr>
          <w:b/>
        </w:rPr>
        <w:t>Client data:</w:t>
      </w:r>
      <w:r>
        <w:t xml:space="preserve"> Client retains ownership of business data entered into the software (customer names, jobs, inventory, etc.).</w:t>
      </w:r>
    </w:p>
    <w:p>
      <w:pPr>
        <w:pStyle w:val="ListNumber"/>
      </w:pPr>
      <w:r>
        <w:rPr>
          <w:b/>
        </w:rPr>
        <w:t>Provider use:</w:t>
      </w:r>
      <w:r>
        <w:t xml:space="preserve"> Provider may use aggregated, anonymized usage data to improve the product.</w:t>
      </w:r>
    </w:p>
    <w:p>
      <w:pPr>
        <w:pStyle w:val="ListNumber"/>
      </w:pPr>
      <w:r>
        <w:rPr>
          <w:b/>
        </w:rPr>
        <w:t>Privacy policy:</w:t>
      </w:r>
      <w:r>
        <w:t xml:space="preserve"> Provider will publish or provide a privacy policy before collecting personal information from Client’s customers. Client is responsible for informing its customers as required by law.</w:t>
      </w:r>
    </w:p>
    <w:p>
      <w:pPr>
        <w:pStyle w:val="ListNumber"/>
      </w:pPr>
      <w:r>
        <w:rPr>
          <w:b/>
        </w:rPr>
        <w:t>Data export:</w:t>
      </w:r>
      <w:r>
        <w:t xml:space="preserve"> Upon request, Provider will use reasonable efforts to export Client data in a common format during and after early access.</w:t>
      </w:r>
    </w:p>
    <w:p>
      <w:pPr>
        <w:pStyle w:val="ListNumber"/>
      </w:pPr>
      <w:r>
        <w:rPr>
          <w:b/>
        </w:rPr>
        <w:t>Data deletion:</w:t>
      </w:r>
      <w:r>
        <w:t xml:space="preserve"> Within </w:t>
      </w:r>
      <w:r>
        <w:rPr>
          <w:b/>
        </w:rPr>
        <w:t>90 days</w:t>
      </w:r>
      <w:r>
        <w:t xml:space="preserve"> of termination, Provider will delete or anonymize Client data from beta systems, except as required for legal or backup retention.</w:t>
      </w:r>
    </w:p>
    <w:p/>
    <w:p>
      <w:pPr>
        <w:pStyle w:val="Heading2"/>
      </w:pPr>
      <w:r>
        <w:t>7. Intellectual Property</w:t>
      </w:r>
    </w:p>
    <w:p>
      <w:pPr>
        <w:pStyle w:val="ListNumber"/>
      </w:pPr>
      <w:r>
        <w:t>Provider owns the software, source code, designs, and all related IP.</w:t>
      </w:r>
    </w:p>
    <w:p>
      <w:pPr>
        <w:pStyle w:val="ListNumber"/>
      </w:pPr>
      <w:r>
        <w:t xml:space="preserve">Client receives a </w:t>
      </w:r>
      <w:r>
        <w:rPr>
          <w:b/>
        </w:rPr>
        <w:t>limited, non-exclusive, non-transferable license</w:t>
      </w:r>
      <w:r>
        <w:t xml:space="preserve"> to use the beta software during early access for internal business purposes only.</w:t>
      </w:r>
    </w:p>
    <w:p>
      <w:pPr>
        <w:pStyle w:val="ListNumber"/>
      </w:pPr>
      <w:r>
        <w:t>Client feedback may be used by Provider without obligation or compensation unless otherwise agreed in writing.</w:t>
      </w:r>
    </w:p>
    <w:p>
      <w:pPr>
        <w:pStyle w:val="ListNumber"/>
      </w:pPr>
      <w:r>
        <w:t>Client may not copy, sublicense, sell, or reverse engineer the software.</w:t>
      </w:r>
    </w:p>
    <w:p/>
    <w:p>
      <w:pPr>
        <w:pStyle w:val="Heading2"/>
      </w:pPr>
      <w:r>
        <w:t>8. Confidentiality</w:t>
      </w:r>
    </w:p>
    <w:p>
      <w:r>
        <w:t xml:space="preserve">Beta features, roadmaps, pricing, and non-public product details are </w:t>
      </w:r>
      <w:r>
        <w:rPr>
          <w:b/>
        </w:rPr>
        <w:t>confidential</w:t>
      </w:r>
      <w:r>
        <w:t>. Client will not disclose them publicly (including social media or competitors) without Provider’s written approval.</w:t>
      </w:r>
    </w:p>
    <w:p>
      <w:r>
        <w:t>Provider will treat Client’s non-public business data as confidential.</w:t>
      </w:r>
    </w:p>
    <w:p/>
    <w:p>
      <w:pPr>
        <w:pStyle w:val="Heading2"/>
      </w:pPr>
      <w:r>
        <w:t>9. Term &amp; Termination</w:t>
      </w:r>
    </w:p>
    <w:p>
      <w:pPr>
        <w:pStyle w:val="ListNumber"/>
      </w:pPr>
      <w:r>
        <w:rPr>
          <w:b/>
        </w:rPr>
        <w:t>Term:</w:t>
      </w:r>
      <w:r>
        <w:t xml:space="preserve"> Begins on </w:t>
      </w:r>
      <w:r>
        <w:rPr>
          <w:rFonts w:ascii="Consolas" w:hAnsi="Consolas"/>
          <w:sz w:val="20"/>
        </w:rPr>
        <w:t>[START DATE]</w:t>
      </w:r>
      <w:r>
        <w:t xml:space="preserve"> and continues until terminated.</w:t>
      </w:r>
    </w:p>
    <w:p>
      <w:pPr>
        <w:pStyle w:val="ListNumber"/>
      </w:pPr>
      <w:r>
        <w:rPr>
          <w:b/>
        </w:rPr>
        <w:t>Termination by either Party:</w:t>
      </w:r>
      <w:r>
        <w:t xml:space="preserve"> </w:t>
      </w:r>
      <w:r>
        <w:rPr>
          <w:b/>
        </w:rPr>
        <w:t>15 days’ written notice</w:t>
      </w:r>
      <w:r>
        <w:t xml:space="preserve"> (email acceptable).</w:t>
      </w:r>
    </w:p>
    <w:p>
      <w:pPr>
        <w:pStyle w:val="ListNumber"/>
      </w:pPr>
      <w:r>
        <w:rPr>
          <w:b/>
        </w:rPr>
        <w:t>Immediate termination by Provider:</w:t>
      </w:r>
      <w:r>
        <w:t xml:space="preserve"> For breach, abuse, or if beta program ends.</w:t>
      </w:r>
    </w:p>
    <w:p>
      <w:pPr>
        <w:pStyle w:val="ListNumber"/>
      </w:pPr>
      <w:r>
        <w:rPr>
          <w:b/>
        </w:rPr>
        <w:t>Effect:</w:t>
      </w:r>
      <w:r>
        <w:t xml:space="preserve"> Access ends on termination date. Client should export data before termination. Sections 6–8, 10–11 survive termination.</w:t>
      </w:r>
    </w:p>
    <w:p>
      <w:r>
        <w:rPr>
          <w:b/>
        </w:rPr>
        <w:t>Transition to general release:</w:t>
      </w:r>
      <w:r>
        <w:t xml:space="preserve"> Client may be offered a separate subscription agreement at launch. Early access pricing does not guarantee future pricing.</w:t>
      </w:r>
    </w:p>
    <w:p/>
    <w:p>
      <w:pPr>
        <w:pStyle w:val="Heading2"/>
      </w:pPr>
      <w:r>
        <w:t>10. Limitation of Liability</w:t>
      </w:r>
    </w:p>
    <w:p>
      <w:r>
        <w:t>To the maximum extent permitted by law:</w:t>
      </w:r>
    </w:p>
    <w:p>
      <w:pPr>
        <w:pStyle w:val="ListBullet"/>
      </w:pPr>
      <w:r>
        <w:t xml:space="preserve">Provider’s total liability shall not exceed fees paid by Client in the </w:t>
      </w:r>
      <w:r>
        <w:rPr>
          <w:b/>
        </w:rPr>
        <w:t>12 months</w:t>
      </w:r>
      <w:r>
        <w:t xml:space="preserve"> preceding the claim (or </w:t>
      </w:r>
      <w:r>
        <w:rPr>
          <w:b/>
        </w:rPr>
        <w:t>$100</w:t>
      </w:r>
      <w:r>
        <w:t xml:space="preserve"> if access is complimentary).</w:t>
      </w:r>
    </w:p>
    <w:p>
      <w:pPr>
        <w:pStyle w:val="ListBullet"/>
      </w:pPr>
      <w:r>
        <w:t>Provider is not liable for indirect, incidental, special, consequential, or lost-profit damages.</w:t>
      </w:r>
    </w:p>
    <w:p>
      <w:pPr>
        <w:pStyle w:val="ListBullet"/>
      </w:pPr>
      <w:r>
        <w:t>Provider is not liable for business interruption, lost data, or decisions made based on beta software output.</w:t>
      </w:r>
    </w:p>
    <w:p/>
    <w:p>
      <w:pPr>
        <w:pStyle w:val="Heading2"/>
      </w:pPr>
      <w:r>
        <w:t>11. General</w:t>
      </w:r>
    </w:p>
    <w:p>
      <w:pPr>
        <w:pStyle w:val="ListBullet"/>
      </w:pPr>
      <w:r>
        <w:rPr>
          <w:b/>
        </w:rPr>
        <w:t>Governing law:</w:t>
      </w:r>
      <w:r>
        <w:t xml:space="preserve"> State of Tennessee.</w:t>
      </w:r>
    </w:p>
    <w:p>
      <w:pPr>
        <w:pStyle w:val="ListBullet"/>
      </w:pPr>
      <w:r>
        <w:rPr>
          <w:b/>
        </w:rPr>
        <w:t>Disputes:</w:t>
      </w:r>
      <w:r>
        <w:t xml:space="preserve"> Good-faith negotiation; then courts in </w:t>
      </w:r>
      <w:r>
        <w:rPr>
          <w:b/>
        </w:rPr>
        <w:t>Unicoi County, Tennessee</w:t>
      </w:r>
      <w:r>
        <w:t xml:space="preserve"> (or mutually agreed venue).</w:t>
      </w:r>
    </w:p>
    <w:p>
      <w:pPr>
        <w:pStyle w:val="ListBullet"/>
      </w:pPr>
      <w:r>
        <w:rPr>
          <w:b/>
        </w:rPr>
        <w:t>Independent contractors:</w:t>
      </w:r>
      <w:r>
        <w:t xml:space="preserve"> No partnership, employment, or joint venture is created.</w:t>
      </w:r>
    </w:p>
    <w:p>
      <w:pPr>
        <w:pStyle w:val="ListBullet"/>
      </w:pPr>
      <w:r>
        <w:rPr>
          <w:b/>
        </w:rPr>
        <w:t>Amendments:</w:t>
      </w:r>
      <w:r>
        <w:t xml:space="preserve"> Must be in writing (email confirmation acceptable for minor schedule changes).</w:t>
      </w:r>
    </w:p>
    <w:p>
      <w:pPr>
        <w:pStyle w:val="ListBullet"/>
      </w:pPr>
      <w:r>
        <w:rPr>
          <w:b/>
        </w:rPr>
        <w:t>Entire agreement:</w:t>
      </w:r>
      <w:r>
        <w:t xml:space="preserve"> Supersedes prior discussions about early access for </w:t>
      </w:r>
      <w:r>
        <w:rPr>
          <w:rFonts w:ascii="Consolas" w:hAnsi="Consolas"/>
          <w:sz w:val="20"/>
        </w:rPr>
        <w:t>[PRODUCT NAME]</w:t>
      </w:r>
      <w:r>
        <w:t>.</w:t>
      </w:r>
    </w:p>
    <w:p/>
    <w:p>
      <w:pPr>
        <w:pStyle w:val="Heading2"/>
      </w:pPr>
      <w:r>
        <w:t>Signatures</w:t>
      </w:r>
    </w:p>
    <w:p>
      <w:r>
        <w:t>By signing, Client acknowledges they have read Section 4 (Beta Software Limitations) and accept the risks of pre-release software.</w:t>
      </w:r>
    </w:p>
    <w:p>
      <w:r>
        <w:rPr>
          <w:b/>
        </w:rPr>
        <w:t>PINNACLE DESIGNS (Provider)</w:t>
      </w:r>
    </w:p>
    <w:p>
      <w:r>
        <w:t>Signature: _________________________________</w:t>
      </w:r>
      <w:r>
        <w:br/>
      </w:r>
      <w:r>
        <w:t>Name: David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[TITLE]</w:t>
      </w:r>
      <w:r>
        <w:br/>
      </w:r>
      <w:r>
        <w:t>Date: _________________</w:t>
      </w:r>
    </w:p>
    <w:p>
      <w:r>
        <w:rPr>
          <w:b/>
        </w:rPr>
        <w:t>CLIENT</w:t>
      </w:r>
    </w:p>
    <w:p>
      <w:r>
        <w:t>Signature: _________________________________</w:t>
      </w:r>
      <w:r>
        <w:br/>
      </w:r>
      <w:r>
        <w:t xml:space="preserve">Name: </w:t>
      </w:r>
      <w:r>
        <w:rPr>
          <w:rFonts w:ascii="Consolas" w:hAnsi="Consolas"/>
          <w:sz w:val="20"/>
        </w:rPr>
        <w:t>[CLIENT SIGNER NAME]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[CLIENT SIGNER TITLE]</w:t>
      </w:r>
      <w:r>
        <w:br/>
      </w:r>
      <w:r>
        <w:t>Date: _________________</w:t>
      </w:r>
    </w:p>
    <w:p/>
    <w:p>
      <w:pPr>
        <w:pStyle w:val="Heading3"/>
      </w:pPr>
      <w:r>
        <w:t>Exhibit A — Client Profile &amp; Support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t>Business type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[e.g. HVAC contractor, boutique, café, law office]</w:t>
            </w:r>
          </w:p>
        </w:tc>
      </w:tr>
      <w:tr>
        <w:tc>
          <w:tcPr>
            <w:tcW w:type="dxa" w:w="4680"/>
          </w:tcPr>
          <w:p>
            <w:r/>
            <w:r>
              <w:t>Number of users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[#]</w:t>
            </w:r>
          </w:p>
        </w:tc>
      </w:tr>
      <w:tr>
        <w:tc>
          <w:tcPr>
            <w:tcW w:type="dxa" w:w="4680"/>
          </w:tcPr>
          <w:p>
            <w:r/>
            <w:r>
              <w:t>Primary workflows to test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[e.g. scheduling, inventory, menu updates]</w:t>
            </w:r>
          </w:p>
        </w:tc>
      </w:tr>
      <w:tr>
        <w:tc>
          <w:tcPr>
            <w:tcW w:type="dxa" w:w="4680"/>
          </w:tcPr>
          <w:p>
            <w:r/>
            <w:r>
              <w:t>Support channel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[EMAIL / PHONE / PORTAL]</w:t>
            </w:r>
          </w:p>
        </w:tc>
      </w:tr>
      <w:tr>
        <w:tc>
          <w:tcPr>
            <w:tcW w:type="dxa" w:w="4680"/>
          </w:tcPr>
          <w:p>
            <w:r/>
            <w:r>
              <w:t>Target response time (beta)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Best effort — typically `[X]` business days</w:t>
            </w:r>
          </w:p>
        </w:tc>
      </w:tr>
      <w:tr>
        <w:tc>
          <w:tcPr>
            <w:tcW w:type="dxa" w:w="4680"/>
          </w:tcPr>
          <w:p>
            <w:r/>
            <w:r>
              <w:t>Complimentary vs paid beta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[COMPLIMENTARY / PAID — amount]</w:t>
            </w:r>
          </w:p>
        </w:tc>
      </w:tr>
    </w:tbl>
    <w:p>
      <w:pPr>
        <w:pStyle w:val="Heading3"/>
      </w:pPr>
      <w:r>
        <w:t>Exhibit B — Authorized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[NAME]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[EMAIL]</w:t>
            </w:r>
          </w:p>
        </w:tc>
        <w:tc>
          <w:tcPr>
            <w:tcW w:type="dxa" w:w="3120"/>
          </w:tcPr>
          <w:p>
            <w:r/>
            <w:r>
              <w:t>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[NAME]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[EMAIL]</w:t>
            </w:r>
          </w:p>
        </w:tc>
        <w:tc>
          <w:tcPr>
            <w:tcW w:type="dxa" w:w="3120"/>
          </w:tcPr>
          <w:p>
            <w:r/>
            <w:r>
              <w:t>User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