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DESIGN, E-COMMERCE &amp; MANAGEMENT AGREEMENT</w:t>
      </w:r>
    </w:p>
    <w:p>
      <w:pPr>
        <w:pStyle w:val="Heading2"/>
      </w:pPr>
      <w:r>
        <w:t>Summit Plan</w:t>
      </w:r>
    </w:p>
    <w:p>
      <w:r>
        <w:rPr>
          <w:b/>
        </w:rPr>
        <w:t>Agreement ID:</w:t>
      </w:r>
      <w:r>
        <w:t xml:space="preserve"> </w:t>
      </w:r>
      <w:r>
        <w:rPr>
          <w:rFonts w:ascii="Consolas" w:hAnsi="Consolas"/>
          <w:sz w:val="20"/>
        </w:rPr>
        <w:t>[AGREEMENT ID]</w:t>
      </w:r>
      <w:r>
        <w:br/>
      </w:r>
      <w:r>
        <w:rPr>
          <w:b/>
        </w:rPr>
        <w:t>Effective Date:</w:t>
      </w:r>
      <w:r>
        <w:t xml:space="preserve"> </w:t>
      </w:r>
      <w:r>
        <w:rPr>
          <w:rFonts w:ascii="Consolas" w:hAnsi="Consolas"/>
          <w:sz w:val="20"/>
        </w:rPr>
        <w:t>[EFFECTIVE DATE]</w:t>
      </w:r>
    </w:p>
    <w:p>
      <w:r>
        <w:t>This Website Design, E-Commerce &amp; Management Agreement (“</w:t>
      </w:r>
      <w:r>
        <w:rPr>
          <w:b/>
        </w:rPr>
        <w:t>Agreement</w:t>
      </w:r>
      <w:r>
        <w:t>”) is entered into by and between:</w:t>
      </w:r>
    </w:p>
    <w:p>
      <w:r>
        <w:rPr>
          <w:b/>
        </w:rPr>
        <w:t>Pinnacle Designs</w:t>
      </w:r>
      <w:r>
        <w:t xml:space="preserve"> (“</w:t>
      </w:r>
      <w:r>
        <w:rPr>
          <w:b/>
        </w:rPr>
        <w:t>Provider</w:t>
      </w:r>
      <w:r>
        <w:t>”)</w:t>
      </w:r>
      <w:r>
        <w:br/>
      </w:r>
      <w:r>
        <w:t>Contact: David — david@pinnacle-designs.com</w:t>
      </w:r>
      <w:r>
        <w:br/>
      </w:r>
      <w:r>
        <w:t>Website: https://pinnacle-designs.com</w:t>
      </w:r>
      <w:r>
        <w:br/>
      </w:r>
      <w:r>
        <w:t>Location: Erwin, Tennessee</w:t>
      </w:r>
    </w:p>
    <w:p>
      <w:r>
        <w:t>and</w:t>
      </w:r>
    </w:p>
    <w:p>
      <w:r>
        <w:rPr>
          <w:b/>
        </w:rPr>
        <w:t>`[CLIENT LEGAL NAME]`</w:t>
      </w:r>
      <w:r>
        <w:t xml:space="preserve"> (“</w:t>
      </w:r>
      <w:r>
        <w:rPr>
          <w:b/>
        </w:rPr>
        <w:t>Client</w:t>
      </w:r>
      <w:r>
        <w:t>”)</w:t>
      </w:r>
      <w:r>
        <w:br/>
      </w:r>
      <w:r>
        <w:t xml:space="preserve">Business name (if different): </w:t>
      </w:r>
      <w:r>
        <w:rPr>
          <w:rFonts w:ascii="Consolas" w:hAnsi="Consolas"/>
          <w:sz w:val="20"/>
        </w:rPr>
        <w:t>[DBA / TRADE NAME]</w:t>
      </w:r>
      <w:r>
        <w:br/>
      </w:r>
      <w:r>
        <w:t xml:space="preserve">Address: </w:t>
      </w:r>
      <w:r>
        <w:rPr>
          <w:rFonts w:ascii="Consolas" w:hAnsi="Consolas"/>
          <w:sz w:val="20"/>
        </w:rPr>
        <w:t>[CLIENT STREET ADDRESS]</w:t>
      </w:r>
      <w:r>
        <w:br/>
      </w:r>
      <w:r>
        <w:t xml:space="preserve">City, State, ZIP: </w:t>
      </w:r>
      <w:r>
        <w:rPr>
          <w:rFonts w:ascii="Consolas" w:hAnsi="Consolas"/>
          <w:sz w:val="20"/>
        </w:rPr>
        <w:t>[CLIENT CITY, STATE ZIP]</w:t>
      </w:r>
      <w:r>
        <w:br/>
      </w:r>
      <w:r>
        <w:t xml:space="preserve">Email: </w:t>
      </w:r>
      <w:r>
        <w:rPr>
          <w:rFonts w:ascii="Consolas" w:hAnsi="Consolas"/>
          <w:sz w:val="20"/>
        </w:rPr>
        <w:t>[CLIENT EMAIL]</w:t>
      </w:r>
      <w:r>
        <w:br/>
      </w:r>
      <w:r>
        <w:t xml:space="preserve">Phone: </w:t>
      </w:r>
      <w:r>
        <w:rPr>
          <w:rFonts w:ascii="Consolas" w:hAnsi="Consolas"/>
          <w:sz w:val="20"/>
        </w:rPr>
        <w:t>[CLIENT PHONE]</w:t>
      </w:r>
    </w:p>
    <w:p>
      <w:r>
        <w:t>Provider and Client are each a “</w:t>
      </w:r>
      <w:r>
        <w:rPr>
          <w:b/>
        </w:rPr>
        <w:t>Party</w:t>
      </w:r>
      <w:r>
        <w:t>” and together the “</w:t>
      </w:r>
      <w:r>
        <w:rPr>
          <w:b/>
        </w:rPr>
        <w:t>Parties</w:t>
      </w:r>
      <w:r>
        <w:t>.”</w:t>
      </w:r>
    </w:p>
    <w:p/>
    <w:p>
      <w:pPr>
        <w:pStyle w:val="Heading2"/>
      </w:pPr>
      <w:r>
        <w:t>1. Services — Summit Plan</w:t>
      </w:r>
    </w:p>
    <w:p>
      <w:r>
        <w:t xml:space="preserve">Provider will design, launch, and manage an </w:t>
      </w:r>
      <w:r>
        <w:rPr>
          <w:b/>
        </w:rPr>
        <w:t>e-commerce website</w:t>
      </w:r>
      <w:r>
        <w:t xml:space="preserve"> for Client under the </w:t>
      </w:r>
      <w:r>
        <w:rPr>
          <w:b/>
        </w:rPr>
        <w:t>Summit</w:t>
      </w:r>
      <w:r>
        <w:t xml:space="preserve"> plan, which includes: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Store setup</w:t>
            </w:r>
          </w:p>
        </w:tc>
        <w:tc>
          <w:tcPr>
            <w:tcW w:type="dxa" w:w="4680"/>
          </w:tcPr>
          <w:p>
            <w:r/>
            <w:r>
              <w:t xml:space="preserve">Full online store configuration (platform: </w:t>
            </w:r>
            <w:r>
              <w:rPr>
                <w:rFonts w:ascii="Consolas" w:hAnsi="Consolas"/>
                <w:sz w:val="20"/>
              </w:rPr>
              <w:t>[SHOPIFY / WOOCOMMERCE / OTHER]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Payment gateways</w:t>
            </w:r>
          </w:p>
        </w:tc>
        <w:tc>
          <w:tcPr>
            <w:tcW w:type="dxa" w:w="4680"/>
          </w:tcPr>
          <w:p>
            <w:r/>
            <w:r>
              <w:t xml:space="preserve">Integration of agreed payment processor(s): </w:t>
            </w:r>
            <w:r>
              <w:rPr>
                <w:rFonts w:ascii="Consolas" w:hAnsi="Consolas"/>
                <w:sz w:val="20"/>
              </w:rPr>
              <w:t>[STRIPE / PAYPAL / SQUARE / OTHER]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Product catalog</w:t>
            </w:r>
          </w:p>
        </w:tc>
        <w:tc>
          <w:tcPr>
            <w:tcW w:type="dxa" w:w="4680"/>
          </w:tcPr>
          <w:p>
            <w:r/>
            <w:r>
              <w:t>Initial product upload and ongoing catalog updates per Section 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Hosting &amp; SSL</w:t>
            </w:r>
          </w:p>
        </w:tc>
        <w:tc>
          <w:tcPr>
            <w:tcW w:type="dxa" w:w="4680"/>
          </w:tcPr>
          <w:p>
            <w:r/>
            <w:r>
              <w:t>Secure hosting with SSL (included in platform/hosting arrangement)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Priority support</w:t>
            </w:r>
          </w:p>
        </w:tc>
        <w:tc>
          <w:tcPr>
            <w:tcW w:type="dxa" w:w="4680"/>
          </w:tcPr>
          <w:p>
            <w:r/>
            <w:r>
              <w:t>Expedited response for critical store issues (see Section 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SEO &amp; analytics baseline</w:t>
            </w:r>
          </w:p>
        </w:tc>
        <w:tc>
          <w:tcPr>
            <w:tcW w:type="dxa" w:w="4680"/>
          </w:tcPr>
          <w:p>
            <w:r/>
            <w:r>
              <w:t>On-page SEO setup and analytics installation</w:t>
            </w:r>
          </w:p>
        </w:tc>
      </w:tr>
    </w:tbl>
    <w:p>
      <w:r>
        <w:rPr>
          <w:b/>
        </w:rPr>
        <w:t>Primary domain:</w:t>
      </w:r>
      <w:r>
        <w:t xml:space="preserve"> </w:t>
      </w:r>
      <w:r>
        <w:rPr>
          <w:rFonts w:ascii="Consolas" w:hAnsi="Consolas"/>
          <w:sz w:val="20"/>
        </w:rPr>
        <w:t>[DOMAIN NAME]</w:t>
      </w:r>
      <w:r>
        <w:br/>
      </w:r>
      <w:r>
        <w:rPr>
          <w:b/>
        </w:rPr>
        <w:t>Estimated product count at launch:</w:t>
      </w:r>
      <w:r>
        <w:t xml:space="preserve"> </w:t>
      </w:r>
      <w:r>
        <w:rPr>
          <w:rFonts w:ascii="Consolas" w:hAnsi="Consolas"/>
          <w:sz w:val="20"/>
        </w:rPr>
        <w:t>[NUMBER]</w:t>
      </w:r>
      <w:r>
        <w:br/>
      </w:r>
      <w:r>
        <w:rPr>
          <w:b/>
        </w:rPr>
        <w:t>Target launch date:</w:t>
      </w:r>
      <w:r>
        <w:t xml:space="preserve"> </w:t>
      </w:r>
      <w:r>
        <w:rPr>
          <w:rFonts w:ascii="Consolas" w:hAnsi="Consolas"/>
          <w:sz w:val="20"/>
        </w:rPr>
        <w:t>[TARGET LAUNCH DATE]</w:t>
      </w:r>
    </w:p>
    <w:p>
      <w:r>
        <w:t xml:space="preserve">Detailed scope is defined in </w:t>
      </w:r>
      <w:r>
        <w:rPr>
          <w:b/>
        </w:rPr>
        <w:t>Exhibit A — Statement of Work</w:t>
      </w:r>
      <w:r>
        <w:t>.</w:t>
      </w:r>
    </w:p>
    <w:p/>
    <w:p>
      <w:pPr>
        <w:pStyle w:val="Heading2"/>
      </w:pPr>
      <w:r>
        <w:t>2. Fees &amp; Payment</w:t>
      </w:r>
    </w:p>
    <w:p>
      <w:r>
        <w:t>Summit pricing varies by store complexity. Agreed fees for this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Fee type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Design &amp; store setup fee (down payment)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`$[AMOUNT] USD`</w:t>
            </w:r>
            <w:r>
              <w:t xml:space="preserve"> (minimum $2,500)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`$[DEPOSIT]`</w:t>
            </w:r>
            <w:r>
              <w:t xml:space="preserve"> due on signing; balance </w:t>
            </w:r>
            <w:r>
              <w:rPr>
                <w:b/>
              </w:rPr>
              <w:t>`$[BALANCE]`</w:t>
            </w:r>
            <w:r>
              <w:t xml:space="preserve"> due on </w:t>
            </w:r>
            <w:r>
              <w:rPr>
                <w:rFonts w:ascii="Consolas" w:hAnsi="Consolas"/>
                <w:sz w:val="20"/>
              </w:rPr>
              <w:t>[MILESTONE DATE]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Monthly management fee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`$[AMOUNT] USD/month`</w:t>
            </w:r>
            <w:r>
              <w:t xml:space="preserve"> (starting at $299/mo)</w:t>
            </w:r>
          </w:p>
        </w:tc>
        <w:tc>
          <w:tcPr>
            <w:tcW w:type="dxa" w:w="3120"/>
          </w:tcPr>
          <w:p>
            <w:r/>
            <w:r>
              <w:t xml:space="preserve">Billed on </w:t>
            </w:r>
            <w:r>
              <w:rPr>
                <w:rFonts w:ascii="Consolas" w:hAnsi="Consolas"/>
                <w:sz w:val="20"/>
              </w:rPr>
              <w:t>[BILLING DAY]</w:t>
            </w:r>
            <w:r>
              <w:t xml:space="preserve">, beginning </w:t>
            </w:r>
            <w:r>
              <w:rPr>
                <w:rFonts w:ascii="Consolas" w:hAnsi="Consolas"/>
                <w:sz w:val="20"/>
              </w:rPr>
              <w:t>[FIRST MONTHLY BILLING DATE]</w:t>
            </w:r>
          </w:p>
        </w:tc>
      </w:tr>
    </w:tbl>
    <w:p>
      <w:r>
        <w:rPr>
          <w:b/>
        </w:rPr>
        <w:t>Pricing basis:</w:t>
      </w:r>
      <w:r>
        <w:t xml:space="preserve"> </w:t>
      </w:r>
      <w:r>
        <w:rPr>
          <w:rFonts w:ascii="Consolas" w:hAnsi="Consolas"/>
          <w:sz w:val="20"/>
        </w:rPr>
        <w:t>[e.g. product count, payment integrations, custom features — see Exhibit A]</w:t>
      </w:r>
    </w:p>
    <w:p>
      <w:pPr>
        <w:pStyle w:val="ListBullet"/>
      </w:pPr>
      <w:r>
        <w:t xml:space="preserve">Third-party fees (payment processing, platform subscriptions, shipping apps, premium plugins) are </w:t>
      </w:r>
      <w:r>
        <w:rPr>
          <w:b/>
        </w:rPr>
        <w:t>Client’s responsibility</w:t>
      </w:r>
      <w:r>
        <w:t xml:space="preserve"> unless listed as included in Exhibit A.</w:t>
      </w:r>
    </w:p>
    <w:p>
      <w:pPr>
        <w:pStyle w:val="ListBullet"/>
      </w:pPr>
      <w:r>
        <w:t xml:space="preserve">Late payments more than </w:t>
      </w:r>
      <w:r>
        <w:rPr>
          <w:b/>
        </w:rPr>
        <w:t>15 days</w:t>
      </w:r>
      <w:r>
        <w:t xml:space="preserve"> past due may result in suspension of the store until current.</w:t>
      </w:r>
    </w:p>
    <w:p>
      <w:pPr>
        <w:pStyle w:val="ListBullet"/>
      </w:pPr>
      <w:r>
        <w:t xml:space="preserve">Provider may adjust monthly fees with </w:t>
      </w:r>
      <w:r>
        <w:rPr>
          <w:b/>
        </w:rPr>
        <w:t>60 days’ written notice</w:t>
      </w:r>
      <w:r>
        <w:t>.</w:t>
      </w:r>
    </w:p>
    <w:p>
      <w:r>
        <w:rPr>
          <w:b/>
        </w:rPr>
        <w:t>Payment method:</w:t>
      </w:r>
      <w:r>
        <w:t xml:space="preserve"> </w:t>
      </w:r>
      <w:r>
        <w:rPr>
          <w:rFonts w:ascii="Consolas" w:hAnsi="Consolas"/>
          <w:sz w:val="20"/>
        </w:rPr>
        <w:t>[PAYMENT METHOD]</w:t>
      </w:r>
    </w:p>
    <w:p/>
    <w:p>
      <w:pPr>
        <w:pStyle w:val="Heading2"/>
      </w:pPr>
      <w:r>
        <w:t>3. Client Responsibilities</w:t>
      </w:r>
    </w:p>
    <w:p>
      <w:r>
        <w:t>Client agrees to:</w:t>
      </w:r>
    </w:p>
    <w:p>
      <w:pPr>
        <w:pStyle w:val="ListNumber"/>
      </w:pPr>
      <w:r>
        <w:t>Provide product data (names, descriptions, prices, SKUs, weights, inventory), photos, and policies (shipping, returns, privacy).</w:t>
      </w:r>
    </w:p>
    <w:p>
      <w:pPr>
        <w:pStyle w:val="ListNumber"/>
      </w:pPr>
      <w:r>
        <w:t>Create and maintain merchant accounts with payment processors; complete identity verification required by processors.</w:t>
      </w:r>
    </w:p>
    <w:p>
      <w:pPr>
        <w:pStyle w:val="ListNumber"/>
      </w:pPr>
      <w:r>
        <w:t>Comply with card network rules, sales tax obligations, and consumer protection laws.</w:t>
      </w:r>
    </w:p>
    <w:p>
      <w:pPr>
        <w:pStyle w:val="ListNumber"/>
      </w:pPr>
      <w:r>
        <w:t xml:space="preserve">Respond to proofs, product review requests, and gateway verification within </w:t>
      </w:r>
      <w:r>
        <w:rPr>
          <w:b/>
        </w:rPr>
        <w:t>10 business days</w:t>
      </w:r>
      <w:r>
        <w:t>.</w:t>
      </w:r>
    </w:p>
    <w:p>
      <w:pPr>
        <w:pStyle w:val="ListNumber"/>
      </w:pPr>
      <w:r>
        <w:t xml:space="preserve">Maintain domain ownership for </w:t>
      </w:r>
      <w:r>
        <w:rPr>
          <w:rFonts w:ascii="Consolas" w:hAnsi="Consolas"/>
          <w:sz w:val="20"/>
        </w:rPr>
        <w:t>[DOMAIN NAME]</w:t>
      </w:r>
      <w:r>
        <w:t>.</w:t>
      </w:r>
    </w:p>
    <w:p>
      <w:pPr>
        <w:pStyle w:val="ListNumber"/>
      </w:pPr>
      <w:r>
        <w:t xml:space="preserve">Designate primary contact: </w:t>
      </w:r>
      <w:r>
        <w:rPr>
          <w:rFonts w:ascii="Consolas" w:hAnsi="Consolas"/>
          <w:sz w:val="20"/>
        </w:rPr>
        <w:t>[CLIENT CONTACT NAME]</w:t>
      </w:r>
      <w:r>
        <w:t xml:space="preserve"> and technical/billing contact if different: </w:t>
      </w:r>
      <w:r>
        <w:rPr>
          <w:rFonts w:ascii="Consolas" w:hAnsi="Consolas"/>
          <w:sz w:val="20"/>
        </w:rPr>
        <w:t>[NAME]</w:t>
      </w:r>
      <w:r>
        <w:t>.</w:t>
      </w:r>
    </w:p>
    <w:p>
      <w:r>
        <w:t>Client is solely responsible for product legality, accurate pricing, order fulfillment, and customer service for orders placed through the store.</w:t>
      </w:r>
    </w:p>
    <w:p/>
    <w:p>
      <w:pPr>
        <w:pStyle w:val="Heading2"/>
      </w:pPr>
      <w:r>
        <w:t>4. Updates, Support &amp; Work Outside Scope</w:t>
      </w:r>
    </w:p>
    <w:p>
      <w:r>
        <w:rPr>
          <w:b/>
        </w:rPr>
        <w:t>Included monthly management:</w:t>
      </w:r>
    </w:p>
    <w:p>
      <w:pPr>
        <w:pStyle w:val="ListBullet"/>
      </w:pPr>
      <w:r>
        <w:t xml:space="preserve">Product catalog updates: </w:t>
      </w:r>
      <w:r>
        <w:rPr>
          <w:rFonts w:ascii="Consolas" w:hAnsi="Consolas"/>
          <w:sz w:val="20"/>
        </w:rPr>
        <w:t>[e.g. up to X SKU changes / Y hours — specify in Exhibit A]</w:t>
      </w:r>
    </w:p>
    <w:p>
      <w:pPr>
        <w:pStyle w:val="ListBullet"/>
      </w:pPr>
      <w:r>
        <w:t>Text, image, and promotional banner updates</w:t>
      </w:r>
    </w:p>
    <w:p>
      <w:pPr>
        <w:pStyle w:val="ListBullet"/>
      </w:pPr>
      <w:r>
        <w:t>Payment gateway monitoring assistance (configuration level; not payment disputes)</w:t>
      </w:r>
    </w:p>
    <w:p>
      <w:pPr>
        <w:pStyle w:val="ListBullet"/>
      </w:pPr>
      <w:r>
        <w:rPr>
          <w:b/>
        </w:rPr>
        <w:t>Priority support:</w:t>
      </w:r>
      <w:r>
        <w:t xml:space="preserve"> Response within </w:t>
      </w:r>
      <w:r>
        <w:rPr>
          <w:b/>
        </w:rPr>
        <w:t>1 business day</w:t>
      </w:r>
      <w:r>
        <w:t xml:space="preserve"> for critical issues (checkout down, payment failure, site unavailable)</w:t>
      </w:r>
    </w:p>
    <w:p>
      <w:r>
        <w:rPr>
          <w:b/>
        </w:rPr>
        <w:t>Not included (quoted separately):</w:t>
      </w:r>
      <w:r>
        <w:t xml:space="preserve"> Custom app development, ERP/inventory integrations, marketplace sync (Amazon, eBay), advanced automation, paid advertising, professional product photography, and redesigns.</w:t>
      </w:r>
    </w:p>
    <w:p>
      <w:r>
        <w:rPr>
          <w:b/>
        </w:rPr>
        <w:t>Change orders:</w:t>
      </w:r>
      <w:r>
        <w:t xml:space="preserve"> Any work outside Exhibit A requires a written change order with scope, timeline, and fee before work begins.</w:t>
      </w:r>
    </w:p>
    <w:p/>
    <w:p>
      <w:pPr>
        <w:pStyle w:val="Heading2"/>
      </w:pPr>
      <w:r>
        <w:t>5. E-Commerce &amp; Payment Processing</w:t>
      </w:r>
    </w:p>
    <w:p>
      <w:pPr>
        <w:pStyle w:val="ListNumber"/>
      </w:pPr>
      <w:r>
        <w:t xml:space="preserve">Client enters into separate agreements with payment processors and is the </w:t>
      </w:r>
      <w:r>
        <w:rPr>
          <w:b/>
        </w:rPr>
        <w:t>merchant of record</w:t>
      </w:r>
      <w:r>
        <w:t>.</w:t>
      </w:r>
    </w:p>
    <w:p>
      <w:pPr>
        <w:pStyle w:val="ListNumber"/>
      </w:pPr>
      <w:r>
        <w:t xml:space="preserve">Provider configures gateways but does </w:t>
      </w:r>
      <w:r>
        <w:rPr>
          <w:b/>
        </w:rPr>
        <w:t>not</w:t>
      </w:r>
      <w:r>
        <w:t xml:space="preserve"> hold, transmit, or store customer payment credentials beyond what the platform requires.</w:t>
      </w:r>
    </w:p>
    <w:p>
      <w:pPr>
        <w:pStyle w:val="ListNumber"/>
      </w:pPr>
      <w:r>
        <w:t>Provider is not liable for chargebacks, processor holds, fraud losses, or processor account termination.</w:t>
      </w:r>
    </w:p>
    <w:p>
      <w:pPr>
        <w:pStyle w:val="ListNumber"/>
      </w:pPr>
      <w:r>
        <w:t>Client must maintain PCI-compliant practices as required by the chosen platform and processor.</w:t>
      </w:r>
    </w:p>
    <w:p/>
    <w:p>
      <w:pPr>
        <w:pStyle w:val="Heading2"/>
      </w:pPr>
      <w:r>
        <w:t>6. Intellectual Property &amp; Content</w:t>
      </w:r>
    </w:p>
    <w:p>
      <w:pPr>
        <w:pStyle w:val="ListNumber"/>
      </w:pPr>
      <w:r>
        <w:t>Upon full payment of the design &amp; setup fee, Client receives a license to use the delivered store design for their business.</w:t>
      </w:r>
    </w:p>
    <w:p>
      <w:pPr>
        <w:pStyle w:val="ListNumber"/>
      </w:pPr>
      <w:r>
        <w:t>Client retains ownership of product content, trademarks, and materials Client supplies.</w:t>
      </w:r>
    </w:p>
    <w:p>
      <w:pPr>
        <w:pStyle w:val="ListNumber"/>
      </w:pPr>
      <w:r>
        <w:t>Provider retains ownership of pre-existing code, themes (if licensed separately), and proprietary tooling.</w:t>
      </w:r>
    </w:p>
    <w:p>
      <w:pPr>
        <w:pStyle w:val="ListNumber"/>
      </w:pPr>
      <w:r>
        <w:t>Third-party themes, plugins, and stock assets are subject to their own licenses; Client may need ongoing licenses after termination.</w:t>
      </w:r>
    </w:p>
    <w:p/>
    <w:p>
      <w:pPr>
        <w:pStyle w:val="Heading2"/>
      </w:pPr>
      <w:r>
        <w:t>7. Warranties &amp; Disclaimer</w:t>
      </w:r>
    </w:p>
    <w:p>
      <w:r>
        <w:t>Provider warrants services will be performed in a professional manner.</w:t>
      </w:r>
    </w:p>
    <w:p>
      <w:r>
        <w:rPr>
          <w:b/>
        </w:rPr>
        <w:t>SERVICES ARE PROVIDED “AS IS.” PROVIDER DISCLAIMS WARRANTIES OF MERCHANTABILITY, FITNESS FOR A PARTICULAR PURPOSE, AND ANY GUARANTEE OF SALES, REVENUE, OR UPTIME BEYOND REASONABLE COMMERCIAL EFFORTS.</w:t>
      </w:r>
    </w:p>
    <w:p/>
    <w:p>
      <w:pPr>
        <w:pStyle w:val="Heading2"/>
      </w:pPr>
      <w:r>
        <w:t>8. Limitation of Liability</w:t>
      </w:r>
    </w:p>
    <w:p>
      <w:r>
        <w:t xml:space="preserve">Provider’s total liability shall not exceed fees paid by Client in the </w:t>
      </w:r>
      <w:r>
        <w:rPr>
          <w:b/>
        </w:rPr>
        <w:t>12 months</w:t>
      </w:r>
      <w:r>
        <w:t xml:space="preserve"> preceding the claim. Provider is not liable for lost profits, lost sales, inventory errors, shipping failures, or processor outages.</w:t>
      </w:r>
    </w:p>
    <w:p/>
    <w:p>
      <w:pPr>
        <w:pStyle w:val="Heading2"/>
      </w:pPr>
      <w:r>
        <w:t>9. Term &amp; Termination</w:t>
      </w:r>
    </w:p>
    <w:p>
      <w:pPr>
        <w:pStyle w:val="ListNumber"/>
      </w:pPr>
      <w:r>
        <w:rPr>
          <w:b/>
        </w:rPr>
        <w:t>Term:</w:t>
      </w:r>
      <w:r>
        <w:t xml:space="preserve"> Month-to-month after launch, beginning </w:t>
      </w:r>
      <w:r>
        <w:rPr>
          <w:rFonts w:ascii="Consolas" w:hAnsi="Consolas"/>
          <w:sz w:val="20"/>
        </w:rPr>
        <w:t>[LAUNCH DATE]</w:t>
      </w:r>
      <w:r>
        <w:t>.</w:t>
      </w:r>
    </w:p>
    <w:p>
      <w:pPr>
        <w:pStyle w:val="ListNumber"/>
      </w:pPr>
      <w:r>
        <w:rPr>
          <w:b/>
        </w:rPr>
        <w:t>Termination by Client:</w:t>
      </w:r>
      <w:r>
        <w:t xml:space="preserve"> </w:t>
      </w:r>
      <w:r>
        <w:rPr>
          <w:b/>
        </w:rPr>
        <w:t>30 days’ written notice</w:t>
      </w:r>
      <w:r>
        <w:t>. Setup fees are non-refundable once work has begun.</w:t>
      </w:r>
    </w:p>
    <w:p>
      <w:pPr>
        <w:pStyle w:val="ListNumber"/>
      </w:pPr>
      <w:r>
        <w:rPr>
          <w:b/>
        </w:rPr>
        <w:t>Termination by Provider:</w:t>
      </w:r>
      <w:r>
        <w:t xml:space="preserve"> For uncured breach (including non-payment) after </w:t>
      </w:r>
      <w:r>
        <w:rPr>
          <w:b/>
        </w:rPr>
        <w:t>10 days’ notice</w:t>
      </w:r>
      <w:r>
        <w:t xml:space="preserve">, or </w:t>
      </w:r>
      <w:r>
        <w:rPr>
          <w:b/>
        </w:rPr>
        <w:t>30 days’ notice</w:t>
      </w:r>
      <w:r>
        <w:t xml:space="preserve"> without cause.</w:t>
      </w:r>
    </w:p>
    <w:p>
      <w:pPr>
        <w:pStyle w:val="ListNumber"/>
      </w:pPr>
      <w:r>
        <w:rPr>
          <w:b/>
        </w:rPr>
        <w:t>Migration:</w:t>
      </w:r>
      <w:r>
        <w:t xml:space="preserve"> Upon termination, Client may request assistance exporting product data per platform capabilities. Migration services may be billed at </w:t>
      </w:r>
      <w:r>
        <w:rPr>
          <w:b/>
        </w:rPr>
        <w:t>`$[HOURLY RATE]/hr`</w:t>
      </w:r>
      <w:r>
        <w:t xml:space="preserve"> if not included. Provider will disable the store after the notice period unless otherwise agreed.</w:t>
      </w:r>
    </w:p>
    <w:p/>
    <w:p>
      <w:pPr>
        <w:pStyle w:val="Heading2"/>
      </w:pPr>
      <w:r>
        <w:t>10. Confidentiality</w:t>
      </w:r>
    </w:p>
    <w:p>
      <w:r>
        <w:t>Each Party will protect confidential business information and use it only to perform under this Agreement.</w:t>
      </w:r>
    </w:p>
    <w:p/>
    <w:p>
      <w:pPr>
        <w:pStyle w:val="Heading2"/>
      </w:pPr>
      <w:r>
        <w:t>11. General</w:t>
      </w:r>
    </w:p>
    <w:p>
      <w:pPr>
        <w:pStyle w:val="ListBullet"/>
      </w:pPr>
      <w:r>
        <w:rPr>
          <w:b/>
        </w:rPr>
        <w:t>Governing law:</w:t>
      </w:r>
      <w:r>
        <w:t xml:space="preserve"> State of Tennessee.</w:t>
      </w:r>
    </w:p>
    <w:p>
      <w:pPr>
        <w:pStyle w:val="ListBullet"/>
      </w:pPr>
      <w:r>
        <w:rPr>
          <w:b/>
        </w:rPr>
        <w:t>Disputes:</w:t>
      </w:r>
      <w:r>
        <w:t xml:space="preserve"> Good-faith negotiation; then </w:t>
      </w:r>
      <w:r>
        <w:rPr>
          <w:b/>
        </w:rPr>
        <w:t>Unicoi County, Tennessee</w:t>
      </w:r>
      <w:r>
        <w:t xml:space="preserve"> courts (or mutually agreed venue).</w:t>
      </w:r>
    </w:p>
    <w:p>
      <w:pPr>
        <w:pStyle w:val="ListBullet"/>
      </w:pPr>
      <w:r>
        <w:rPr>
          <w:b/>
        </w:rPr>
        <w:t>Entire agreement:</w:t>
      </w:r>
      <w:r>
        <w:t xml:space="preserve"> Includes Exhibits A and B.</w:t>
      </w:r>
    </w:p>
    <w:p>
      <w:pPr>
        <w:pStyle w:val="ListBullet"/>
      </w:pPr>
      <w:r>
        <w:rPr>
          <w:b/>
        </w:rPr>
        <w:t>Amendments:</w:t>
      </w:r>
      <w:r>
        <w:t xml:space="preserve"> Written and signed by both Parties.</w:t>
      </w:r>
    </w:p>
    <w:p/>
    <w:p>
      <w:pPr>
        <w:pStyle w:val="Heading2"/>
      </w:pPr>
      <w:r>
        <w:t>Signatures</w:t>
      </w:r>
    </w:p>
    <w:p>
      <w:r>
        <w:rPr>
          <w:b/>
        </w:rPr>
        <w:t>PINNACLE DESIGNS (Provider)</w:t>
      </w:r>
    </w:p>
    <w:p>
      <w:r>
        <w:t>Signature: _________________________________</w:t>
      </w:r>
      <w:r>
        <w:br/>
      </w:r>
      <w:r>
        <w:t>Name: David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[TITLE]</w:t>
      </w:r>
      <w:r>
        <w:br/>
      </w:r>
      <w:r>
        <w:t>Date: _________________</w:t>
      </w:r>
    </w:p>
    <w:p>
      <w:r>
        <w:rPr>
          <w:b/>
        </w:rPr>
        <w:t>CLIENT</w:t>
      </w:r>
    </w:p>
    <w:p>
      <w:r>
        <w:t>Signature: _________________________________</w:t>
      </w:r>
      <w:r>
        <w:br/>
      </w:r>
      <w:r>
        <w:t xml:space="preserve">Name: </w:t>
      </w:r>
      <w:r>
        <w:rPr>
          <w:rFonts w:ascii="Consolas" w:hAnsi="Consolas"/>
          <w:sz w:val="20"/>
        </w:rPr>
        <w:t>[CLIENT SIGNER NAME]</w:t>
      </w:r>
      <w:r>
        <w:br/>
      </w:r>
      <w:r>
        <w:t xml:space="preserve">Title: </w:t>
      </w:r>
      <w:r>
        <w:rPr>
          <w:rFonts w:ascii="Consolas" w:hAnsi="Consolas"/>
          <w:sz w:val="20"/>
        </w:rPr>
        <w:t>[CLIENT SIGNER TITLE]</w:t>
      </w:r>
      <w:r>
        <w:br/>
      </w:r>
      <w:r>
        <w:t>Date: _________________</w:t>
      </w:r>
    </w:p>
    <w:p/>
    <w:p>
      <w:pPr>
        <w:pStyle w:val="Heading3"/>
      </w:pPr>
      <w:r>
        <w:t>Exhibit A — Statement of Work</w:t>
      </w:r>
    </w:p>
    <w:p>
      <w:r>
        <w:rPr>
          <w:b/>
        </w:rPr>
        <w:t>Platform:</w:t>
      </w:r>
      <w:r>
        <w:t xml:space="preserve"> </w:t>
      </w:r>
      <w:r>
        <w:rPr>
          <w:rFonts w:ascii="Consolas" w:hAnsi="Consolas"/>
          <w:sz w:val="20"/>
        </w:rPr>
        <w:t>[PLATFORM]</w:t>
      </w:r>
      <w:r>
        <w:br/>
      </w:r>
      <w:r>
        <w:rPr>
          <w:b/>
        </w:rPr>
        <w:t>Payment processor(s):</w:t>
      </w:r>
      <w:r>
        <w:t xml:space="preserve"> </w:t>
      </w:r>
      <w:r>
        <w:rPr>
          <w:rFonts w:ascii="Consolas" w:hAnsi="Consolas"/>
          <w:sz w:val="20"/>
        </w:rPr>
        <w:t>[PROCESSORS]</w:t>
      </w:r>
      <w:r>
        <w:br/>
      </w:r>
      <w:r>
        <w:rPr>
          <w:b/>
        </w:rPr>
        <w:t>Shipping method(s):</w:t>
      </w:r>
      <w:r>
        <w:t xml:space="preserve"> </w:t>
      </w:r>
      <w:r>
        <w:rPr>
          <w:rFonts w:ascii="Consolas" w:hAnsi="Consolas"/>
          <w:sz w:val="20"/>
        </w:rPr>
        <w:t>[FLAT RATE / CARRIER CALCULATED / LOCAL PICKUP / OTHER]</w:t>
      </w:r>
      <w:r>
        <w:br/>
      </w:r>
      <w:r>
        <w:rPr>
          <w:b/>
        </w:rPr>
        <w:t>Tax configuration:</w:t>
      </w:r>
      <w:r>
        <w:t xml:space="preserve"> </w:t>
      </w:r>
      <w:r>
        <w:rPr>
          <w:rFonts w:ascii="Consolas" w:hAnsi="Consolas"/>
          <w:sz w:val="20"/>
        </w:rPr>
        <w:t>[CLIENT CONFIGURES / PROVIDER ASSISTS — details]</w:t>
      </w:r>
    </w:p>
    <w:p>
      <w:r>
        <w:rPr>
          <w:b/>
        </w:rPr>
        <w:t>Included at launch: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Quantity / detail</w:t>
            </w:r>
          </w:p>
        </w:tc>
      </w:tr>
      <w:tr>
        <w:tc>
          <w:tcPr>
            <w:tcW w:type="dxa" w:w="4680"/>
          </w:tcPr>
          <w:p>
            <w:r/>
            <w:r>
              <w:t>Product listings (initial upload)</w:t>
            </w:r>
          </w:p>
        </w:tc>
        <w:tc>
          <w:tcPr>
            <w:tcW w:type="dxa" w:w="4680"/>
          </w:tcPr>
          <w:p>
            <w:r/>
            <w:r>
              <w:t xml:space="preserve">Up to </w:t>
            </w:r>
            <w:r>
              <w:rPr>
                <w:rFonts w:ascii="Consolas" w:hAnsi="Consolas"/>
                <w:sz w:val="20"/>
              </w:rPr>
              <w:t>[#]</w:t>
            </w:r>
            <w:r>
              <w:t xml:space="preserve"> products</w:t>
            </w:r>
          </w:p>
        </w:tc>
      </w:tr>
      <w:tr>
        <w:tc>
          <w:tcPr>
            <w:tcW w:type="dxa" w:w="4680"/>
          </w:tcPr>
          <w:p>
            <w:r/>
            <w:r>
              <w:t>Collection/category setup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[#]</w:t>
            </w:r>
            <w:r>
              <w:t xml:space="preserve"> collections</w:t>
            </w:r>
          </w:p>
        </w:tc>
      </w:tr>
      <w:tr>
        <w:tc>
          <w:tcPr>
            <w:tcW w:type="dxa" w:w="4680"/>
          </w:tcPr>
          <w:p>
            <w:r/>
            <w:r>
              <w:t>Policy pages</w:t>
            </w:r>
          </w:p>
        </w:tc>
        <w:tc>
          <w:tcPr>
            <w:tcW w:type="dxa" w:w="4680"/>
          </w:tcPr>
          <w:p>
            <w:r/>
            <w:r>
              <w:t>Shipping, Returns, Privacy</w:t>
            </w:r>
          </w:p>
        </w:tc>
      </w:tr>
      <w:tr>
        <w:tc>
          <w:tcPr>
            <w:tcW w:type="dxa" w:w="4680"/>
          </w:tcPr>
          <w:p>
            <w:r/>
            <w:r>
              <w:t>Email notifications</w:t>
            </w:r>
          </w:p>
        </w:tc>
        <w:tc>
          <w:tcPr>
            <w:tcW w:type="dxa" w:w="4680"/>
          </w:tcPr>
          <w:p>
            <w:r/>
            <w:r>
              <w:t>Standard platform order emails</w:t>
            </w:r>
          </w:p>
        </w:tc>
      </w:tr>
      <w:tr>
        <w:tc>
          <w:tcPr>
            <w:tcW w:type="dxa" w:w="4680"/>
          </w:tcPr>
          <w:p>
            <w:r/>
            <w:r>
              <w:t>Custom features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[LIST OR “NONE”]</w:t>
            </w:r>
          </w:p>
        </w:tc>
      </w:tr>
    </w:tbl>
    <w:p>
      <w:r>
        <w:rPr>
          <w:b/>
        </w:rPr>
        <w:t>Monthly catalog allowance:</w:t>
      </w:r>
      <w:r>
        <w:t xml:space="preserve"> </w:t>
      </w:r>
      <w:r>
        <w:rPr>
          <w:rFonts w:ascii="Consolas" w:hAnsi="Consolas"/>
          <w:sz w:val="20"/>
        </w:rPr>
        <w:t>[e.g. 20 SKU updates/mo or 3 hours/mo — specify]</w:t>
      </w:r>
    </w:p>
    <w:p>
      <w:r>
        <w:rPr>
          <w:b/>
        </w:rPr>
        <w:t>Out-of-scope hourly rate:</w:t>
      </w:r>
      <w:r>
        <w:t xml:space="preserve"> </w:t>
      </w:r>
      <w:r>
        <w:rPr>
          <w:rFonts w:ascii="Consolas" w:hAnsi="Consolas"/>
          <w:sz w:val="20"/>
        </w:rPr>
        <w:t>$[RATE]/hr</w:t>
      </w:r>
    </w:p>
    <w:p>
      <w:pPr>
        <w:pStyle w:val="Heading3"/>
      </w:pPr>
      <w:r>
        <w:t>Exhibit B — Milestone &amp;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Milestone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Payment</w:t>
            </w:r>
          </w:p>
        </w:tc>
      </w:tr>
      <w:tr>
        <w:tc>
          <w:tcPr>
            <w:tcW w:type="dxa" w:w="3120"/>
          </w:tcPr>
          <w:p>
            <w:r/>
            <w:r>
              <w:t>Signing</w:t>
            </w:r>
          </w:p>
        </w:tc>
        <w:tc>
          <w:tcPr>
            <w:tcW w:type="dxa" w:w="3120"/>
          </w:tcPr>
          <w:p>
            <w:r/>
            <w:r>
              <w:t>Agreement executed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$[DEPOSIT]</w:t>
            </w:r>
          </w:p>
        </w:tc>
      </w:tr>
      <w:tr>
        <w:tc>
          <w:tcPr>
            <w:tcW w:type="dxa" w:w="3120"/>
          </w:tcPr>
          <w:p>
            <w:r/>
            <w:r>
              <w:t>Design approval</w:t>
            </w:r>
          </w:p>
        </w:tc>
        <w:tc>
          <w:tcPr>
            <w:tcW w:type="dxa" w:w="3120"/>
          </w:tcPr>
          <w:p>
            <w:r/>
            <w:r>
              <w:t>Mockups approved by Client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$[OPTIONAL]</w:t>
            </w:r>
          </w:p>
        </w:tc>
      </w:tr>
      <w:tr>
        <w:tc>
          <w:tcPr>
            <w:tcW w:type="dxa" w:w="3120"/>
          </w:tcPr>
          <w:p>
            <w:r/>
            <w:r>
              <w:t>Pre-launch</w:t>
            </w:r>
          </w:p>
        </w:tc>
        <w:tc>
          <w:tcPr>
            <w:tcW w:type="dxa" w:w="3120"/>
          </w:tcPr>
          <w:p>
            <w:r/>
            <w:r>
              <w:t>Store ready for Client UAT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$[BALANCE]</w:t>
            </w:r>
          </w:p>
        </w:tc>
      </w:tr>
      <w:tr>
        <w:tc>
          <w:tcPr>
            <w:tcW w:type="dxa" w:w="3120"/>
          </w:tcPr>
          <w:p>
            <w:r/>
            <w:r>
              <w:t>Launch</w:t>
            </w:r>
          </w:p>
        </w:tc>
        <w:tc>
          <w:tcPr>
            <w:tcW w:type="dxa" w:w="3120"/>
          </w:tcPr>
          <w:p>
            <w:r/>
            <w:r>
              <w:t xml:space="preserve">Store live on </w:t>
            </w:r>
            <w:r>
              <w:rPr>
                <w:rFonts w:ascii="Consolas" w:hAnsi="Consolas"/>
                <w:sz w:val="20"/>
              </w:rPr>
              <w:t>[DOMAIN]</w:t>
            </w:r>
          </w:p>
        </w:tc>
        <w:tc>
          <w:tcPr>
            <w:tcW w:type="dxa" w:w="3120"/>
          </w:tcPr>
          <w:p>
            <w:r/>
            <w:r>
              <w:t>Monthly billing begins</w:t>
            </w:r>
          </w:p>
        </w:tc>
      </w:tr>
    </w:tbl>
    <w:p>
      <w:pPr>
        <w:pStyle w:val="Heading3"/>
      </w:pPr>
      <w:r>
        <w:t>Exhibit C — Client Accounts (Provider access)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Account email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</w:tr>
      <w:tr>
        <w:tc>
          <w:tcPr>
            <w:tcW w:type="dxa" w:w="3120"/>
          </w:tcPr>
          <w:p>
            <w:r/>
            <w:r>
              <w:t>Store admin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[EMAIL]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[STAFF / ADMIN]</w:t>
            </w:r>
          </w:p>
        </w:tc>
      </w:tr>
      <w:tr>
        <w:tc>
          <w:tcPr>
            <w:tcW w:type="dxa" w:w="3120"/>
          </w:tcPr>
          <w:p>
            <w:r/>
            <w:r>
              <w:t>Payment processor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[EMAIL]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[ROLE]</w:t>
            </w:r>
          </w:p>
        </w:tc>
      </w:tr>
      <w:tr>
        <w:tc>
          <w:tcPr>
            <w:tcW w:type="dxa" w:w="3120"/>
          </w:tcPr>
          <w:p>
            <w:r/>
            <w:r>
              <w:t>Domain registrar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[REGISTRAR]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[DNS ONLY / FULL]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