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87C55" w14:textId="5230602C" w:rsidR="0042381C" w:rsidRDefault="003A3F8A" w:rsidP="00233E9F">
      <w:pPr>
        <w:jc w:val="center"/>
        <w:rPr>
          <w:b/>
          <w:sz w:val="40"/>
          <w:u w:val="single"/>
        </w:rPr>
      </w:pPr>
      <w:r w:rsidRPr="00233E9F">
        <w:rPr>
          <w:b/>
          <w:sz w:val="40"/>
          <w:u w:val="single"/>
        </w:rPr>
        <w:t>M</w:t>
      </w:r>
      <w:bookmarkStart w:id="0" w:name="_Toc43459249"/>
      <w:r w:rsidRPr="00233E9F">
        <w:rPr>
          <w:b/>
          <w:sz w:val="40"/>
          <w:u w:val="single"/>
        </w:rPr>
        <w:t xml:space="preserve">ethodology for the </w:t>
      </w:r>
      <w:bookmarkEnd w:id="0"/>
      <w:r w:rsidRPr="00233E9F">
        <w:rPr>
          <w:b/>
          <w:sz w:val="40"/>
          <w:u w:val="single"/>
        </w:rPr>
        <w:t>UNDP Fragility Model</w:t>
      </w:r>
    </w:p>
    <w:p w14:paraId="2F8589D8" w14:textId="03238990" w:rsidR="00233E9F" w:rsidRDefault="00233E9F" w:rsidP="00233E9F">
      <w:pPr>
        <w:jc w:val="center"/>
        <w:rPr>
          <w:sz w:val="20"/>
        </w:rPr>
      </w:pPr>
      <w:r w:rsidRPr="00233E9F">
        <w:rPr>
          <w:sz w:val="20"/>
        </w:rPr>
        <w:t>Dr David Hammond</w:t>
      </w:r>
      <w:r>
        <w:rPr>
          <w:sz w:val="20"/>
        </w:rPr>
        <w:t xml:space="preserve">, </w:t>
      </w:r>
      <w:r w:rsidRPr="00233E9F">
        <w:rPr>
          <w:sz w:val="20"/>
        </w:rPr>
        <w:t>Director of Research</w:t>
      </w:r>
      <w:r>
        <w:rPr>
          <w:sz w:val="20"/>
        </w:rPr>
        <w:t xml:space="preserve">, </w:t>
      </w:r>
      <w:r w:rsidRPr="00233E9F">
        <w:rPr>
          <w:sz w:val="20"/>
        </w:rPr>
        <w:t>Institute for Economics and Peace</w:t>
      </w:r>
    </w:p>
    <w:p w14:paraId="0560FACF" w14:textId="50DE5753" w:rsidR="00FE4DA9" w:rsidRDefault="00FE4DA9" w:rsidP="00233E9F">
      <w:pPr>
        <w:jc w:val="center"/>
        <w:rPr>
          <w:sz w:val="20"/>
        </w:rPr>
      </w:pPr>
      <w:r>
        <w:rPr>
          <w:sz w:val="20"/>
        </w:rPr>
        <w:t>Alex Vedovi, Research Fellow, Institute for Economics and Peace</w:t>
      </w:r>
    </w:p>
    <w:p w14:paraId="78EE6312" w14:textId="326A6F71" w:rsidR="00470354" w:rsidRPr="00222189" w:rsidRDefault="00A61AE6" w:rsidP="00222189">
      <w:pPr>
        <w:pStyle w:val="NormalWeb"/>
        <w:jc w:val="center"/>
        <w:rPr>
          <w:rFonts w:asciiTheme="minorHAnsi" w:hAnsiTheme="minorHAnsi" w:cstheme="minorHAnsi"/>
          <w:sz w:val="20"/>
        </w:rPr>
      </w:pPr>
      <w:r>
        <w:rPr>
          <w:rFonts w:asciiTheme="minorHAnsi" w:hAnsiTheme="minorHAnsi" w:cstheme="minorHAnsi"/>
          <w:sz w:val="20"/>
        </w:rPr>
        <w:t>Thursday, 24 June 2021</w:t>
      </w:r>
    </w:p>
    <w:bookmarkStart w:id="1" w:name="_Toc75438745" w:displacedByCustomXml="next"/>
    <w:sdt>
      <w:sdtPr>
        <w:rPr>
          <w:rFonts w:asciiTheme="minorHAnsi" w:eastAsiaTheme="minorHAnsi" w:hAnsiTheme="minorHAnsi" w:cstheme="minorBidi"/>
          <w:color w:val="auto"/>
          <w:sz w:val="22"/>
          <w:szCs w:val="22"/>
          <w:lang w:val="en-GB"/>
        </w:rPr>
        <w:id w:val="1818987654"/>
        <w:docPartObj>
          <w:docPartGallery w:val="Table of Contents"/>
          <w:docPartUnique/>
        </w:docPartObj>
      </w:sdtPr>
      <w:sdtEndPr>
        <w:rPr>
          <w:b/>
          <w:bCs/>
          <w:noProof/>
        </w:rPr>
      </w:sdtEndPr>
      <w:sdtContent>
        <w:p w14:paraId="5D1769A3" w14:textId="3B6DA8B8" w:rsidR="00534E53" w:rsidRDefault="00534E53">
          <w:pPr>
            <w:pStyle w:val="TOCHeading"/>
          </w:pPr>
          <w:r>
            <w:t>Contents</w:t>
          </w:r>
          <w:bookmarkEnd w:id="1"/>
        </w:p>
        <w:p w14:paraId="5775F8E7" w14:textId="435F5701" w:rsidR="00A61AE6" w:rsidRDefault="00534E53">
          <w:pPr>
            <w:pStyle w:val="TOC1"/>
            <w:tabs>
              <w:tab w:val="right" w:leader="dot" w:pos="9016"/>
            </w:tabs>
            <w:rPr>
              <w:rFonts w:eastAsiaTheme="minorEastAsia"/>
              <w:noProof/>
              <w:lang w:val="en-AU" w:eastAsia="en-AU"/>
            </w:rPr>
          </w:pPr>
          <w:r w:rsidRPr="004D7E7C">
            <w:rPr>
              <w:sz w:val="20"/>
              <w:szCs w:val="20"/>
            </w:rPr>
            <w:fldChar w:fldCharType="begin"/>
          </w:r>
          <w:r w:rsidRPr="004D7E7C">
            <w:rPr>
              <w:sz w:val="20"/>
              <w:szCs w:val="20"/>
            </w:rPr>
            <w:instrText xml:space="preserve"> TOC \o "1-3" \h \z \u </w:instrText>
          </w:r>
          <w:r w:rsidRPr="004D7E7C">
            <w:rPr>
              <w:sz w:val="20"/>
              <w:szCs w:val="20"/>
            </w:rPr>
            <w:fldChar w:fldCharType="separate"/>
          </w:r>
          <w:hyperlink w:anchor="_Toc75438745" w:history="1">
            <w:r w:rsidR="00A61AE6" w:rsidRPr="009920D4">
              <w:rPr>
                <w:rStyle w:val="Hyperlink"/>
                <w:noProof/>
              </w:rPr>
              <w:t>Contents</w:t>
            </w:r>
            <w:r w:rsidR="00A61AE6">
              <w:rPr>
                <w:noProof/>
                <w:webHidden/>
              </w:rPr>
              <w:tab/>
            </w:r>
            <w:r w:rsidR="00A61AE6">
              <w:rPr>
                <w:noProof/>
                <w:webHidden/>
              </w:rPr>
              <w:fldChar w:fldCharType="begin"/>
            </w:r>
            <w:r w:rsidR="00A61AE6">
              <w:rPr>
                <w:noProof/>
                <w:webHidden/>
              </w:rPr>
              <w:instrText xml:space="preserve"> PAGEREF _Toc75438745 \h </w:instrText>
            </w:r>
            <w:r w:rsidR="00A61AE6">
              <w:rPr>
                <w:noProof/>
                <w:webHidden/>
              </w:rPr>
            </w:r>
            <w:r w:rsidR="00A61AE6">
              <w:rPr>
                <w:noProof/>
                <w:webHidden/>
              </w:rPr>
              <w:fldChar w:fldCharType="separate"/>
            </w:r>
            <w:r w:rsidR="00A61AE6">
              <w:rPr>
                <w:noProof/>
                <w:webHidden/>
              </w:rPr>
              <w:t>1</w:t>
            </w:r>
            <w:r w:rsidR="00A61AE6">
              <w:rPr>
                <w:noProof/>
                <w:webHidden/>
              </w:rPr>
              <w:fldChar w:fldCharType="end"/>
            </w:r>
          </w:hyperlink>
        </w:p>
        <w:p w14:paraId="63DA8D82" w14:textId="3A959281" w:rsidR="00A61AE6" w:rsidRDefault="00427065">
          <w:pPr>
            <w:pStyle w:val="TOC1"/>
            <w:tabs>
              <w:tab w:val="right" w:leader="dot" w:pos="9016"/>
            </w:tabs>
            <w:rPr>
              <w:rFonts w:eastAsiaTheme="minorEastAsia"/>
              <w:noProof/>
              <w:lang w:val="en-AU" w:eastAsia="en-AU"/>
            </w:rPr>
          </w:pPr>
          <w:hyperlink w:anchor="_Toc75438746" w:history="1">
            <w:r w:rsidR="00A61AE6" w:rsidRPr="009920D4">
              <w:rPr>
                <w:rStyle w:val="Hyperlink"/>
                <w:rFonts w:cstheme="minorHAnsi"/>
                <w:noProof/>
              </w:rPr>
              <w:t>Background</w:t>
            </w:r>
            <w:r w:rsidR="00A61AE6">
              <w:rPr>
                <w:noProof/>
                <w:webHidden/>
              </w:rPr>
              <w:tab/>
            </w:r>
            <w:r w:rsidR="00A61AE6">
              <w:rPr>
                <w:noProof/>
                <w:webHidden/>
              </w:rPr>
              <w:fldChar w:fldCharType="begin"/>
            </w:r>
            <w:r w:rsidR="00A61AE6">
              <w:rPr>
                <w:noProof/>
                <w:webHidden/>
              </w:rPr>
              <w:instrText xml:space="preserve"> PAGEREF _Toc75438746 \h </w:instrText>
            </w:r>
            <w:r w:rsidR="00A61AE6">
              <w:rPr>
                <w:noProof/>
                <w:webHidden/>
              </w:rPr>
            </w:r>
            <w:r w:rsidR="00A61AE6">
              <w:rPr>
                <w:noProof/>
                <w:webHidden/>
              </w:rPr>
              <w:fldChar w:fldCharType="separate"/>
            </w:r>
            <w:r w:rsidR="00A61AE6">
              <w:rPr>
                <w:noProof/>
                <w:webHidden/>
              </w:rPr>
              <w:t>2</w:t>
            </w:r>
            <w:r w:rsidR="00A61AE6">
              <w:rPr>
                <w:noProof/>
                <w:webHidden/>
              </w:rPr>
              <w:fldChar w:fldCharType="end"/>
            </w:r>
          </w:hyperlink>
        </w:p>
        <w:p w14:paraId="52739B07" w14:textId="019DE321" w:rsidR="00A61AE6" w:rsidRDefault="00427065">
          <w:pPr>
            <w:pStyle w:val="TOC1"/>
            <w:tabs>
              <w:tab w:val="right" w:leader="dot" w:pos="9016"/>
            </w:tabs>
            <w:rPr>
              <w:rFonts w:eastAsiaTheme="minorEastAsia"/>
              <w:noProof/>
              <w:lang w:val="en-AU" w:eastAsia="en-AU"/>
            </w:rPr>
          </w:pPr>
          <w:hyperlink w:anchor="_Toc75438747" w:history="1">
            <w:r w:rsidR="00A61AE6" w:rsidRPr="009920D4">
              <w:rPr>
                <w:rStyle w:val="Hyperlink"/>
                <w:rFonts w:cstheme="minorHAnsi"/>
                <w:noProof/>
              </w:rPr>
              <w:t>Next Steps for the UNDP-FM</w:t>
            </w:r>
            <w:r w:rsidR="00A61AE6">
              <w:rPr>
                <w:noProof/>
                <w:webHidden/>
              </w:rPr>
              <w:tab/>
            </w:r>
            <w:r w:rsidR="00A61AE6">
              <w:rPr>
                <w:noProof/>
                <w:webHidden/>
              </w:rPr>
              <w:fldChar w:fldCharType="begin"/>
            </w:r>
            <w:r w:rsidR="00A61AE6">
              <w:rPr>
                <w:noProof/>
                <w:webHidden/>
              </w:rPr>
              <w:instrText xml:space="preserve"> PAGEREF _Toc75438747 \h </w:instrText>
            </w:r>
            <w:r w:rsidR="00A61AE6">
              <w:rPr>
                <w:noProof/>
                <w:webHidden/>
              </w:rPr>
            </w:r>
            <w:r w:rsidR="00A61AE6">
              <w:rPr>
                <w:noProof/>
                <w:webHidden/>
              </w:rPr>
              <w:fldChar w:fldCharType="separate"/>
            </w:r>
            <w:r w:rsidR="00A61AE6">
              <w:rPr>
                <w:noProof/>
                <w:webHidden/>
              </w:rPr>
              <w:t>2</w:t>
            </w:r>
            <w:r w:rsidR="00A61AE6">
              <w:rPr>
                <w:noProof/>
                <w:webHidden/>
              </w:rPr>
              <w:fldChar w:fldCharType="end"/>
            </w:r>
          </w:hyperlink>
        </w:p>
        <w:p w14:paraId="380F3D7A" w14:textId="25847BE0" w:rsidR="00A61AE6" w:rsidRDefault="00427065">
          <w:pPr>
            <w:pStyle w:val="TOC1"/>
            <w:tabs>
              <w:tab w:val="right" w:leader="dot" w:pos="9016"/>
            </w:tabs>
            <w:rPr>
              <w:rFonts w:eastAsiaTheme="minorEastAsia"/>
              <w:noProof/>
              <w:lang w:val="en-AU" w:eastAsia="en-AU"/>
            </w:rPr>
          </w:pPr>
          <w:hyperlink w:anchor="_Toc75438748" w:history="1">
            <w:r w:rsidR="00A61AE6" w:rsidRPr="009920D4">
              <w:rPr>
                <w:rStyle w:val="Hyperlink"/>
                <w:rFonts w:cstheme="minorHAnsi"/>
                <w:noProof/>
              </w:rPr>
              <w:t>Building the Pilot UNDP-FM</w:t>
            </w:r>
            <w:r w:rsidR="00A61AE6">
              <w:rPr>
                <w:noProof/>
                <w:webHidden/>
              </w:rPr>
              <w:tab/>
            </w:r>
            <w:r w:rsidR="00A61AE6">
              <w:rPr>
                <w:noProof/>
                <w:webHidden/>
              </w:rPr>
              <w:fldChar w:fldCharType="begin"/>
            </w:r>
            <w:r w:rsidR="00A61AE6">
              <w:rPr>
                <w:noProof/>
                <w:webHidden/>
              </w:rPr>
              <w:instrText xml:space="preserve"> PAGEREF _Toc75438748 \h </w:instrText>
            </w:r>
            <w:r w:rsidR="00A61AE6">
              <w:rPr>
                <w:noProof/>
                <w:webHidden/>
              </w:rPr>
            </w:r>
            <w:r w:rsidR="00A61AE6">
              <w:rPr>
                <w:noProof/>
                <w:webHidden/>
              </w:rPr>
              <w:fldChar w:fldCharType="separate"/>
            </w:r>
            <w:r w:rsidR="00A61AE6">
              <w:rPr>
                <w:noProof/>
                <w:webHidden/>
              </w:rPr>
              <w:t>4</w:t>
            </w:r>
            <w:r w:rsidR="00A61AE6">
              <w:rPr>
                <w:noProof/>
                <w:webHidden/>
              </w:rPr>
              <w:fldChar w:fldCharType="end"/>
            </w:r>
          </w:hyperlink>
        </w:p>
        <w:p w14:paraId="3BB6344F" w14:textId="6234A840" w:rsidR="00A61AE6" w:rsidRDefault="00427065">
          <w:pPr>
            <w:pStyle w:val="TOC2"/>
            <w:tabs>
              <w:tab w:val="right" w:leader="dot" w:pos="9016"/>
            </w:tabs>
            <w:rPr>
              <w:rFonts w:eastAsiaTheme="minorEastAsia"/>
              <w:noProof/>
              <w:lang w:val="en-AU" w:eastAsia="en-AU"/>
            </w:rPr>
          </w:pPr>
          <w:hyperlink w:anchor="_Toc75438749" w:history="1">
            <w:r w:rsidR="00A61AE6" w:rsidRPr="009920D4">
              <w:rPr>
                <w:rStyle w:val="Hyperlink"/>
                <w:rFonts w:cstheme="minorHAnsi"/>
                <w:noProof/>
              </w:rPr>
              <w:t>Sourcing and Collecting Raw Data</w:t>
            </w:r>
            <w:r w:rsidR="00A61AE6">
              <w:rPr>
                <w:noProof/>
                <w:webHidden/>
              </w:rPr>
              <w:tab/>
            </w:r>
            <w:r w:rsidR="00A61AE6">
              <w:rPr>
                <w:noProof/>
                <w:webHidden/>
              </w:rPr>
              <w:fldChar w:fldCharType="begin"/>
            </w:r>
            <w:r w:rsidR="00A61AE6">
              <w:rPr>
                <w:noProof/>
                <w:webHidden/>
              </w:rPr>
              <w:instrText xml:space="preserve"> PAGEREF _Toc75438749 \h </w:instrText>
            </w:r>
            <w:r w:rsidR="00A61AE6">
              <w:rPr>
                <w:noProof/>
                <w:webHidden/>
              </w:rPr>
            </w:r>
            <w:r w:rsidR="00A61AE6">
              <w:rPr>
                <w:noProof/>
                <w:webHidden/>
              </w:rPr>
              <w:fldChar w:fldCharType="separate"/>
            </w:r>
            <w:r w:rsidR="00A61AE6">
              <w:rPr>
                <w:noProof/>
                <w:webHidden/>
              </w:rPr>
              <w:t>4</w:t>
            </w:r>
            <w:r w:rsidR="00A61AE6">
              <w:rPr>
                <w:noProof/>
                <w:webHidden/>
              </w:rPr>
              <w:fldChar w:fldCharType="end"/>
            </w:r>
          </w:hyperlink>
        </w:p>
        <w:p w14:paraId="58017D02" w14:textId="07F03420" w:rsidR="00A61AE6" w:rsidRDefault="00427065">
          <w:pPr>
            <w:pStyle w:val="TOC1"/>
            <w:tabs>
              <w:tab w:val="right" w:leader="dot" w:pos="9016"/>
            </w:tabs>
            <w:rPr>
              <w:rFonts w:eastAsiaTheme="minorEastAsia"/>
              <w:noProof/>
              <w:lang w:val="en-AU" w:eastAsia="en-AU"/>
            </w:rPr>
          </w:pPr>
          <w:hyperlink w:anchor="_Toc75438750" w:history="1">
            <w:r w:rsidR="00A61AE6" w:rsidRPr="009920D4">
              <w:rPr>
                <w:rStyle w:val="Hyperlink"/>
                <w:noProof/>
              </w:rPr>
              <w:t>Indicator Descriptions</w:t>
            </w:r>
            <w:r w:rsidR="00A61AE6">
              <w:rPr>
                <w:noProof/>
                <w:webHidden/>
              </w:rPr>
              <w:tab/>
            </w:r>
            <w:r w:rsidR="00A61AE6">
              <w:rPr>
                <w:noProof/>
                <w:webHidden/>
              </w:rPr>
              <w:fldChar w:fldCharType="begin"/>
            </w:r>
            <w:r w:rsidR="00A61AE6">
              <w:rPr>
                <w:noProof/>
                <w:webHidden/>
              </w:rPr>
              <w:instrText xml:space="preserve"> PAGEREF _Toc75438750 \h </w:instrText>
            </w:r>
            <w:r w:rsidR="00A61AE6">
              <w:rPr>
                <w:noProof/>
                <w:webHidden/>
              </w:rPr>
            </w:r>
            <w:r w:rsidR="00A61AE6">
              <w:rPr>
                <w:noProof/>
                <w:webHidden/>
              </w:rPr>
              <w:fldChar w:fldCharType="separate"/>
            </w:r>
            <w:r w:rsidR="00A61AE6">
              <w:rPr>
                <w:noProof/>
                <w:webHidden/>
              </w:rPr>
              <w:t>6</w:t>
            </w:r>
            <w:r w:rsidR="00A61AE6">
              <w:rPr>
                <w:noProof/>
                <w:webHidden/>
              </w:rPr>
              <w:fldChar w:fldCharType="end"/>
            </w:r>
          </w:hyperlink>
        </w:p>
        <w:p w14:paraId="4C25AC6A" w14:textId="73183744" w:rsidR="00A61AE6" w:rsidRDefault="00427065">
          <w:pPr>
            <w:pStyle w:val="TOC2"/>
            <w:tabs>
              <w:tab w:val="right" w:leader="dot" w:pos="9016"/>
            </w:tabs>
            <w:rPr>
              <w:rFonts w:eastAsiaTheme="minorEastAsia"/>
              <w:noProof/>
              <w:lang w:val="en-AU" w:eastAsia="en-AU"/>
            </w:rPr>
          </w:pPr>
          <w:hyperlink w:anchor="_Toc75438751" w:history="1">
            <w:r w:rsidR="00A61AE6" w:rsidRPr="009920D4">
              <w:rPr>
                <w:rStyle w:val="Hyperlink"/>
                <w:rFonts w:cstheme="minorHAnsi"/>
                <w:noProof/>
              </w:rPr>
              <w:t>People Domain</w:t>
            </w:r>
            <w:r w:rsidR="00A61AE6">
              <w:rPr>
                <w:noProof/>
                <w:webHidden/>
              </w:rPr>
              <w:tab/>
            </w:r>
            <w:r w:rsidR="00A61AE6">
              <w:rPr>
                <w:noProof/>
                <w:webHidden/>
              </w:rPr>
              <w:fldChar w:fldCharType="begin"/>
            </w:r>
            <w:r w:rsidR="00A61AE6">
              <w:rPr>
                <w:noProof/>
                <w:webHidden/>
              </w:rPr>
              <w:instrText xml:space="preserve"> PAGEREF _Toc75438751 \h </w:instrText>
            </w:r>
            <w:r w:rsidR="00A61AE6">
              <w:rPr>
                <w:noProof/>
                <w:webHidden/>
              </w:rPr>
            </w:r>
            <w:r w:rsidR="00A61AE6">
              <w:rPr>
                <w:noProof/>
                <w:webHidden/>
              </w:rPr>
              <w:fldChar w:fldCharType="separate"/>
            </w:r>
            <w:r w:rsidR="00A61AE6">
              <w:rPr>
                <w:noProof/>
                <w:webHidden/>
              </w:rPr>
              <w:t>6</w:t>
            </w:r>
            <w:r w:rsidR="00A61AE6">
              <w:rPr>
                <w:noProof/>
                <w:webHidden/>
              </w:rPr>
              <w:fldChar w:fldCharType="end"/>
            </w:r>
          </w:hyperlink>
        </w:p>
        <w:p w14:paraId="5C542D8E" w14:textId="1BB97B38" w:rsidR="00A61AE6" w:rsidRDefault="00427065">
          <w:pPr>
            <w:pStyle w:val="TOC3"/>
            <w:rPr>
              <w:rFonts w:eastAsiaTheme="minorEastAsia"/>
              <w:noProof/>
              <w:lang w:val="en-AU" w:eastAsia="en-AU"/>
            </w:rPr>
          </w:pPr>
          <w:hyperlink w:anchor="_Toc75438752" w:history="1">
            <w:r w:rsidR="00A61AE6" w:rsidRPr="009920D4">
              <w:rPr>
                <w:rStyle w:val="Hyperlink"/>
                <w:rFonts w:cstheme="minorHAnsi"/>
                <w:noProof/>
              </w:rPr>
              <w:t>Broken Social Contract</w:t>
            </w:r>
            <w:r w:rsidR="00A61AE6">
              <w:rPr>
                <w:noProof/>
                <w:webHidden/>
              </w:rPr>
              <w:tab/>
            </w:r>
            <w:r w:rsidR="00A61AE6">
              <w:rPr>
                <w:noProof/>
                <w:webHidden/>
              </w:rPr>
              <w:fldChar w:fldCharType="begin"/>
            </w:r>
            <w:r w:rsidR="00A61AE6">
              <w:rPr>
                <w:noProof/>
                <w:webHidden/>
              </w:rPr>
              <w:instrText xml:space="preserve"> PAGEREF _Toc75438752 \h </w:instrText>
            </w:r>
            <w:r w:rsidR="00A61AE6">
              <w:rPr>
                <w:noProof/>
                <w:webHidden/>
              </w:rPr>
            </w:r>
            <w:r w:rsidR="00A61AE6">
              <w:rPr>
                <w:noProof/>
                <w:webHidden/>
              </w:rPr>
              <w:fldChar w:fldCharType="separate"/>
            </w:r>
            <w:r w:rsidR="00A61AE6">
              <w:rPr>
                <w:noProof/>
                <w:webHidden/>
              </w:rPr>
              <w:t>7</w:t>
            </w:r>
            <w:r w:rsidR="00A61AE6">
              <w:rPr>
                <w:noProof/>
                <w:webHidden/>
              </w:rPr>
              <w:fldChar w:fldCharType="end"/>
            </w:r>
          </w:hyperlink>
        </w:p>
        <w:p w14:paraId="246492A1" w14:textId="3CAC3ECC" w:rsidR="00A61AE6" w:rsidRDefault="00427065">
          <w:pPr>
            <w:pStyle w:val="TOC3"/>
            <w:rPr>
              <w:rFonts w:eastAsiaTheme="minorEastAsia"/>
              <w:noProof/>
              <w:lang w:val="en-AU" w:eastAsia="en-AU"/>
            </w:rPr>
          </w:pPr>
          <w:hyperlink w:anchor="_Toc75438753" w:history="1">
            <w:r w:rsidR="00A61AE6" w:rsidRPr="009920D4">
              <w:rPr>
                <w:rStyle w:val="Hyperlink"/>
                <w:rFonts w:cstheme="minorHAnsi"/>
                <w:noProof/>
              </w:rPr>
              <w:t>Economic Inequality</w:t>
            </w:r>
            <w:r w:rsidR="00A61AE6">
              <w:rPr>
                <w:noProof/>
                <w:webHidden/>
              </w:rPr>
              <w:tab/>
            </w:r>
            <w:r w:rsidR="00A61AE6">
              <w:rPr>
                <w:noProof/>
                <w:webHidden/>
              </w:rPr>
              <w:fldChar w:fldCharType="begin"/>
            </w:r>
            <w:r w:rsidR="00A61AE6">
              <w:rPr>
                <w:noProof/>
                <w:webHidden/>
              </w:rPr>
              <w:instrText xml:space="preserve"> PAGEREF _Toc75438753 \h </w:instrText>
            </w:r>
            <w:r w:rsidR="00A61AE6">
              <w:rPr>
                <w:noProof/>
                <w:webHidden/>
              </w:rPr>
            </w:r>
            <w:r w:rsidR="00A61AE6">
              <w:rPr>
                <w:noProof/>
                <w:webHidden/>
              </w:rPr>
              <w:fldChar w:fldCharType="separate"/>
            </w:r>
            <w:r w:rsidR="00A61AE6">
              <w:rPr>
                <w:noProof/>
                <w:webHidden/>
              </w:rPr>
              <w:t>7</w:t>
            </w:r>
            <w:r w:rsidR="00A61AE6">
              <w:rPr>
                <w:noProof/>
                <w:webHidden/>
              </w:rPr>
              <w:fldChar w:fldCharType="end"/>
            </w:r>
          </w:hyperlink>
        </w:p>
        <w:p w14:paraId="4159EF7F" w14:textId="38B186AD" w:rsidR="00A61AE6" w:rsidRDefault="00427065">
          <w:pPr>
            <w:pStyle w:val="TOC3"/>
            <w:rPr>
              <w:rFonts w:eastAsiaTheme="minorEastAsia"/>
              <w:noProof/>
              <w:lang w:val="en-AU" w:eastAsia="en-AU"/>
            </w:rPr>
          </w:pPr>
          <w:hyperlink w:anchor="_Toc75438754" w:history="1">
            <w:r w:rsidR="00A61AE6" w:rsidRPr="009920D4">
              <w:rPr>
                <w:rStyle w:val="Hyperlink"/>
                <w:rFonts w:cstheme="minorHAnsi"/>
                <w:noProof/>
              </w:rPr>
              <w:t>Gender</w:t>
            </w:r>
            <w:r w:rsidR="00A61AE6">
              <w:rPr>
                <w:noProof/>
                <w:webHidden/>
              </w:rPr>
              <w:tab/>
            </w:r>
            <w:r w:rsidR="00A61AE6">
              <w:rPr>
                <w:noProof/>
                <w:webHidden/>
              </w:rPr>
              <w:fldChar w:fldCharType="begin"/>
            </w:r>
            <w:r w:rsidR="00A61AE6">
              <w:rPr>
                <w:noProof/>
                <w:webHidden/>
              </w:rPr>
              <w:instrText xml:space="preserve"> PAGEREF _Toc75438754 \h </w:instrText>
            </w:r>
            <w:r w:rsidR="00A61AE6">
              <w:rPr>
                <w:noProof/>
                <w:webHidden/>
              </w:rPr>
            </w:r>
            <w:r w:rsidR="00A61AE6">
              <w:rPr>
                <w:noProof/>
                <w:webHidden/>
              </w:rPr>
              <w:fldChar w:fldCharType="separate"/>
            </w:r>
            <w:r w:rsidR="00A61AE6">
              <w:rPr>
                <w:noProof/>
                <w:webHidden/>
              </w:rPr>
              <w:t>7</w:t>
            </w:r>
            <w:r w:rsidR="00A61AE6">
              <w:rPr>
                <w:noProof/>
                <w:webHidden/>
              </w:rPr>
              <w:fldChar w:fldCharType="end"/>
            </w:r>
          </w:hyperlink>
        </w:p>
        <w:p w14:paraId="3245C024" w14:textId="4CA7A76F" w:rsidR="00A61AE6" w:rsidRDefault="00427065">
          <w:pPr>
            <w:pStyle w:val="TOC3"/>
            <w:rPr>
              <w:rFonts w:eastAsiaTheme="minorEastAsia"/>
              <w:noProof/>
              <w:lang w:val="en-AU" w:eastAsia="en-AU"/>
            </w:rPr>
          </w:pPr>
          <w:hyperlink w:anchor="_Toc75438755" w:history="1">
            <w:r w:rsidR="00A61AE6" w:rsidRPr="009920D4">
              <w:rPr>
                <w:rStyle w:val="Hyperlink"/>
                <w:rFonts w:cstheme="minorHAnsi"/>
                <w:noProof/>
              </w:rPr>
              <w:t>Youth</w:t>
            </w:r>
            <w:r w:rsidR="00A61AE6">
              <w:rPr>
                <w:noProof/>
                <w:webHidden/>
              </w:rPr>
              <w:tab/>
            </w:r>
            <w:r w:rsidR="00A61AE6">
              <w:rPr>
                <w:noProof/>
                <w:webHidden/>
              </w:rPr>
              <w:fldChar w:fldCharType="begin"/>
            </w:r>
            <w:r w:rsidR="00A61AE6">
              <w:rPr>
                <w:noProof/>
                <w:webHidden/>
              </w:rPr>
              <w:instrText xml:space="preserve"> PAGEREF _Toc75438755 \h </w:instrText>
            </w:r>
            <w:r w:rsidR="00A61AE6">
              <w:rPr>
                <w:noProof/>
                <w:webHidden/>
              </w:rPr>
            </w:r>
            <w:r w:rsidR="00A61AE6">
              <w:rPr>
                <w:noProof/>
                <w:webHidden/>
              </w:rPr>
              <w:fldChar w:fldCharType="separate"/>
            </w:r>
            <w:r w:rsidR="00A61AE6">
              <w:rPr>
                <w:noProof/>
                <w:webHidden/>
              </w:rPr>
              <w:t>8</w:t>
            </w:r>
            <w:r w:rsidR="00A61AE6">
              <w:rPr>
                <w:noProof/>
                <w:webHidden/>
              </w:rPr>
              <w:fldChar w:fldCharType="end"/>
            </w:r>
          </w:hyperlink>
        </w:p>
        <w:p w14:paraId="38E8F939" w14:textId="67B96ACF" w:rsidR="00A61AE6" w:rsidRDefault="00427065">
          <w:pPr>
            <w:pStyle w:val="TOC3"/>
            <w:rPr>
              <w:rFonts w:eastAsiaTheme="minorEastAsia"/>
              <w:noProof/>
              <w:lang w:val="en-AU" w:eastAsia="en-AU"/>
            </w:rPr>
          </w:pPr>
          <w:hyperlink w:anchor="_Toc75438756" w:history="1">
            <w:r w:rsidR="00A61AE6" w:rsidRPr="009920D4">
              <w:rPr>
                <w:rStyle w:val="Hyperlink"/>
                <w:rFonts w:cstheme="minorHAnsi"/>
                <w:noProof/>
              </w:rPr>
              <w:t>Crisis Recovery</w:t>
            </w:r>
            <w:r w:rsidR="00A61AE6">
              <w:rPr>
                <w:noProof/>
                <w:webHidden/>
              </w:rPr>
              <w:tab/>
            </w:r>
            <w:r w:rsidR="00A61AE6">
              <w:rPr>
                <w:noProof/>
                <w:webHidden/>
              </w:rPr>
              <w:fldChar w:fldCharType="begin"/>
            </w:r>
            <w:r w:rsidR="00A61AE6">
              <w:rPr>
                <w:noProof/>
                <w:webHidden/>
              </w:rPr>
              <w:instrText xml:space="preserve"> PAGEREF _Toc75438756 \h </w:instrText>
            </w:r>
            <w:r w:rsidR="00A61AE6">
              <w:rPr>
                <w:noProof/>
                <w:webHidden/>
              </w:rPr>
            </w:r>
            <w:r w:rsidR="00A61AE6">
              <w:rPr>
                <w:noProof/>
                <w:webHidden/>
              </w:rPr>
              <w:fldChar w:fldCharType="separate"/>
            </w:r>
            <w:r w:rsidR="00A61AE6">
              <w:rPr>
                <w:noProof/>
                <w:webHidden/>
              </w:rPr>
              <w:t>8</w:t>
            </w:r>
            <w:r w:rsidR="00A61AE6">
              <w:rPr>
                <w:noProof/>
                <w:webHidden/>
              </w:rPr>
              <w:fldChar w:fldCharType="end"/>
            </w:r>
          </w:hyperlink>
        </w:p>
        <w:p w14:paraId="5CADD8DF" w14:textId="597E087E" w:rsidR="00A61AE6" w:rsidRDefault="00427065">
          <w:pPr>
            <w:pStyle w:val="TOC3"/>
            <w:rPr>
              <w:rFonts w:eastAsiaTheme="minorEastAsia"/>
              <w:noProof/>
              <w:lang w:val="en-AU" w:eastAsia="en-AU"/>
            </w:rPr>
          </w:pPr>
          <w:hyperlink w:anchor="_Toc75438757" w:history="1">
            <w:r w:rsidR="00A61AE6" w:rsidRPr="009920D4">
              <w:rPr>
                <w:rStyle w:val="Hyperlink"/>
                <w:rFonts w:cstheme="minorHAnsi"/>
                <w:noProof/>
              </w:rPr>
              <w:t>Violence</w:t>
            </w:r>
            <w:r w:rsidR="00A61AE6">
              <w:rPr>
                <w:noProof/>
                <w:webHidden/>
              </w:rPr>
              <w:tab/>
            </w:r>
            <w:r w:rsidR="00A61AE6">
              <w:rPr>
                <w:noProof/>
                <w:webHidden/>
              </w:rPr>
              <w:fldChar w:fldCharType="begin"/>
            </w:r>
            <w:r w:rsidR="00A61AE6">
              <w:rPr>
                <w:noProof/>
                <w:webHidden/>
              </w:rPr>
              <w:instrText xml:space="preserve"> PAGEREF _Toc75438757 \h </w:instrText>
            </w:r>
            <w:r w:rsidR="00A61AE6">
              <w:rPr>
                <w:noProof/>
                <w:webHidden/>
              </w:rPr>
            </w:r>
            <w:r w:rsidR="00A61AE6">
              <w:rPr>
                <w:noProof/>
                <w:webHidden/>
              </w:rPr>
              <w:fldChar w:fldCharType="separate"/>
            </w:r>
            <w:r w:rsidR="00A61AE6">
              <w:rPr>
                <w:noProof/>
                <w:webHidden/>
              </w:rPr>
              <w:t>9</w:t>
            </w:r>
            <w:r w:rsidR="00A61AE6">
              <w:rPr>
                <w:noProof/>
                <w:webHidden/>
              </w:rPr>
              <w:fldChar w:fldCharType="end"/>
            </w:r>
          </w:hyperlink>
        </w:p>
        <w:p w14:paraId="1465C2B3" w14:textId="1E48F6BB" w:rsidR="00A61AE6" w:rsidRDefault="00427065">
          <w:pPr>
            <w:pStyle w:val="TOC3"/>
            <w:rPr>
              <w:rFonts w:eastAsiaTheme="minorEastAsia"/>
              <w:noProof/>
              <w:lang w:val="en-AU" w:eastAsia="en-AU"/>
            </w:rPr>
          </w:pPr>
          <w:hyperlink w:anchor="_Toc75438758" w:history="1">
            <w:r w:rsidR="00A61AE6" w:rsidRPr="009920D4">
              <w:rPr>
                <w:rStyle w:val="Hyperlink"/>
                <w:rFonts w:cstheme="minorHAnsi"/>
                <w:noProof/>
              </w:rPr>
              <w:t>Health</w:t>
            </w:r>
            <w:r w:rsidR="00A61AE6">
              <w:rPr>
                <w:noProof/>
                <w:webHidden/>
              </w:rPr>
              <w:tab/>
            </w:r>
            <w:r w:rsidR="00A61AE6">
              <w:rPr>
                <w:noProof/>
                <w:webHidden/>
              </w:rPr>
              <w:fldChar w:fldCharType="begin"/>
            </w:r>
            <w:r w:rsidR="00A61AE6">
              <w:rPr>
                <w:noProof/>
                <w:webHidden/>
              </w:rPr>
              <w:instrText xml:space="preserve"> PAGEREF _Toc75438758 \h </w:instrText>
            </w:r>
            <w:r w:rsidR="00A61AE6">
              <w:rPr>
                <w:noProof/>
                <w:webHidden/>
              </w:rPr>
            </w:r>
            <w:r w:rsidR="00A61AE6">
              <w:rPr>
                <w:noProof/>
                <w:webHidden/>
              </w:rPr>
              <w:fldChar w:fldCharType="separate"/>
            </w:r>
            <w:r w:rsidR="00A61AE6">
              <w:rPr>
                <w:noProof/>
                <w:webHidden/>
              </w:rPr>
              <w:t>9</w:t>
            </w:r>
            <w:r w:rsidR="00A61AE6">
              <w:rPr>
                <w:noProof/>
                <w:webHidden/>
              </w:rPr>
              <w:fldChar w:fldCharType="end"/>
            </w:r>
          </w:hyperlink>
        </w:p>
        <w:p w14:paraId="1EEAFEC8" w14:textId="59A40FE0" w:rsidR="00A61AE6" w:rsidRDefault="00427065">
          <w:pPr>
            <w:pStyle w:val="TOC2"/>
            <w:tabs>
              <w:tab w:val="right" w:leader="dot" w:pos="9016"/>
            </w:tabs>
            <w:rPr>
              <w:rFonts w:eastAsiaTheme="minorEastAsia"/>
              <w:noProof/>
              <w:lang w:val="en-AU" w:eastAsia="en-AU"/>
            </w:rPr>
          </w:pPr>
          <w:hyperlink w:anchor="_Toc75438759" w:history="1">
            <w:r w:rsidR="00A61AE6" w:rsidRPr="009920D4">
              <w:rPr>
                <w:rStyle w:val="Hyperlink"/>
                <w:rFonts w:cstheme="minorHAnsi"/>
                <w:noProof/>
              </w:rPr>
              <w:t>Planet Domain</w:t>
            </w:r>
            <w:r w:rsidR="00A61AE6">
              <w:rPr>
                <w:noProof/>
                <w:webHidden/>
              </w:rPr>
              <w:tab/>
            </w:r>
            <w:r w:rsidR="00A61AE6">
              <w:rPr>
                <w:noProof/>
                <w:webHidden/>
              </w:rPr>
              <w:fldChar w:fldCharType="begin"/>
            </w:r>
            <w:r w:rsidR="00A61AE6">
              <w:rPr>
                <w:noProof/>
                <w:webHidden/>
              </w:rPr>
              <w:instrText xml:space="preserve"> PAGEREF _Toc75438759 \h </w:instrText>
            </w:r>
            <w:r w:rsidR="00A61AE6">
              <w:rPr>
                <w:noProof/>
                <w:webHidden/>
              </w:rPr>
            </w:r>
            <w:r w:rsidR="00A61AE6">
              <w:rPr>
                <w:noProof/>
                <w:webHidden/>
              </w:rPr>
              <w:fldChar w:fldCharType="separate"/>
            </w:r>
            <w:r w:rsidR="00A61AE6">
              <w:rPr>
                <w:noProof/>
                <w:webHidden/>
              </w:rPr>
              <w:t>9</w:t>
            </w:r>
            <w:r w:rsidR="00A61AE6">
              <w:rPr>
                <w:noProof/>
                <w:webHidden/>
              </w:rPr>
              <w:fldChar w:fldCharType="end"/>
            </w:r>
          </w:hyperlink>
        </w:p>
        <w:p w14:paraId="383D0983" w14:textId="0097F2C9" w:rsidR="00A61AE6" w:rsidRDefault="00427065">
          <w:pPr>
            <w:pStyle w:val="TOC3"/>
            <w:rPr>
              <w:rFonts w:eastAsiaTheme="minorEastAsia"/>
              <w:noProof/>
              <w:lang w:val="en-AU" w:eastAsia="en-AU"/>
            </w:rPr>
          </w:pPr>
          <w:hyperlink w:anchor="_Toc75438760" w:history="1">
            <w:r w:rsidR="00A61AE6" w:rsidRPr="009920D4">
              <w:rPr>
                <w:rStyle w:val="Hyperlink"/>
                <w:rFonts w:cstheme="minorHAnsi"/>
                <w:noProof/>
              </w:rPr>
              <w:t>Climate Change</w:t>
            </w:r>
            <w:r w:rsidR="00A61AE6">
              <w:rPr>
                <w:noProof/>
                <w:webHidden/>
              </w:rPr>
              <w:tab/>
            </w:r>
            <w:r w:rsidR="00A61AE6">
              <w:rPr>
                <w:noProof/>
                <w:webHidden/>
              </w:rPr>
              <w:fldChar w:fldCharType="begin"/>
            </w:r>
            <w:r w:rsidR="00A61AE6">
              <w:rPr>
                <w:noProof/>
                <w:webHidden/>
              </w:rPr>
              <w:instrText xml:space="preserve"> PAGEREF _Toc75438760 \h </w:instrText>
            </w:r>
            <w:r w:rsidR="00A61AE6">
              <w:rPr>
                <w:noProof/>
                <w:webHidden/>
              </w:rPr>
            </w:r>
            <w:r w:rsidR="00A61AE6">
              <w:rPr>
                <w:noProof/>
                <w:webHidden/>
              </w:rPr>
              <w:fldChar w:fldCharType="separate"/>
            </w:r>
            <w:r w:rsidR="00A61AE6">
              <w:rPr>
                <w:noProof/>
                <w:webHidden/>
              </w:rPr>
              <w:t>9</w:t>
            </w:r>
            <w:r w:rsidR="00A61AE6">
              <w:rPr>
                <w:noProof/>
                <w:webHidden/>
              </w:rPr>
              <w:fldChar w:fldCharType="end"/>
            </w:r>
          </w:hyperlink>
        </w:p>
        <w:p w14:paraId="18A2ABAD" w14:textId="70E10A8E" w:rsidR="00A61AE6" w:rsidRDefault="00427065">
          <w:pPr>
            <w:pStyle w:val="TOC3"/>
            <w:rPr>
              <w:rFonts w:eastAsiaTheme="minorEastAsia"/>
              <w:noProof/>
              <w:lang w:val="en-AU" w:eastAsia="en-AU"/>
            </w:rPr>
          </w:pPr>
          <w:hyperlink w:anchor="_Toc75438761" w:history="1">
            <w:r w:rsidR="00A61AE6" w:rsidRPr="009920D4">
              <w:rPr>
                <w:rStyle w:val="Hyperlink"/>
                <w:rFonts w:cstheme="minorHAnsi"/>
                <w:noProof/>
              </w:rPr>
              <w:t>Considered Indicators</w:t>
            </w:r>
            <w:r w:rsidR="00A61AE6">
              <w:rPr>
                <w:noProof/>
                <w:webHidden/>
              </w:rPr>
              <w:tab/>
            </w:r>
            <w:r w:rsidR="00A61AE6">
              <w:rPr>
                <w:noProof/>
                <w:webHidden/>
              </w:rPr>
              <w:fldChar w:fldCharType="begin"/>
            </w:r>
            <w:r w:rsidR="00A61AE6">
              <w:rPr>
                <w:noProof/>
                <w:webHidden/>
              </w:rPr>
              <w:instrText xml:space="preserve"> PAGEREF _Toc75438761 \h </w:instrText>
            </w:r>
            <w:r w:rsidR="00A61AE6">
              <w:rPr>
                <w:noProof/>
                <w:webHidden/>
              </w:rPr>
            </w:r>
            <w:r w:rsidR="00A61AE6">
              <w:rPr>
                <w:noProof/>
                <w:webHidden/>
              </w:rPr>
              <w:fldChar w:fldCharType="separate"/>
            </w:r>
            <w:r w:rsidR="00A61AE6">
              <w:rPr>
                <w:noProof/>
                <w:webHidden/>
              </w:rPr>
              <w:t>9</w:t>
            </w:r>
            <w:r w:rsidR="00A61AE6">
              <w:rPr>
                <w:noProof/>
                <w:webHidden/>
              </w:rPr>
              <w:fldChar w:fldCharType="end"/>
            </w:r>
          </w:hyperlink>
        </w:p>
        <w:p w14:paraId="33A0D175" w14:textId="572737BB" w:rsidR="00A61AE6" w:rsidRDefault="00427065">
          <w:pPr>
            <w:pStyle w:val="TOC3"/>
            <w:rPr>
              <w:rFonts w:eastAsiaTheme="minorEastAsia"/>
              <w:noProof/>
              <w:lang w:val="en-AU" w:eastAsia="en-AU"/>
            </w:rPr>
          </w:pPr>
          <w:hyperlink w:anchor="_Toc75438762" w:history="1">
            <w:r w:rsidR="00A61AE6" w:rsidRPr="009920D4">
              <w:rPr>
                <w:rStyle w:val="Hyperlink"/>
                <w:rFonts w:cstheme="minorHAnsi"/>
                <w:noProof/>
              </w:rPr>
              <w:t>Natural Hazards</w:t>
            </w:r>
            <w:r w:rsidR="00A61AE6">
              <w:rPr>
                <w:noProof/>
                <w:webHidden/>
              </w:rPr>
              <w:tab/>
            </w:r>
            <w:r w:rsidR="00A61AE6">
              <w:rPr>
                <w:noProof/>
                <w:webHidden/>
              </w:rPr>
              <w:fldChar w:fldCharType="begin"/>
            </w:r>
            <w:r w:rsidR="00A61AE6">
              <w:rPr>
                <w:noProof/>
                <w:webHidden/>
              </w:rPr>
              <w:instrText xml:space="preserve"> PAGEREF _Toc75438762 \h </w:instrText>
            </w:r>
            <w:r w:rsidR="00A61AE6">
              <w:rPr>
                <w:noProof/>
                <w:webHidden/>
              </w:rPr>
            </w:r>
            <w:r w:rsidR="00A61AE6">
              <w:rPr>
                <w:noProof/>
                <w:webHidden/>
              </w:rPr>
              <w:fldChar w:fldCharType="separate"/>
            </w:r>
            <w:r w:rsidR="00A61AE6">
              <w:rPr>
                <w:noProof/>
                <w:webHidden/>
              </w:rPr>
              <w:t>9</w:t>
            </w:r>
            <w:r w:rsidR="00A61AE6">
              <w:rPr>
                <w:noProof/>
                <w:webHidden/>
              </w:rPr>
              <w:fldChar w:fldCharType="end"/>
            </w:r>
          </w:hyperlink>
        </w:p>
        <w:p w14:paraId="3B904587" w14:textId="1233B1C9" w:rsidR="00A61AE6" w:rsidRDefault="00427065">
          <w:pPr>
            <w:pStyle w:val="TOC3"/>
            <w:rPr>
              <w:rFonts w:eastAsiaTheme="minorEastAsia"/>
              <w:noProof/>
              <w:lang w:val="en-AU" w:eastAsia="en-AU"/>
            </w:rPr>
          </w:pPr>
          <w:hyperlink w:anchor="_Toc75438763" w:history="1">
            <w:r w:rsidR="00A61AE6" w:rsidRPr="009920D4">
              <w:rPr>
                <w:rStyle w:val="Hyperlink"/>
                <w:rFonts w:cstheme="minorHAnsi"/>
                <w:noProof/>
              </w:rPr>
              <w:t>Natural Resource Degradation</w:t>
            </w:r>
            <w:r w:rsidR="00A61AE6">
              <w:rPr>
                <w:noProof/>
                <w:webHidden/>
              </w:rPr>
              <w:tab/>
            </w:r>
            <w:r w:rsidR="00A61AE6">
              <w:rPr>
                <w:noProof/>
                <w:webHidden/>
              </w:rPr>
              <w:fldChar w:fldCharType="begin"/>
            </w:r>
            <w:r w:rsidR="00A61AE6">
              <w:rPr>
                <w:noProof/>
                <w:webHidden/>
              </w:rPr>
              <w:instrText xml:space="preserve"> PAGEREF _Toc75438763 \h </w:instrText>
            </w:r>
            <w:r w:rsidR="00A61AE6">
              <w:rPr>
                <w:noProof/>
                <w:webHidden/>
              </w:rPr>
            </w:r>
            <w:r w:rsidR="00A61AE6">
              <w:rPr>
                <w:noProof/>
                <w:webHidden/>
              </w:rPr>
              <w:fldChar w:fldCharType="separate"/>
            </w:r>
            <w:r w:rsidR="00A61AE6">
              <w:rPr>
                <w:noProof/>
                <w:webHidden/>
              </w:rPr>
              <w:t>10</w:t>
            </w:r>
            <w:r w:rsidR="00A61AE6">
              <w:rPr>
                <w:noProof/>
                <w:webHidden/>
              </w:rPr>
              <w:fldChar w:fldCharType="end"/>
            </w:r>
          </w:hyperlink>
        </w:p>
        <w:p w14:paraId="28C82596" w14:textId="334311AD" w:rsidR="00A61AE6" w:rsidRDefault="00427065">
          <w:pPr>
            <w:pStyle w:val="TOC3"/>
            <w:rPr>
              <w:rFonts w:eastAsiaTheme="minorEastAsia"/>
              <w:noProof/>
              <w:lang w:val="en-AU" w:eastAsia="en-AU"/>
            </w:rPr>
          </w:pPr>
          <w:hyperlink w:anchor="_Toc75438764" w:history="1">
            <w:r w:rsidR="00A61AE6" w:rsidRPr="009920D4">
              <w:rPr>
                <w:rStyle w:val="Hyperlink"/>
                <w:rFonts w:cstheme="minorHAnsi"/>
                <w:noProof/>
              </w:rPr>
              <w:t>Considered Indicators</w:t>
            </w:r>
            <w:r w:rsidR="00A61AE6">
              <w:rPr>
                <w:noProof/>
                <w:webHidden/>
              </w:rPr>
              <w:tab/>
            </w:r>
            <w:r w:rsidR="00A61AE6">
              <w:rPr>
                <w:noProof/>
                <w:webHidden/>
              </w:rPr>
              <w:fldChar w:fldCharType="begin"/>
            </w:r>
            <w:r w:rsidR="00A61AE6">
              <w:rPr>
                <w:noProof/>
                <w:webHidden/>
              </w:rPr>
              <w:instrText xml:space="preserve"> PAGEREF _Toc75438764 \h </w:instrText>
            </w:r>
            <w:r w:rsidR="00A61AE6">
              <w:rPr>
                <w:noProof/>
                <w:webHidden/>
              </w:rPr>
            </w:r>
            <w:r w:rsidR="00A61AE6">
              <w:rPr>
                <w:noProof/>
                <w:webHidden/>
              </w:rPr>
              <w:fldChar w:fldCharType="separate"/>
            </w:r>
            <w:r w:rsidR="00A61AE6">
              <w:rPr>
                <w:noProof/>
                <w:webHidden/>
              </w:rPr>
              <w:t>10</w:t>
            </w:r>
            <w:r w:rsidR="00A61AE6">
              <w:rPr>
                <w:noProof/>
                <w:webHidden/>
              </w:rPr>
              <w:fldChar w:fldCharType="end"/>
            </w:r>
          </w:hyperlink>
        </w:p>
        <w:p w14:paraId="2156A14B" w14:textId="3398AEEF" w:rsidR="00A61AE6" w:rsidRDefault="00427065">
          <w:pPr>
            <w:pStyle w:val="TOC2"/>
            <w:tabs>
              <w:tab w:val="right" w:leader="dot" w:pos="9016"/>
            </w:tabs>
            <w:rPr>
              <w:rFonts w:eastAsiaTheme="minorEastAsia"/>
              <w:noProof/>
              <w:lang w:val="en-AU" w:eastAsia="en-AU"/>
            </w:rPr>
          </w:pPr>
          <w:hyperlink w:anchor="_Toc75438765" w:history="1">
            <w:r w:rsidR="00A61AE6" w:rsidRPr="009920D4">
              <w:rPr>
                <w:rStyle w:val="Hyperlink"/>
                <w:rFonts w:cstheme="minorHAnsi"/>
                <w:noProof/>
              </w:rPr>
              <w:t>Prosperity Domain</w:t>
            </w:r>
            <w:r w:rsidR="00A61AE6">
              <w:rPr>
                <w:noProof/>
                <w:webHidden/>
              </w:rPr>
              <w:tab/>
            </w:r>
            <w:r w:rsidR="00A61AE6">
              <w:rPr>
                <w:noProof/>
                <w:webHidden/>
              </w:rPr>
              <w:fldChar w:fldCharType="begin"/>
            </w:r>
            <w:r w:rsidR="00A61AE6">
              <w:rPr>
                <w:noProof/>
                <w:webHidden/>
              </w:rPr>
              <w:instrText xml:space="preserve"> PAGEREF _Toc75438765 \h </w:instrText>
            </w:r>
            <w:r w:rsidR="00A61AE6">
              <w:rPr>
                <w:noProof/>
                <w:webHidden/>
              </w:rPr>
            </w:r>
            <w:r w:rsidR="00A61AE6">
              <w:rPr>
                <w:noProof/>
                <w:webHidden/>
              </w:rPr>
              <w:fldChar w:fldCharType="separate"/>
            </w:r>
            <w:r w:rsidR="00A61AE6">
              <w:rPr>
                <w:noProof/>
                <w:webHidden/>
              </w:rPr>
              <w:t>10</w:t>
            </w:r>
            <w:r w:rsidR="00A61AE6">
              <w:rPr>
                <w:noProof/>
                <w:webHidden/>
              </w:rPr>
              <w:fldChar w:fldCharType="end"/>
            </w:r>
          </w:hyperlink>
        </w:p>
        <w:p w14:paraId="13767DC2" w14:textId="48BE84F1" w:rsidR="00A61AE6" w:rsidRDefault="00427065">
          <w:pPr>
            <w:pStyle w:val="TOC3"/>
            <w:rPr>
              <w:rFonts w:eastAsiaTheme="minorEastAsia"/>
              <w:noProof/>
              <w:lang w:val="en-AU" w:eastAsia="en-AU"/>
            </w:rPr>
          </w:pPr>
          <w:hyperlink w:anchor="_Toc75438766" w:history="1">
            <w:r w:rsidR="00A61AE6" w:rsidRPr="009920D4">
              <w:rPr>
                <w:rStyle w:val="Hyperlink"/>
                <w:rFonts w:cstheme="minorHAnsi"/>
                <w:noProof/>
              </w:rPr>
              <w:t>Governance Deficit</w:t>
            </w:r>
            <w:r w:rsidR="00A61AE6">
              <w:rPr>
                <w:noProof/>
                <w:webHidden/>
              </w:rPr>
              <w:tab/>
            </w:r>
            <w:r w:rsidR="00A61AE6">
              <w:rPr>
                <w:noProof/>
                <w:webHidden/>
              </w:rPr>
              <w:fldChar w:fldCharType="begin"/>
            </w:r>
            <w:r w:rsidR="00A61AE6">
              <w:rPr>
                <w:noProof/>
                <w:webHidden/>
              </w:rPr>
              <w:instrText xml:space="preserve"> PAGEREF _Toc75438766 \h </w:instrText>
            </w:r>
            <w:r w:rsidR="00A61AE6">
              <w:rPr>
                <w:noProof/>
                <w:webHidden/>
              </w:rPr>
            </w:r>
            <w:r w:rsidR="00A61AE6">
              <w:rPr>
                <w:noProof/>
                <w:webHidden/>
              </w:rPr>
              <w:fldChar w:fldCharType="separate"/>
            </w:r>
            <w:r w:rsidR="00A61AE6">
              <w:rPr>
                <w:noProof/>
                <w:webHidden/>
              </w:rPr>
              <w:t>10</w:t>
            </w:r>
            <w:r w:rsidR="00A61AE6">
              <w:rPr>
                <w:noProof/>
                <w:webHidden/>
              </w:rPr>
              <w:fldChar w:fldCharType="end"/>
            </w:r>
          </w:hyperlink>
        </w:p>
        <w:p w14:paraId="43C34834" w14:textId="2C9CDB23" w:rsidR="00A61AE6" w:rsidRDefault="00427065">
          <w:pPr>
            <w:pStyle w:val="TOC3"/>
            <w:rPr>
              <w:rFonts w:eastAsiaTheme="minorEastAsia"/>
              <w:noProof/>
              <w:lang w:val="en-AU" w:eastAsia="en-AU"/>
            </w:rPr>
          </w:pPr>
          <w:hyperlink w:anchor="_Toc75438767" w:history="1">
            <w:r w:rsidR="00A61AE6" w:rsidRPr="009920D4">
              <w:rPr>
                <w:rStyle w:val="Hyperlink"/>
                <w:rFonts w:cstheme="minorHAnsi"/>
                <w:noProof/>
              </w:rPr>
              <w:t>Fragile Cities</w:t>
            </w:r>
            <w:r w:rsidR="00A61AE6">
              <w:rPr>
                <w:noProof/>
                <w:webHidden/>
              </w:rPr>
              <w:tab/>
            </w:r>
            <w:r w:rsidR="00A61AE6">
              <w:rPr>
                <w:noProof/>
                <w:webHidden/>
              </w:rPr>
              <w:fldChar w:fldCharType="begin"/>
            </w:r>
            <w:r w:rsidR="00A61AE6">
              <w:rPr>
                <w:noProof/>
                <w:webHidden/>
              </w:rPr>
              <w:instrText xml:space="preserve"> PAGEREF _Toc75438767 \h </w:instrText>
            </w:r>
            <w:r w:rsidR="00A61AE6">
              <w:rPr>
                <w:noProof/>
                <w:webHidden/>
              </w:rPr>
            </w:r>
            <w:r w:rsidR="00A61AE6">
              <w:rPr>
                <w:noProof/>
                <w:webHidden/>
              </w:rPr>
              <w:fldChar w:fldCharType="separate"/>
            </w:r>
            <w:r w:rsidR="00A61AE6">
              <w:rPr>
                <w:noProof/>
                <w:webHidden/>
              </w:rPr>
              <w:t>11</w:t>
            </w:r>
            <w:r w:rsidR="00A61AE6">
              <w:rPr>
                <w:noProof/>
                <w:webHidden/>
              </w:rPr>
              <w:fldChar w:fldCharType="end"/>
            </w:r>
          </w:hyperlink>
        </w:p>
        <w:p w14:paraId="35B5CCBB" w14:textId="36C76AC2" w:rsidR="00A61AE6" w:rsidRDefault="00427065">
          <w:pPr>
            <w:pStyle w:val="TOC3"/>
            <w:rPr>
              <w:rFonts w:eastAsiaTheme="minorEastAsia"/>
              <w:noProof/>
              <w:lang w:val="en-AU" w:eastAsia="en-AU"/>
            </w:rPr>
          </w:pPr>
          <w:hyperlink w:anchor="_Toc75438768" w:history="1">
            <w:r w:rsidR="00A61AE6" w:rsidRPr="009920D4">
              <w:rPr>
                <w:rStyle w:val="Hyperlink"/>
                <w:rFonts w:cstheme="minorHAnsi"/>
                <w:noProof/>
              </w:rPr>
              <w:t>Economic Stability</w:t>
            </w:r>
            <w:r w:rsidR="00A61AE6">
              <w:rPr>
                <w:noProof/>
                <w:webHidden/>
              </w:rPr>
              <w:tab/>
            </w:r>
            <w:r w:rsidR="00A61AE6">
              <w:rPr>
                <w:noProof/>
                <w:webHidden/>
              </w:rPr>
              <w:fldChar w:fldCharType="begin"/>
            </w:r>
            <w:r w:rsidR="00A61AE6">
              <w:rPr>
                <w:noProof/>
                <w:webHidden/>
              </w:rPr>
              <w:instrText xml:space="preserve"> PAGEREF _Toc75438768 \h </w:instrText>
            </w:r>
            <w:r w:rsidR="00A61AE6">
              <w:rPr>
                <w:noProof/>
                <w:webHidden/>
              </w:rPr>
            </w:r>
            <w:r w:rsidR="00A61AE6">
              <w:rPr>
                <w:noProof/>
                <w:webHidden/>
              </w:rPr>
              <w:fldChar w:fldCharType="separate"/>
            </w:r>
            <w:r w:rsidR="00A61AE6">
              <w:rPr>
                <w:noProof/>
                <w:webHidden/>
              </w:rPr>
              <w:t>11</w:t>
            </w:r>
            <w:r w:rsidR="00A61AE6">
              <w:rPr>
                <w:noProof/>
                <w:webHidden/>
              </w:rPr>
              <w:fldChar w:fldCharType="end"/>
            </w:r>
          </w:hyperlink>
        </w:p>
        <w:p w14:paraId="1A7BF39C" w14:textId="17932882" w:rsidR="00A61AE6" w:rsidRDefault="00427065">
          <w:pPr>
            <w:pStyle w:val="TOC3"/>
            <w:rPr>
              <w:rFonts w:eastAsiaTheme="minorEastAsia"/>
              <w:noProof/>
              <w:lang w:val="en-AU" w:eastAsia="en-AU"/>
            </w:rPr>
          </w:pPr>
          <w:hyperlink w:anchor="_Toc75438769" w:history="1">
            <w:r w:rsidR="00A61AE6" w:rsidRPr="009920D4">
              <w:rPr>
                <w:rStyle w:val="Hyperlink"/>
                <w:rFonts w:cstheme="minorHAnsi"/>
                <w:noProof/>
              </w:rPr>
              <w:t>Digitalisation</w:t>
            </w:r>
            <w:r w:rsidR="00A61AE6">
              <w:rPr>
                <w:noProof/>
                <w:webHidden/>
              </w:rPr>
              <w:tab/>
            </w:r>
            <w:r w:rsidR="00A61AE6">
              <w:rPr>
                <w:noProof/>
                <w:webHidden/>
              </w:rPr>
              <w:fldChar w:fldCharType="begin"/>
            </w:r>
            <w:r w:rsidR="00A61AE6">
              <w:rPr>
                <w:noProof/>
                <w:webHidden/>
              </w:rPr>
              <w:instrText xml:space="preserve"> PAGEREF _Toc75438769 \h </w:instrText>
            </w:r>
            <w:r w:rsidR="00A61AE6">
              <w:rPr>
                <w:noProof/>
                <w:webHidden/>
              </w:rPr>
            </w:r>
            <w:r w:rsidR="00A61AE6">
              <w:rPr>
                <w:noProof/>
                <w:webHidden/>
              </w:rPr>
              <w:fldChar w:fldCharType="separate"/>
            </w:r>
            <w:r w:rsidR="00A61AE6">
              <w:rPr>
                <w:noProof/>
                <w:webHidden/>
              </w:rPr>
              <w:t>11</w:t>
            </w:r>
            <w:r w:rsidR="00A61AE6">
              <w:rPr>
                <w:noProof/>
                <w:webHidden/>
              </w:rPr>
              <w:fldChar w:fldCharType="end"/>
            </w:r>
          </w:hyperlink>
        </w:p>
        <w:p w14:paraId="203D5AB3" w14:textId="52E3F953" w:rsidR="00A61AE6" w:rsidRDefault="00427065">
          <w:pPr>
            <w:pStyle w:val="TOC3"/>
            <w:rPr>
              <w:rFonts w:eastAsiaTheme="minorEastAsia"/>
              <w:noProof/>
              <w:lang w:val="en-AU" w:eastAsia="en-AU"/>
            </w:rPr>
          </w:pPr>
          <w:hyperlink w:anchor="_Toc75438770" w:history="1">
            <w:r w:rsidR="00A61AE6" w:rsidRPr="009920D4">
              <w:rPr>
                <w:rStyle w:val="Hyperlink"/>
                <w:rFonts w:cstheme="minorHAnsi"/>
                <w:noProof/>
              </w:rPr>
              <w:t>Considered Indicators</w:t>
            </w:r>
            <w:r w:rsidR="00A61AE6">
              <w:rPr>
                <w:noProof/>
                <w:webHidden/>
              </w:rPr>
              <w:tab/>
            </w:r>
            <w:r w:rsidR="00A61AE6">
              <w:rPr>
                <w:noProof/>
                <w:webHidden/>
              </w:rPr>
              <w:fldChar w:fldCharType="begin"/>
            </w:r>
            <w:r w:rsidR="00A61AE6">
              <w:rPr>
                <w:noProof/>
                <w:webHidden/>
              </w:rPr>
              <w:instrText xml:space="preserve"> PAGEREF _Toc75438770 \h </w:instrText>
            </w:r>
            <w:r w:rsidR="00A61AE6">
              <w:rPr>
                <w:noProof/>
                <w:webHidden/>
              </w:rPr>
            </w:r>
            <w:r w:rsidR="00A61AE6">
              <w:rPr>
                <w:noProof/>
                <w:webHidden/>
              </w:rPr>
              <w:fldChar w:fldCharType="separate"/>
            </w:r>
            <w:r w:rsidR="00A61AE6">
              <w:rPr>
                <w:noProof/>
                <w:webHidden/>
              </w:rPr>
              <w:t>12</w:t>
            </w:r>
            <w:r w:rsidR="00A61AE6">
              <w:rPr>
                <w:noProof/>
                <w:webHidden/>
              </w:rPr>
              <w:fldChar w:fldCharType="end"/>
            </w:r>
          </w:hyperlink>
        </w:p>
        <w:p w14:paraId="6CCD5340" w14:textId="36B1C70F" w:rsidR="00A61AE6" w:rsidRDefault="00427065">
          <w:pPr>
            <w:pStyle w:val="TOC2"/>
            <w:tabs>
              <w:tab w:val="right" w:leader="dot" w:pos="9016"/>
            </w:tabs>
            <w:rPr>
              <w:rFonts w:eastAsiaTheme="minorEastAsia"/>
              <w:noProof/>
              <w:lang w:val="en-AU" w:eastAsia="en-AU"/>
            </w:rPr>
          </w:pPr>
          <w:hyperlink w:anchor="_Toc75438771" w:history="1">
            <w:r w:rsidR="00A61AE6" w:rsidRPr="009920D4">
              <w:rPr>
                <w:rStyle w:val="Hyperlink"/>
                <w:rFonts w:cstheme="minorHAnsi"/>
                <w:noProof/>
              </w:rPr>
              <w:t>Peace Domain</w:t>
            </w:r>
            <w:r w:rsidR="00A61AE6">
              <w:rPr>
                <w:noProof/>
                <w:webHidden/>
              </w:rPr>
              <w:tab/>
            </w:r>
            <w:r w:rsidR="00A61AE6">
              <w:rPr>
                <w:noProof/>
                <w:webHidden/>
              </w:rPr>
              <w:fldChar w:fldCharType="begin"/>
            </w:r>
            <w:r w:rsidR="00A61AE6">
              <w:rPr>
                <w:noProof/>
                <w:webHidden/>
              </w:rPr>
              <w:instrText xml:space="preserve"> PAGEREF _Toc75438771 \h </w:instrText>
            </w:r>
            <w:r w:rsidR="00A61AE6">
              <w:rPr>
                <w:noProof/>
                <w:webHidden/>
              </w:rPr>
            </w:r>
            <w:r w:rsidR="00A61AE6">
              <w:rPr>
                <w:noProof/>
                <w:webHidden/>
              </w:rPr>
              <w:fldChar w:fldCharType="separate"/>
            </w:r>
            <w:r w:rsidR="00A61AE6">
              <w:rPr>
                <w:noProof/>
                <w:webHidden/>
              </w:rPr>
              <w:t>12</w:t>
            </w:r>
            <w:r w:rsidR="00A61AE6">
              <w:rPr>
                <w:noProof/>
                <w:webHidden/>
              </w:rPr>
              <w:fldChar w:fldCharType="end"/>
            </w:r>
          </w:hyperlink>
        </w:p>
        <w:p w14:paraId="1BFFB05E" w14:textId="773D21BB" w:rsidR="00A61AE6" w:rsidRDefault="00427065">
          <w:pPr>
            <w:pStyle w:val="TOC3"/>
            <w:rPr>
              <w:rFonts w:eastAsiaTheme="minorEastAsia"/>
              <w:noProof/>
              <w:lang w:val="en-AU" w:eastAsia="en-AU"/>
            </w:rPr>
          </w:pPr>
          <w:hyperlink w:anchor="_Toc75438772" w:history="1">
            <w:r w:rsidR="00A61AE6" w:rsidRPr="009920D4">
              <w:rPr>
                <w:rStyle w:val="Hyperlink"/>
                <w:rFonts w:cstheme="minorHAnsi"/>
                <w:noProof/>
              </w:rPr>
              <w:t>Thinking and Working Politically</w:t>
            </w:r>
            <w:r w:rsidR="00A61AE6">
              <w:rPr>
                <w:noProof/>
                <w:webHidden/>
              </w:rPr>
              <w:tab/>
            </w:r>
            <w:r w:rsidR="00A61AE6">
              <w:rPr>
                <w:noProof/>
                <w:webHidden/>
              </w:rPr>
              <w:fldChar w:fldCharType="begin"/>
            </w:r>
            <w:r w:rsidR="00A61AE6">
              <w:rPr>
                <w:noProof/>
                <w:webHidden/>
              </w:rPr>
              <w:instrText xml:space="preserve"> PAGEREF _Toc75438772 \h </w:instrText>
            </w:r>
            <w:r w:rsidR="00A61AE6">
              <w:rPr>
                <w:noProof/>
                <w:webHidden/>
              </w:rPr>
            </w:r>
            <w:r w:rsidR="00A61AE6">
              <w:rPr>
                <w:noProof/>
                <w:webHidden/>
              </w:rPr>
              <w:fldChar w:fldCharType="separate"/>
            </w:r>
            <w:r w:rsidR="00A61AE6">
              <w:rPr>
                <w:noProof/>
                <w:webHidden/>
              </w:rPr>
              <w:t>12</w:t>
            </w:r>
            <w:r w:rsidR="00A61AE6">
              <w:rPr>
                <w:noProof/>
                <w:webHidden/>
              </w:rPr>
              <w:fldChar w:fldCharType="end"/>
            </w:r>
          </w:hyperlink>
        </w:p>
        <w:p w14:paraId="3B1DD234" w14:textId="61B52D8A" w:rsidR="00A61AE6" w:rsidRDefault="00427065">
          <w:pPr>
            <w:pStyle w:val="TOC3"/>
            <w:rPr>
              <w:rFonts w:eastAsiaTheme="minorEastAsia"/>
              <w:noProof/>
              <w:lang w:val="en-AU" w:eastAsia="en-AU"/>
            </w:rPr>
          </w:pPr>
          <w:hyperlink w:anchor="_Toc75438773" w:history="1">
            <w:r w:rsidR="00A61AE6" w:rsidRPr="009920D4">
              <w:rPr>
                <w:rStyle w:val="Hyperlink"/>
                <w:rFonts w:cstheme="minorHAnsi"/>
                <w:noProof/>
              </w:rPr>
              <w:t>Transborder and Regional Trends</w:t>
            </w:r>
            <w:r w:rsidR="00A61AE6">
              <w:rPr>
                <w:noProof/>
                <w:webHidden/>
              </w:rPr>
              <w:tab/>
            </w:r>
            <w:r w:rsidR="00A61AE6">
              <w:rPr>
                <w:noProof/>
                <w:webHidden/>
              </w:rPr>
              <w:fldChar w:fldCharType="begin"/>
            </w:r>
            <w:r w:rsidR="00A61AE6">
              <w:rPr>
                <w:noProof/>
                <w:webHidden/>
              </w:rPr>
              <w:instrText xml:space="preserve"> PAGEREF _Toc75438773 \h </w:instrText>
            </w:r>
            <w:r w:rsidR="00A61AE6">
              <w:rPr>
                <w:noProof/>
                <w:webHidden/>
              </w:rPr>
            </w:r>
            <w:r w:rsidR="00A61AE6">
              <w:rPr>
                <w:noProof/>
                <w:webHidden/>
              </w:rPr>
              <w:fldChar w:fldCharType="separate"/>
            </w:r>
            <w:r w:rsidR="00A61AE6">
              <w:rPr>
                <w:noProof/>
                <w:webHidden/>
              </w:rPr>
              <w:t>13</w:t>
            </w:r>
            <w:r w:rsidR="00A61AE6">
              <w:rPr>
                <w:noProof/>
                <w:webHidden/>
              </w:rPr>
              <w:fldChar w:fldCharType="end"/>
            </w:r>
          </w:hyperlink>
        </w:p>
        <w:p w14:paraId="0215D662" w14:textId="3737A441" w:rsidR="00A61AE6" w:rsidRDefault="00427065">
          <w:pPr>
            <w:pStyle w:val="TOC1"/>
            <w:tabs>
              <w:tab w:val="right" w:leader="dot" w:pos="9016"/>
            </w:tabs>
            <w:rPr>
              <w:rFonts w:eastAsiaTheme="minorEastAsia"/>
              <w:noProof/>
              <w:lang w:val="en-AU" w:eastAsia="en-AU"/>
            </w:rPr>
          </w:pPr>
          <w:hyperlink w:anchor="_Toc75438774" w:history="1">
            <w:r w:rsidR="00A61AE6" w:rsidRPr="009920D4">
              <w:rPr>
                <w:rStyle w:val="Hyperlink"/>
                <w:noProof/>
              </w:rPr>
              <w:t>UNDP-FM Calculations</w:t>
            </w:r>
            <w:r w:rsidR="00A61AE6">
              <w:rPr>
                <w:noProof/>
                <w:webHidden/>
              </w:rPr>
              <w:tab/>
            </w:r>
            <w:r w:rsidR="00A61AE6">
              <w:rPr>
                <w:noProof/>
                <w:webHidden/>
              </w:rPr>
              <w:fldChar w:fldCharType="begin"/>
            </w:r>
            <w:r w:rsidR="00A61AE6">
              <w:rPr>
                <w:noProof/>
                <w:webHidden/>
              </w:rPr>
              <w:instrText xml:space="preserve"> PAGEREF _Toc75438774 \h </w:instrText>
            </w:r>
            <w:r w:rsidR="00A61AE6">
              <w:rPr>
                <w:noProof/>
                <w:webHidden/>
              </w:rPr>
            </w:r>
            <w:r w:rsidR="00A61AE6">
              <w:rPr>
                <w:noProof/>
                <w:webHidden/>
              </w:rPr>
              <w:fldChar w:fldCharType="separate"/>
            </w:r>
            <w:r w:rsidR="00A61AE6">
              <w:rPr>
                <w:noProof/>
                <w:webHidden/>
              </w:rPr>
              <w:t>13</w:t>
            </w:r>
            <w:r w:rsidR="00A61AE6">
              <w:rPr>
                <w:noProof/>
                <w:webHidden/>
              </w:rPr>
              <w:fldChar w:fldCharType="end"/>
            </w:r>
          </w:hyperlink>
        </w:p>
        <w:p w14:paraId="1ACE17A4" w14:textId="6FAD70A8" w:rsidR="00A61AE6" w:rsidRDefault="00427065">
          <w:pPr>
            <w:pStyle w:val="TOC2"/>
            <w:tabs>
              <w:tab w:val="right" w:leader="dot" w:pos="9016"/>
            </w:tabs>
            <w:rPr>
              <w:rFonts w:eastAsiaTheme="minorEastAsia"/>
              <w:noProof/>
              <w:lang w:val="en-AU" w:eastAsia="en-AU"/>
            </w:rPr>
          </w:pPr>
          <w:hyperlink w:anchor="_Toc75438775" w:history="1">
            <w:r w:rsidR="00A61AE6" w:rsidRPr="009920D4">
              <w:rPr>
                <w:rStyle w:val="Hyperlink"/>
                <w:noProof/>
              </w:rPr>
              <w:t>Data Imputation</w:t>
            </w:r>
            <w:r w:rsidR="00A61AE6">
              <w:rPr>
                <w:noProof/>
                <w:webHidden/>
              </w:rPr>
              <w:tab/>
            </w:r>
            <w:r w:rsidR="00A61AE6">
              <w:rPr>
                <w:noProof/>
                <w:webHidden/>
              </w:rPr>
              <w:fldChar w:fldCharType="begin"/>
            </w:r>
            <w:r w:rsidR="00A61AE6">
              <w:rPr>
                <w:noProof/>
                <w:webHidden/>
              </w:rPr>
              <w:instrText xml:space="preserve"> PAGEREF _Toc75438775 \h </w:instrText>
            </w:r>
            <w:r w:rsidR="00A61AE6">
              <w:rPr>
                <w:noProof/>
                <w:webHidden/>
              </w:rPr>
            </w:r>
            <w:r w:rsidR="00A61AE6">
              <w:rPr>
                <w:noProof/>
                <w:webHidden/>
              </w:rPr>
              <w:fldChar w:fldCharType="separate"/>
            </w:r>
            <w:r w:rsidR="00A61AE6">
              <w:rPr>
                <w:noProof/>
                <w:webHidden/>
              </w:rPr>
              <w:t>13</w:t>
            </w:r>
            <w:r w:rsidR="00A61AE6">
              <w:rPr>
                <w:noProof/>
                <w:webHidden/>
              </w:rPr>
              <w:fldChar w:fldCharType="end"/>
            </w:r>
          </w:hyperlink>
        </w:p>
        <w:p w14:paraId="6F6D9E3B" w14:textId="003E3511" w:rsidR="00A61AE6" w:rsidRDefault="00427065">
          <w:pPr>
            <w:pStyle w:val="TOC2"/>
            <w:tabs>
              <w:tab w:val="right" w:leader="dot" w:pos="9016"/>
            </w:tabs>
            <w:rPr>
              <w:rFonts w:eastAsiaTheme="minorEastAsia"/>
              <w:noProof/>
              <w:lang w:val="en-AU" w:eastAsia="en-AU"/>
            </w:rPr>
          </w:pPr>
          <w:hyperlink w:anchor="_Toc75438776" w:history="1">
            <w:r w:rsidR="00A61AE6" w:rsidRPr="009920D4">
              <w:rPr>
                <w:rStyle w:val="Hyperlink"/>
                <w:noProof/>
              </w:rPr>
              <w:t>Indicator Banding</w:t>
            </w:r>
            <w:r w:rsidR="00A61AE6">
              <w:rPr>
                <w:noProof/>
                <w:webHidden/>
              </w:rPr>
              <w:tab/>
            </w:r>
            <w:r w:rsidR="00A61AE6">
              <w:rPr>
                <w:noProof/>
                <w:webHidden/>
              </w:rPr>
              <w:fldChar w:fldCharType="begin"/>
            </w:r>
            <w:r w:rsidR="00A61AE6">
              <w:rPr>
                <w:noProof/>
                <w:webHidden/>
              </w:rPr>
              <w:instrText xml:space="preserve"> PAGEREF _Toc75438776 \h </w:instrText>
            </w:r>
            <w:r w:rsidR="00A61AE6">
              <w:rPr>
                <w:noProof/>
                <w:webHidden/>
              </w:rPr>
            </w:r>
            <w:r w:rsidR="00A61AE6">
              <w:rPr>
                <w:noProof/>
                <w:webHidden/>
              </w:rPr>
              <w:fldChar w:fldCharType="separate"/>
            </w:r>
            <w:r w:rsidR="00A61AE6">
              <w:rPr>
                <w:noProof/>
                <w:webHidden/>
              </w:rPr>
              <w:t>14</w:t>
            </w:r>
            <w:r w:rsidR="00A61AE6">
              <w:rPr>
                <w:noProof/>
                <w:webHidden/>
              </w:rPr>
              <w:fldChar w:fldCharType="end"/>
            </w:r>
          </w:hyperlink>
        </w:p>
        <w:p w14:paraId="5B5C425B" w14:textId="40DE7CA6" w:rsidR="00A61AE6" w:rsidRDefault="00427065">
          <w:pPr>
            <w:pStyle w:val="TOC2"/>
            <w:tabs>
              <w:tab w:val="right" w:leader="dot" w:pos="9016"/>
            </w:tabs>
            <w:rPr>
              <w:rFonts w:eastAsiaTheme="minorEastAsia"/>
              <w:noProof/>
              <w:lang w:val="en-AU" w:eastAsia="en-AU"/>
            </w:rPr>
          </w:pPr>
          <w:hyperlink w:anchor="_Toc75438777" w:history="1">
            <w:r w:rsidR="00A61AE6" w:rsidRPr="009920D4">
              <w:rPr>
                <w:rStyle w:val="Hyperlink"/>
                <w:noProof/>
              </w:rPr>
              <w:t>Weighting indicators and domains</w:t>
            </w:r>
            <w:r w:rsidR="00A61AE6">
              <w:rPr>
                <w:noProof/>
                <w:webHidden/>
              </w:rPr>
              <w:tab/>
            </w:r>
            <w:r w:rsidR="00A61AE6">
              <w:rPr>
                <w:noProof/>
                <w:webHidden/>
              </w:rPr>
              <w:fldChar w:fldCharType="begin"/>
            </w:r>
            <w:r w:rsidR="00A61AE6">
              <w:rPr>
                <w:noProof/>
                <w:webHidden/>
              </w:rPr>
              <w:instrText xml:space="preserve"> PAGEREF _Toc75438777 \h </w:instrText>
            </w:r>
            <w:r w:rsidR="00A61AE6">
              <w:rPr>
                <w:noProof/>
                <w:webHidden/>
              </w:rPr>
            </w:r>
            <w:r w:rsidR="00A61AE6">
              <w:rPr>
                <w:noProof/>
                <w:webHidden/>
              </w:rPr>
              <w:fldChar w:fldCharType="separate"/>
            </w:r>
            <w:r w:rsidR="00A61AE6">
              <w:rPr>
                <w:noProof/>
                <w:webHidden/>
              </w:rPr>
              <w:t>15</w:t>
            </w:r>
            <w:r w:rsidR="00A61AE6">
              <w:rPr>
                <w:noProof/>
                <w:webHidden/>
              </w:rPr>
              <w:fldChar w:fldCharType="end"/>
            </w:r>
          </w:hyperlink>
        </w:p>
        <w:p w14:paraId="7D6A7FE3" w14:textId="207193F3" w:rsidR="00A61AE6" w:rsidRDefault="00427065">
          <w:pPr>
            <w:pStyle w:val="TOC2"/>
            <w:tabs>
              <w:tab w:val="right" w:leader="dot" w:pos="9016"/>
            </w:tabs>
            <w:rPr>
              <w:rFonts w:eastAsiaTheme="minorEastAsia"/>
              <w:noProof/>
              <w:lang w:val="en-AU" w:eastAsia="en-AU"/>
            </w:rPr>
          </w:pPr>
          <w:hyperlink w:anchor="_Toc75438778" w:history="1">
            <w:r w:rsidR="00A61AE6" w:rsidRPr="009920D4">
              <w:rPr>
                <w:rStyle w:val="Hyperlink"/>
                <w:noProof/>
              </w:rPr>
              <w:t>UNDP-FM Calculation Process Table</w:t>
            </w:r>
            <w:r w:rsidR="00A61AE6">
              <w:rPr>
                <w:noProof/>
                <w:webHidden/>
              </w:rPr>
              <w:tab/>
            </w:r>
            <w:r w:rsidR="00A61AE6">
              <w:rPr>
                <w:noProof/>
                <w:webHidden/>
              </w:rPr>
              <w:fldChar w:fldCharType="begin"/>
            </w:r>
            <w:r w:rsidR="00A61AE6">
              <w:rPr>
                <w:noProof/>
                <w:webHidden/>
              </w:rPr>
              <w:instrText xml:space="preserve"> PAGEREF _Toc75438778 \h </w:instrText>
            </w:r>
            <w:r w:rsidR="00A61AE6">
              <w:rPr>
                <w:noProof/>
                <w:webHidden/>
              </w:rPr>
            </w:r>
            <w:r w:rsidR="00A61AE6">
              <w:rPr>
                <w:noProof/>
                <w:webHidden/>
              </w:rPr>
              <w:fldChar w:fldCharType="separate"/>
            </w:r>
            <w:r w:rsidR="00A61AE6">
              <w:rPr>
                <w:noProof/>
                <w:webHidden/>
              </w:rPr>
              <w:t>16</w:t>
            </w:r>
            <w:r w:rsidR="00A61AE6">
              <w:rPr>
                <w:noProof/>
                <w:webHidden/>
              </w:rPr>
              <w:fldChar w:fldCharType="end"/>
            </w:r>
          </w:hyperlink>
        </w:p>
        <w:p w14:paraId="663C67EE" w14:textId="676CE40F" w:rsidR="00534E53" w:rsidRDefault="00534E53">
          <w:r w:rsidRPr="004D7E7C">
            <w:rPr>
              <w:b/>
              <w:bCs/>
              <w:noProof/>
              <w:sz w:val="20"/>
              <w:szCs w:val="20"/>
            </w:rPr>
            <w:fldChar w:fldCharType="end"/>
          </w:r>
        </w:p>
      </w:sdtContent>
    </w:sdt>
    <w:p w14:paraId="364A8CDF" w14:textId="265DCF8A" w:rsidR="00E5611D" w:rsidRPr="00852641" w:rsidRDefault="00E5611D" w:rsidP="00E5611D">
      <w:pPr>
        <w:pStyle w:val="Heading1"/>
        <w:rPr>
          <w:rFonts w:asciiTheme="minorHAnsi" w:hAnsiTheme="minorHAnsi" w:cstheme="minorHAnsi"/>
        </w:rPr>
      </w:pPr>
      <w:bookmarkStart w:id="2" w:name="_Toc75438746"/>
      <w:r w:rsidRPr="00852641">
        <w:rPr>
          <w:rFonts w:asciiTheme="minorHAnsi" w:hAnsiTheme="minorHAnsi" w:cstheme="minorHAnsi"/>
        </w:rPr>
        <w:t>Background</w:t>
      </w:r>
      <w:bookmarkEnd w:id="2"/>
    </w:p>
    <w:p w14:paraId="0F116E70" w14:textId="4A332D80" w:rsidR="00E5611D" w:rsidRPr="00852641" w:rsidRDefault="00E5611D" w:rsidP="00E5611D">
      <w:pPr>
        <w:rPr>
          <w:rFonts w:cstheme="minorHAnsi"/>
          <w:sz w:val="20"/>
          <w:szCs w:val="20"/>
        </w:rPr>
      </w:pPr>
      <w:r w:rsidRPr="00852641">
        <w:rPr>
          <w:rFonts w:cstheme="minorHAnsi"/>
          <w:sz w:val="20"/>
          <w:szCs w:val="20"/>
        </w:rPr>
        <w:t>In 2021 UNDP began a project with the Institute for Economics and Peace (IEP) to build a pilot Fragility Model. Its purpose was to</w:t>
      </w:r>
      <w:r w:rsidR="00852641" w:rsidRPr="00852641">
        <w:rPr>
          <w:rFonts w:cstheme="minorHAnsi"/>
          <w:sz w:val="20"/>
          <w:szCs w:val="20"/>
        </w:rPr>
        <w:t>:</w:t>
      </w:r>
      <w:r w:rsidRPr="00852641">
        <w:rPr>
          <w:rFonts w:cstheme="minorHAnsi"/>
          <w:sz w:val="20"/>
          <w:szCs w:val="20"/>
        </w:rPr>
        <w:t xml:space="preserve"> </w:t>
      </w:r>
    </w:p>
    <w:p w14:paraId="43AA111A" w14:textId="43290C04" w:rsidR="00E5611D" w:rsidRPr="00852641" w:rsidRDefault="00E5611D" w:rsidP="00E5611D">
      <w:pPr>
        <w:pStyle w:val="ListParagraph"/>
        <w:numPr>
          <w:ilvl w:val="0"/>
          <w:numId w:val="7"/>
        </w:numPr>
        <w:rPr>
          <w:rFonts w:cstheme="minorHAnsi"/>
          <w:sz w:val="20"/>
          <w:szCs w:val="20"/>
        </w:rPr>
      </w:pPr>
      <w:r w:rsidRPr="00852641">
        <w:rPr>
          <w:rFonts w:cstheme="minorHAnsi"/>
          <w:sz w:val="20"/>
          <w:szCs w:val="20"/>
        </w:rPr>
        <w:t>Be based around the 4P’s of People, Planet, Prosperity and Peace.</w:t>
      </w:r>
    </w:p>
    <w:p w14:paraId="12316230" w14:textId="5046B20A" w:rsidR="00E5611D" w:rsidRPr="00852641" w:rsidRDefault="00E5611D" w:rsidP="00E5611D">
      <w:pPr>
        <w:pStyle w:val="ListParagraph"/>
        <w:numPr>
          <w:ilvl w:val="0"/>
          <w:numId w:val="7"/>
        </w:numPr>
        <w:rPr>
          <w:rFonts w:cstheme="minorHAnsi"/>
          <w:sz w:val="20"/>
          <w:szCs w:val="20"/>
        </w:rPr>
      </w:pPr>
      <w:r w:rsidRPr="00852641">
        <w:rPr>
          <w:rFonts w:cstheme="minorHAnsi"/>
          <w:sz w:val="20"/>
          <w:szCs w:val="20"/>
        </w:rPr>
        <w:t>Use a minimal set of key indicators.</w:t>
      </w:r>
    </w:p>
    <w:p w14:paraId="0DBB7C63" w14:textId="6C31DF0C" w:rsidR="00E5611D" w:rsidRPr="00852641" w:rsidRDefault="00E5611D" w:rsidP="00E5611D">
      <w:pPr>
        <w:pStyle w:val="ListParagraph"/>
        <w:numPr>
          <w:ilvl w:val="0"/>
          <w:numId w:val="7"/>
        </w:numPr>
        <w:rPr>
          <w:rFonts w:cstheme="minorHAnsi"/>
          <w:sz w:val="20"/>
          <w:szCs w:val="20"/>
        </w:rPr>
      </w:pPr>
      <w:r w:rsidRPr="00852641">
        <w:rPr>
          <w:rFonts w:cstheme="minorHAnsi"/>
          <w:sz w:val="20"/>
          <w:szCs w:val="20"/>
        </w:rPr>
        <w:t>Use best practice statistical techniques.</w:t>
      </w:r>
    </w:p>
    <w:p w14:paraId="61A66FCA" w14:textId="6B886FB2" w:rsidR="00E5611D" w:rsidRPr="00852641" w:rsidRDefault="00E5611D" w:rsidP="00E5611D">
      <w:pPr>
        <w:pStyle w:val="ListParagraph"/>
        <w:numPr>
          <w:ilvl w:val="0"/>
          <w:numId w:val="7"/>
        </w:numPr>
        <w:rPr>
          <w:rFonts w:cstheme="minorHAnsi"/>
          <w:sz w:val="20"/>
          <w:szCs w:val="20"/>
        </w:rPr>
      </w:pPr>
      <w:r w:rsidRPr="00852641">
        <w:rPr>
          <w:rFonts w:cstheme="minorHAnsi"/>
          <w:sz w:val="20"/>
          <w:szCs w:val="20"/>
        </w:rPr>
        <w:t>Be adaptable to allow for future inclusion of qualitative indicators.</w:t>
      </w:r>
    </w:p>
    <w:p w14:paraId="7D16AFAD" w14:textId="5D8C17D1" w:rsidR="0042381C" w:rsidRDefault="00E5611D" w:rsidP="00852641">
      <w:pPr>
        <w:rPr>
          <w:rFonts w:cstheme="minorHAnsi"/>
          <w:sz w:val="20"/>
          <w:szCs w:val="20"/>
        </w:rPr>
      </w:pPr>
      <w:r w:rsidRPr="00852641">
        <w:rPr>
          <w:rFonts w:cstheme="minorHAnsi"/>
          <w:sz w:val="20"/>
          <w:szCs w:val="20"/>
        </w:rPr>
        <w:t xml:space="preserve">Through expert consultation, the UNDP Fragility Model (UNDP-FM) is currently comprised of 15 core concepts and </w:t>
      </w:r>
      <w:r w:rsidR="00611483">
        <w:rPr>
          <w:rFonts w:cstheme="minorHAnsi"/>
          <w:sz w:val="20"/>
          <w:szCs w:val="20"/>
        </w:rPr>
        <w:t>34</w:t>
      </w:r>
      <w:r w:rsidRPr="00852641">
        <w:rPr>
          <w:rFonts w:cstheme="minorHAnsi"/>
          <w:sz w:val="20"/>
          <w:szCs w:val="20"/>
        </w:rPr>
        <w:t xml:space="preserve"> </w:t>
      </w:r>
      <w:r w:rsidR="00852641" w:rsidRPr="00852641">
        <w:rPr>
          <w:rFonts w:cstheme="minorHAnsi"/>
          <w:sz w:val="20"/>
          <w:szCs w:val="20"/>
        </w:rPr>
        <w:t xml:space="preserve">quantitative </w:t>
      </w:r>
      <w:r w:rsidRPr="00852641">
        <w:rPr>
          <w:rFonts w:cstheme="minorHAnsi"/>
          <w:sz w:val="20"/>
          <w:szCs w:val="20"/>
        </w:rPr>
        <w:t xml:space="preserve">indicators. </w:t>
      </w:r>
      <w:r w:rsidR="00852641" w:rsidRPr="00852641">
        <w:rPr>
          <w:rFonts w:cstheme="minorHAnsi"/>
          <w:sz w:val="20"/>
          <w:szCs w:val="20"/>
        </w:rPr>
        <w:t xml:space="preserve">It forms the basis for further expansion in future iterations. </w:t>
      </w:r>
      <w:r w:rsidR="00852641">
        <w:rPr>
          <w:rFonts w:cstheme="minorHAnsi"/>
          <w:sz w:val="20"/>
          <w:szCs w:val="20"/>
        </w:rPr>
        <w:t xml:space="preserve">Table </w:t>
      </w:r>
      <w:r w:rsidR="006A63D9">
        <w:rPr>
          <w:rFonts w:cstheme="minorHAnsi"/>
          <w:sz w:val="20"/>
          <w:szCs w:val="20"/>
        </w:rPr>
        <w:t>1</w:t>
      </w:r>
      <w:r w:rsidR="00852641">
        <w:rPr>
          <w:rFonts w:cstheme="minorHAnsi"/>
          <w:sz w:val="20"/>
          <w:szCs w:val="20"/>
        </w:rPr>
        <w:t xml:space="preserve"> lists the top 20 most and least fragile countries using this framework.</w:t>
      </w:r>
    </w:p>
    <w:p w14:paraId="063A03AE" w14:textId="6C5BADA3" w:rsidR="006A63D9" w:rsidRPr="00852641" w:rsidRDefault="006A63D9" w:rsidP="006A63D9">
      <w:pPr>
        <w:pStyle w:val="YDInormal"/>
        <w:spacing w:line="480" w:lineRule="auto"/>
        <w:jc w:val="both"/>
        <w:rPr>
          <w:rFonts w:asciiTheme="minorHAnsi" w:hAnsiTheme="minorHAnsi" w:cstheme="minorHAnsi"/>
          <w:b/>
          <w:szCs w:val="20"/>
          <w:lang w:val="en-AU"/>
        </w:rPr>
      </w:pPr>
      <w:r w:rsidRPr="00852641">
        <w:rPr>
          <w:rFonts w:asciiTheme="minorHAnsi" w:hAnsiTheme="minorHAnsi" w:cstheme="minorHAnsi"/>
          <w:b/>
          <w:szCs w:val="20"/>
          <w:lang w:val="en-AU"/>
        </w:rPr>
        <w:t xml:space="preserve">Table </w:t>
      </w:r>
      <w:r>
        <w:rPr>
          <w:rFonts w:asciiTheme="minorHAnsi" w:hAnsiTheme="minorHAnsi" w:cstheme="minorHAnsi"/>
          <w:b/>
          <w:szCs w:val="20"/>
        </w:rPr>
        <w:t>1</w:t>
      </w:r>
      <w:r w:rsidRPr="00852641">
        <w:rPr>
          <w:rFonts w:asciiTheme="minorHAnsi" w:hAnsiTheme="minorHAnsi" w:cstheme="minorHAnsi"/>
          <w:b/>
          <w:szCs w:val="20"/>
          <w:lang w:val="en-AU"/>
        </w:rPr>
        <w:t xml:space="preserve"> </w:t>
      </w:r>
      <w:r>
        <w:rPr>
          <w:rFonts w:asciiTheme="minorHAnsi" w:hAnsiTheme="minorHAnsi" w:cstheme="minorHAnsi"/>
          <w:b/>
          <w:szCs w:val="20"/>
          <w:lang w:val="en-AU"/>
        </w:rPr>
        <w:t xml:space="preserve">Indicative Results of the </w:t>
      </w:r>
      <w:r w:rsidR="00490F3D">
        <w:rPr>
          <w:rFonts w:asciiTheme="minorHAnsi" w:hAnsiTheme="minorHAnsi" w:cstheme="minorHAnsi"/>
          <w:b/>
          <w:szCs w:val="20"/>
          <w:lang w:val="en-AU"/>
        </w:rPr>
        <w:t>P</w:t>
      </w:r>
      <w:r>
        <w:rPr>
          <w:rFonts w:asciiTheme="minorHAnsi" w:hAnsiTheme="minorHAnsi" w:cstheme="minorHAnsi"/>
          <w:b/>
          <w:szCs w:val="20"/>
          <w:lang w:val="en-AU"/>
        </w:rPr>
        <w:t>ilot</w:t>
      </w:r>
      <w:r w:rsidRPr="00852641">
        <w:rPr>
          <w:rFonts w:asciiTheme="minorHAnsi" w:hAnsiTheme="minorHAnsi" w:cstheme="minorHAnsi"/>
          <w:b/>
          <w:szCs w:val="20"/>
          <w:lang w:val="en-AU"/>
        </w:rPr>
        <w:t xml:space="preserve"> </w:t>
      </w:r>
      <w:r>
        <w:rPr>
          <w:rFonts w:asciiTheme="minorHAnsi" w:hAnsiTheme="minorHAnsi" w:cstheme="minorHAnsi"/>
          <w:b/>
          <w:szCs w:val="20"/>
          <w:lang w:val="en-AU"/>
        </w:rPr>
        <w:t>UNDP-FM</w:t>
      </w:r>
    </w:p>
    <w:tbl>
      <w:tblPr>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927"/>
        <w:gridCol w:w="2198"/>
        <w:gridCol w:w="1927"/>
      </w:tblGrid>
      <w:tr w:rsidR="00534E53" w:rsidRPr="002A13FF" w14:paraId="37633CC1" w14:textId="77777777" w:rsidTr="00534E53">
        <w:trPr>
          <w:trHeight w:val="314"/>
        </w:trPr>
        <w:tc>
          <w:tcPr>
            <w:tcW w:w="3230" w:type="dxa"/>
            <w:shd w:val="clear" w:color="auto" w:fill="auto"/>
            <w:noWrap/>
            <w:vAlign w:val="bottom"/>
            <w:hideMark/>
          </w:tcPr>
          <w:p w14:paraId="67A4FAC8" w14:textId="77777777" w:rsidR="00534E53" w:rsidRPr="002A13FF" w:rsidRDefault="00534E53" w:rsidP="00534E53">
            <w:pPr>
              <w:suppressAutoHyphens w:val="0"/>
              <w:spacing w:after="0" w:line="240" w:lineRule="auto"/>
              <w:jc w:val="center"/>
              <w:rPr>
                <w:rFonts w:ascii="Calibri" w:eastAsia="Times New Roman" w:hAnsi="Calibri" w:cs="Calibri"/>
                <w:b/>
                <w:color w:val="000000"/>
                <w:sz w:val="20"/>
                <w:lang w:val="en-AU" w:eastAsia="en-AU"/>
              </w:rPr>
            </w:pPr>
            <w:r w:rsidRPr="002A13FF">
              <w:rPr>
                <w:rFonts w:ascii="Calibri" w:eastAsia="Times New Roman" w:hAnsi="Calibri" w:cs="Calibri"/>
                <w:b/>
                <w:color w:val="000000"/>
                <w:sz w:val="20"/>
                <w:lang w:val="en-AU" w:eastAsia="en-AU"/>
              </w:rPr>
              <w:t>Most Fragile</w:t>
            </w:r>
          </w:p>
        </w:tc>
        <w:tc>
          <w:tcPr>
            <w:tcW w:w="1927" w:type="dxa"/>
            <w:shd w:val="clear" w:color="auto" w:fill="auto"/>
            <w:noWrap/>
            <w:vAlign w:val="bottom"/>
            <w:hideMark/>
          </w:tcPr>
          <w:p w14:paraId="3F35B14F" w14:textId="77777777" w:rsidR="00534E53" w:rsidRPr="002A13FF" w:rsidRDefault="00534E53" w:rsidP="00534E53">
            <w:pPr>
              <w:suppressAutoHyphens w:val="0"/>
              <w:spacing w:after="0" w:line="240" w:lineRule="auto"/>
              <w:jc w:val="center"/>
              <w:rPr>
                <w:rFonts w:ascii="Calibri" w:eastAsia="Times New Roman" w:hAnsi="Calibri" w:cs="Calibri"/>
                <w:b/>
                <w:color w:val="000000"/>
                <w:sz w:val="20"/>
                <w:lang w:val="en-AU" w:eastAsia="en-AU"/>
              </w:rPr>
            </w:pPr>
            <w:r w:rsidRPr="002A13FF">
              <w:rPr>
                <w:rFonts w:ascii="Calibri" w:eastAsia="Times New Roman" w:hAnsi="Calibri" w:cs="Calibri"/>
                <w:b/>
                <w:color w:val="000000"/>
                <w:sz w:val="20"/>
                <w:lang w:val="en-AU" w:eastAsia="en-AU"/>
              </w:rPr>
              <w:t>Fragility Score</w:t>
            </w:r>
          </w:p>
        </w:tc>
        <w:tc>
          <w:tcPr>
            <w:tcW w:w="2198" w:type="dxa"/>
            <w:shd w:val="clear" w:color="auto" w:fill="auto"/>
            <w:noWrap/>
            <w:vAlign w:val="bottom"/>
            <w:hideMark/>
          </w:tcPr>
          <w:p w14:paraId="09DFF7B3" w14:textId="77777777" w:rsidR="00534E53" w:rsidRPr="002A13FF" w:rsidRDefault="00534E53" w:rsidP="00534E53">
            <w:pPr>
              <w:suppressAutoHyphens w:val="0"/>
              <w:spacing w:after="0" w:line="240" w:lineRule="auto"/>
              <w:jc w:val="center"/>
              <w:rPr>
                <w:rFonts w:ascii="Calibri" w:eastAsia="Times New Roman" w:hAnsi="Calibri" w:cs="Calibri"/>
                <w:b/>
                <w:color w:val="000000"/>
                <w:sz w:val="20"/>
                <w:lang w:val="en-AU" w:eastAsia="en-AU"/>
              </w:rPr>
            </w:pPr>
            <w:r w:rsidRPr="002A13FF">
              <w:rPr>
                <w:rFonts w:ascii="Calibri" w:eastAsia="Times New Roman" w:hAnsi="Calibri" w:cs="Calibri"/>
                <w:b/>
                <w:color w:val="000000"/>
                <w:sz w:val="20"/>
                <w:lang w:val="en-AU" w:eastAsia="en-AU"/>
              </w:rPr>
              <w:t>Least Fragile</w:t>
            </w:r>
          </w:p>
        </w:tc>
        <w:tc>
          <w:tcPr>
            <w:tcW w:w="1927" w:type="dxa"/>
            <w:shd w:val="clear" w:color="auto" w:fill="auto"/>
            <w:noWrap/>
            <w:vAlign w:val="bottom"/>
            <w:hideMark/>
          </w:tcPr>
          <w:p w14:paraId="702E32E4" w14:textId="77777777" w:rsidR="00534E53" w:rsidRPr="002A13FF" w:rsidRDefault="00534E53" w:rsidP="00534E53">
            <w:pPr>
              <w:suppressAutoHyphens w:val="0"/>
              <w:spacing w:after="0" w:line="240" w:lineRule="auto"/>
              <w:jc w:val="center"/>
              <w:rPr>
                <w:rFonts w:ascii="Calibri" w:eastAsia="Times New Roman" w:hAnsi="Calibri" w:cs="Calibri"/>
                <w:b/>
                <w:color w:val="000000"/>
                <w:sz w:val="20"/>
                <w:lang w:val="en-AU" w:eastAsia="en-AU"/>
              </w:rPr>
            </w:pPr>
            <w:r w:rsidRPr="002A13FF">
              <w:rPr>
                <w:rFonts w:ascii="Calibri" w:eastAsia="Times New Roman" w:hAnsi="Calibri" w:cs="Calibri"/>
                <w:b/>
                <w:color w:val="000000"/>
                <w:sz w:val="20"/>
                <w:lang w:val="en-AU" w:eastAsia="en-AU"/>
              </w:rPr>
              <w:t>Fragility Score</w:t>
            </w:r>
          </w:p>
        </w:tc>
      </w:tr>
      <w:tr w:rsidR="00273168" w:rsidRPr="002A13FF" w14:paraId="2BF48AE0" w14:textId="77777777" w:rsidTr="00BD313C">
        <w:trPr>
          <w:trHeight w:val="314"/>
        </w:trPr>
        <w:tc>
          <w:tcPr>
            <w:tcW w:w="3230" w:type="dxa"/>
            <w:shd w:val="clear" w:color="auto" w:fill="auto"/>
            <w:noWrap/>
            <w:hideMark/>
          </w:tcPr>
          <w:p w14:paraId="751E8F8D" w14:textId="7BDF6776"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Somalia</w:t>
            </w:r>
          </w:p>
        </w:tc>
        <w:tc>
          <w:tcPr>
            <w:tcW w:w="1927" w:type="dxa"/>
            <w:shd w:val="clear" w:color="000000" w:fill="F8696B"/>
            <w:noWrap/>
            <w:hideMark/>
          </w:tcPr>
          <w:p w14:paraId="30761374" w14:textId="44911D84"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0.82</w:t>
            </w:r>
          </w:p>
        </w:tc>
        <w:tc>
          <w:tcPr>
            <w:tcW w:w="2198" w:type="dxa"/>
            <w:shd w:val="clear" w:color="auto" w:fill="auto"/>
            <w:noWrap/>
            <w:hideMark/>
          </w:tcPr>
          <w:p w14:paraId="3CD50D1A" w14:textId="77D52154"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Czech Republic</w:t>
            </w:r>
          </w:p>
        </w:tc>
        <w:tc>
          <w:tcPr>
            <w:tcW w:w="1927" w:type="dxa"/>
            <w:shd w:val="clear" w:color="000000" w:fill="88CD9B"/>
            <w:noWrap/>
            <w:hideMark/>
          </w:tcPr>
          <w:p w14:paraId="54646E9E" w14:textId="4B389086"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0.19</w:t>
            </w:r>
          </w:p>
        </w:tc>
      </w:tr>
      <w:tr w:rsidR="00273168" w:rsidRPr="002A13FF" w14:paraId="2FD64373" w14:textId="77777777" w:rsidTr="00BD313C">
        <w:trPr>
          <w:trHeight w:val="314"/>
        </w:trPr>
        <w:tc>
          <w:tcPr>
            <w:tcW w:w="3230" w:type="dxa"/>
            <w:shd w:val="clear" w:color="auto" w:fill="auto"/>
            <w:noWrap/>
            <w:hideMark/>
          </w:tcPr>
          <w:p w14:paraId="5F80874B" w14:textId="0E263057"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South Sudan</w:t>
            </w:r>
          </w:p>
        </w:tc>
        <w:tc>
          <w:tcPr>
            <w:tcW w:w="1927" w:type="dxa"/>
            <w:shd w:val="clear" w:color="000000" w:fill="F96D6F"/>
            <w:noWrap/>
            <w:hideMark/>
          </w:tcPr>
          <w:p w14:paraId="60D332DE" w14:textId="6A1935D8"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0.8</w:t>
            </w:r>
          </w:p>
        </w:tc>
        <w:tc>
          <w:tcPr>
            <w:tcW w:w="2198" w:type="dxa"/>
            <w:shd w:val="clear" w:color="auto" w:fill="auto"/>
            <w:noWrap/>
            <w:hideMark/>
          </w:tcPr>
          <w:p w14:paraId="21535AB2" w14:textId="1AF36830"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Slovenia</w:t>
            </w:r>
          </w:p>
        </w:tc>
        <w:tc>
          <w:tcPr>
            <w:tcW w:w="1927" w:type="dxa"/>
            <w:shd w:val="clear" w:color="000000" w:fill="83CB96"/>
            <w:noWrap/>
            <w:hideMark/>
          </w:tcPr>
          <w:p w14:paraId="15CB35A9" w14:textId="5ED508C0"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0.19</w:t>
            </w:r>
          </w:p>
        </w:tc>
      </w:tr>
      <w:tr w:rsidR="00273168" w:rsidRPr="002A13FF" w14:paraId="4C84D6F9" w14:textId="77777777" w:rsidTr="00BD313C">
        <w:trPr>
          <w:trHeight w:val="314"/>
        </w:trPr>
        <w:tc>
          <w:tcPr>
            <w:tcW w:w="3230" w:type="dxa"/>
            <w:shd w:val="clear" w:color="auto" w:fill="auto"/>
            <w:noWrap/>
            <w:hideMark/>
          </w:tcPr>
          <w:p w14:paraId="49E66F50" w14:textId="6433A12B"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Central African Republic</w:t>
            </w:r>
          </w:p>
        </w:tc>
        <w:tc>
          <w:tcPr>
            <w:tcW w:w="1927" w:type="dxa"/>
            <w:shd w:val="clear" w:color="000000" w:fill="F97577"/>
            <w:noWrap/>
            <w:hideMark/>
          </w:tcPr>
          <w:p w14:paraId="2849366B" w14:textId="2BBAD892"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0.78</w:t>
            </w:r>
          </w:p>
        </w:tc>
        <w:tc>
          <w:tcPr>
            <w:tcW w:w="2198" w:type="dxa"/>
            <w:shd w:val="clear" w:color="auto" w:fill="auto"/>
            <w:noWrap/>
            <w:hideMark/>
          </w:tcPr>
          <w:p w14:paraId="1BB95EFF" w14:textId="5C2410B9"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France</w:t>
            </w:r>
          </w:p>
        </w:tc>
        <w:tc>
          <w:tcPr>
            <w:tcW w:w="1927" w:type="dxa"/>
            <w:shd w:val="clear" w:color="000000" w:fill="83CB96"/>
            <w:noWrap/>
            <w:hideMark/>
          </w:tcPr>
          <w:p w14:paraId="317E11FD" w14:textId="68C6DD9F"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0.19</w:t>
            </w:r>
          </w:p>
        </w:tc>
      </w:tr>
      <w:tr w:rsidR="00273168" w:rsidRPr="002A13FF" w14:paraId="6E51EEF0" w14:textId="77777777" w:rsidTr="00BD313C">
        <w:trPr>
          <w:trHeight w:val="314"/>
        </w:trPr>
        <w:tc>
          <w:tcPr>
            <w:tcW w:w="3230" w:type="dxa"/>
            <w:shd w:val="clear" w:color="auto" w:fill="auto"/>
            <w:noWrap/>
            <w:hideMark/>
          </w:tcPr>
          <w:p w14:paraId="1F37F3EA" w14:textId="0CA7FE05"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Yemen</w:t>
            </w:r>
          </w:p>
        </w:tc>
        <w:tc>
          <w:tcPr>
            <w:tcW w:w="1927" w:type="dxa"/>
            <w:shd w:val="clear" w:color="000000" w:fill="F9787A"/>
            <w:noWrap/>
            <w:hideMark/>
          </w:tcPr>
          <w:p w14:paraId="4095093C" w14:textId="23C8B180"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0.77</w:t>
            </w:r>
          </w:p>
        </w:tc>
        <w:tc>
          <w:tcPr>
            <w:tcW w:w="2198" w:type="dxa"/>
            <w:shd w:val="clear" w:color="auto" w:fill="auto"/>
            <w:noWrap/>
            <w:hideMark/>
          </w:tcPr>
          <w:p w14:paraId="3090299A" w14:textId="64961F67"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Belgium</w:t>
            </w:r>
          </w:p>
        </w:tc>
        <w:tc>
          <w:tcPr>
            <w:tcW w:w="1927" w:type="dxa"/>
            <w:shd w:val="clear" w:color="000000" w:fill="83CB96"/>
            <w:noWrap/>
            <w:hideMark/>
          </w:tcPr>
          <w:p w14:paraId="2598B484" w14:textId="1C301563"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0.19</w:t>
            </w:r>
          </w:p>
        </w:tc>
      </w:tr>
      <w:tr w:rsidR="00273168" w:rsidRPr="002A13FF" w14:paraId="77FCFFC0" w14:textId="77777777" w:rsidTr="00BD313C">
        <w:trPr>
          <w:trHeight w:val="314"/>
        </w:trPr>
        <w:tc>
          <w:tcPr>
            <w:tcW w:w="3230" w:type="dxa"/>
            <w:shd w:val="clear" w:color="auto" w:fill="auto"/>
            <w:noWrap/>
            <w:hideMark/>
          </w:tcPr>
          <w:p w14:paraId="584855DC" w14:textId="654E515E"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Democratic Republic of the Congo</w:t>
            </w:r>
          </w:p>
        </w:tc>
        <w:tc>
          <w:tcPr>
            <w:tcW w:w="1927" w:type="dxa"/>
            <w:shd w:val="clear" w:color="000000" w:fill="F9787A"/>
            <w:noWrap/>
            <w:hideMark/>
          </w:tcPr>
          <w:p w14:paraId="6A12CFAE" w14:textId="08946323"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0.77</w:t>
            </w:r>
          </w:p>
        </w:tc>
        <w:tc>
          <w:tcPr>
            <w:tcW w:w="2198" w:type="dxa"/>
            <w:shd w:val="clear" w:color="auto" w:fill="auto"/>
            <w:noWrap/>
            <w:hideMark/>
          </w:tcPr>
          <w:p w14:paraId="6EB64297" w14:textId="564E8761"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Singapore</w:t>
            </w:r>
          </w:p>
        </w:tc>
        <w:tc>
          <w:tcPr>
            <w:tcW w:w="1927" w:type="dxa"/>
            <w:shd w:val="clear" w:color="000000" w:fill="83CB96"/>
            <w:noWrap/>
            <w:hideMark/>
          </w:tcPr>
          <w:p w14:paraId="612588C6" w14:textId="7A38D03F"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0.18</w:t>
            </w:r>
          </w:p>
        </w:tc>
      </w:tr>
      <w:tr w:rsidR="00273168" w:rsidRPr="002A13FF" w14:paraId="387E1A56" w14:textId="77777777" w:rsidTr="00BD313C">
        <w:trPr>
          <w:trHeight w:val="314"/>
        </w:trPr>
        <w:tc>
          <w:tcPr>
            <w:tcW w:w="3230" w:type="dxa"/>
            <w:shd w:val="clear" w:color="auto" w:fill="auto"/>
            <w:noWrap/>
            <w:hideMark/>
          </w:tcPr>
          <w:p w14:paraId="3FEC5133" w14:textId="3FABDCFA"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Afghanistan</w:t>
            </w:r>
          </w:p>
        </w:tc>
        <w:tc>
          <w:tcPr>
            <w:tcW w:w="1927" w:type="dxa"/>
            <w:shd w:val="clear" w:color="000000" w:fill="F97C7E"/>
            <w:noWrap/>
            <w:hideMark/>
          </w:tcPr>
          <w:p w14:paraId="67F3F375" w14:textId="3F49438E"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0.76</w:t>
            </w:r>
          </w:p>
        </w:tc>
        <w:tc>
          <w:tcPr>
            <w:tcW w:w="2198" w:type="dxa"/>
            <w:shd w:val="clear" w:color="auto" w:fill="auto"/>
            <w:noWrap/>
            <w:hideMark/>
          </w:tcPr>
          <w:p w14:paraId="14CFB8DB" w14:textId="5D907377"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Canada</w:t>
            </w:r>
          </w:p>
        </w:tc>
        <w:tc>
          <w:tcPr>
            <w:tcW w:w="1927" w:type="dxa"/>
            <w:shd w:val="clear" w:color="000000" w:fill="7DC892"/>
            <w:noWrap/>
            <w:hideMark/>
          </w:tcPr>
          <w:p w14:paraId="7FF36BDE" w14:textId="6DF30604"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0.17</w:t>
            </w:r>
          </w:p>
        </w:tc>
      </w:tr>
      <w:tr w:rsidR="00273168" w:rsidRPr="002A13FF" w14:paraId="19E80CB6" w14:textId="77777777" w:rsidTr="00BD313C">
        <w:trPr>
          <w:trHeight w:val="314"/>
        </w:trPr>
        <w:tc>
          <w:tcPr>
            <w:tcW w:w="3230" w:type="dxa"/>
            <w:shd w:val="clear" w:color="auto" w:fill="auto"/>
            <w:noWrap/>
            <w:hideMark/>
          </w:tcPr>
          <w:p w14:paraId="58C5244A" w14:textId="78B1652A"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Chad</w:t>
            </w:r>
          </w:p>
        </w:tc>
        <w:tc>
          <w:tcPr>
            <w:tcW w:w="1927" w:type="dxa"/>
            <w:shd w:val="clear" w:color="000000" w:fill="F98789"/>
            <w:noWrap/>
            <w:hideMark/>
          </w:tcPr>
          <w:p w14:paraId="1E0E1CED" w14:textId="48830082"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0.73</w:t>
            </w:r>
          </w:p>
        </w:tc>
        <w:tc>
          <w:tcPr>
            <w:tcW w:w="2198" w:type="dxa"/>
            <w:shd w:val="clear" w:color="auto" w:fill="auto"/>
            <w:noWrap/>
            <w:hideMark/>
          </w:tcPr>
          <w:p w14:paraId="1E78751C" w14:textId="2A91E63B"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Ireland</w:t>
            </w:r>
          </w:p>
        </w:tc>
        <w:tc>
          <w:tcPr>
            <w:tcW w:w="1927" w:type="dxa"/>
            <w:shd w:val="clear" w:color="000000" w:fill="7DC892"/>
            <w:noWrap/>
            <w:hideMark/>
          </w:tcPr>
          <w:p w14:paraId="0E3171D1" w14:textId="6677DF29"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0.17</w:t>
            </w:r>
          </w:p>
        </w:tc>
      </w:tr>
      <w:tr w:rsidR="00273168" w:rsidRPr="002A13FF" w14:paraId="5FA52F5C" w14:textId="77777777" w:rsidTr="00BD313C">
        <w:trPr>
          <w:trHeight w:val="314"/>
        </w:trPr>
        <w:tc>
          <w:tcPr>
            <w:tcW w:w="3230" w:type="dxa"/>
            <w:shd w:val="clear" w:color="auto" w:fill="auto"/>
            <w:noWrap/>
            <w:hideMark/>
          </w:tcPr>
          <w:p w14:paraId="763C54EA" w14:textId="64B745A1"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Sudan</w:t>
            </w:r>
          </w:p>
        </w:tc>
        <w:tc>
          <w:tcPr>
            <w:tcW w:w="1927" w:type="dxa"/>
            <w:shd w:val="clear" w:color="000000" w:fill="F98789"/>
            <w:noWrap/>
            <w:hideMark/>
          </w:tcPr>
          <w:p w14:paraId="03929B0F" w14:textId="65F7197D"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0.71</w:t>
            </w:r>
          </w:p>
        </w:tc>
        <w:tc>
          <w:tcPr>
            <w:tcW w:w="2198" w:type="dxa"/>
            <w:shd w:val="clear" w:color="auto" w:fill="auto"/>
            <w:noWrap/>
            <w:hideMark/>
          </w:tcPr>
          <w:p w14:paraId="2A534047" w14:textId="1C55837E"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Australia</w:t>
            </w:r>
          </w:p>
        </w:tc>
        <w:tc>
          <w:tcPr>
            <w:tcW w:w="1927" w:type="dxa"/>
            <w:shd w:val="clear" w:color="000000" w:fill="78C68D"/>
            <w:noWrap/>
            <w:hideMark/>
          </w:tcPr>
          <w:p w14:paraId="56D5B59D" w14:textId="42FB8B42"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0.17</w:t>
            </w:r>
          </w:p>
        </w:tc>
      </w:tr>
      <w:tr w:rsidR="00273168" w:rsidRPr="002A13FF" w14:paraId="7C43DC9C" w14:textId="77777777" w:rsidTr="00BD313C">
        <w:trPr>
          <w:trHeight w:val="314"/>
        </w:trPr>
        <w:tc>
          <w:tcPr>
            <w:tcW w:w="3230" w:type="dxa"/>
            <w:shd w:val="clear" w:color="auto" w:fill="auto"/>
            <w:noWrap/>
            <w:hideMark/>
          </w:tcPr>
          <w:p w14:paraId="5F16C8C4" w14:textId="5399AEBE"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Syria</w:t>
            </w:r>
          </w:p>
        </w:tc>
        <w:tc>
          <w:tcPr>
            <w:tcW w:w="1927" w:type="dxa"/>
            <w:shd w:val="clear" w:color="000000" w:fill="FA8F91"/>
            <w:noWrap/>
            <w:hideMark/>
          </w:tcPr>
          <w:p w14:paraId="0820FA12" w14:textId="49D1A329"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0.69</w:t>
            </w:r>
          </w:p>
        </w:tc>
        <w:tc>
          <w:tcPr>
            <w:tcW w:w="2198" w:type="dxa"/>
            <w:shd w:val="clear" w:color="auto" w:fill="auto"/>
            <w:noWrap/>
            <w:hideMark/>
          </w:tcPr>
          <w:p w14:paraId="74264978" w14:textId="560EBEEA"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United Kingdom</w:t>
            </w:r>
          </w:p>
        </w:tc>
        <w:tc>
          <w:tcPr>
            <w:tcW w:w="1927" w:type="dxa"/>
            <w:shd w:val="clear" w:color="000000" w:fill="78C68D"/>
            <w:noWrap/>
            <w:hideMark/>
          </w:tcPr>
          <w:p w14:paraId="7BDD84FD" w14:textId="4EEB1DD7"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0.17</w:t>
            </w:r>
          </w:p>
        </w:tc>
      </w:tr>
      <w:tr w:rsidR="00273168" w:rsidRPr="002A13FF" w14:paraId="75F3CF4B" w14:textId="77777777" w:rsidTr="00BD313C">
        <w:trPr>
          <w:trHeight w:val="314"/>
        </w:trPr>
        <w:tc>
          <w:tcPr>
            <w:tcW w:w="3230" w:type="dxa"/>
            <w:shd w:val="clear" w:color="auto" w:fill="auto"/>
            <w:noWrap/>
            <w:hideMark/>
          </w:tcPr>
          <w:p w14:paraId="527352DE" w14:textId="0A6D4A91"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Eritrea</w:t>
            </w:r>
          </w:p>
        </w:tc>
        <w:tc>
          <w:tcPr>
            <w:tcW w:w="1927" w:type="dxa"/>
            <w:shd w:val="clear" w:color="000000" w:fill="FA9A9C"/>
            <w:noWrap/>
            <w:hideMark/>
          </w:tcPr>
          <w:p w14:paraId="2D3EF4C7" w14:textId="1DD25B05"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0.69</w:t>
            </w:r>
          </w:p>
        </w:tc>
        <w:tc>
          <w:tcPr>
            <w:tcW w:w="2198" w:type="dxa"/>
            <w:shd w:val="clear" w:color="auto" w:fill="auto"/>
            <w:noWrap/>
            <w:hideMark/>
          </w:tcPr>
          <w:p w14:paraId="63413FDF" w14:textId="57E5756C"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New Zealand</w:t>
            </w:r>
          </w:p>
        </w:tc>
        <w:tc>
          <w:tcPr>
            <w:tcW w:w="1927" w:type="dxa"/>
            <w:shd w:val="clear" w:color="000000" w:fill="73C488"/>
            <w:noWrap/>
            <w:hideMark/>
          </w:tcPr>
          <w:p w14:paraId="593C3616" w14:textId="7C41CCA1"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0.15</w:t>
            </w:r>
          </w:p>
        </w:tc>
      </w:tr>
      <w:tr w:rsidR="00273168" w:rsidRPr="002A13FF" w14:paraId="0C08FA2A" w14:textId="77777777" w:rsidTr="00BD313C">
        <w:trPr>
          <w:trHeight w:val="314"/>
        </w:trPr>
        <w:tc>
          <w:tcPr>
            <w:tcW w:w="3230" w:type="dxa"/>
            <w:shd w:val="clear" w:color="auto" w:fill="auto"/>
            <w:noWrap/>
            <w:hideMark/>
          </w:tcPr>
          <w:p w14:paraId="25646044" w14:textId="29FA8717"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Libya</w:t>
            </w:r>
          </w:p>
        </w:tc>
        <w:tc>
          <w:tcPr>
            <w:tcW w:w="1927" w:type="dxa"/>
            <w:shd w:val="clear" w:color="000000" w:fill="FA9A9C"/>
            <w:noWrap/>
            <w:hideMark/>
          </w:tcPr>
          <w:p w14:paraId="16CDD976" w14:textId="0B1D40A5"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0.69</w:t>
            </w:r>
          </w:p>
        </w:tc>
        <w:tc>
          <w:tcPr>
            <w:tcW w:w="2198" w:type="dxa"/>
            <w:shd w:val="clear" w:color="auto" w:fill="auto"/>
            <w:noWrap/>
            <w:hideMark/>
          </w:tcPr>
          <w:p w14:paraId="721C45A7" w14:textId="4E87280E"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Germany</w:t>
            </w:r>
          </w:p>
        </w:tc>
        <w:tc>
          <w:tcPr>
            <w:tcW w:w="1927" w:type="dxa"/>
            <w:shd w:val="clear" w:color="000000" w:fill="73C488"/>
            <w:noWrap/>
            <w:hideMark/>
          </w:tcPr>
          <w:p w14:paraId="41A903F1" w14:textId="6FF4617C"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0.15</w:t>
            </w:r>
          </w:p>
        </w:tc>
      </w:tr>
      <w:tr w:rsidR="00273168" w:rsidRPr="002A13FF" w14:paraId="786D26D7" w14:textId="77777777" w:rsidTr="00BD313C">
        <w:trPr>
          <w:trHeight w:val="314"/>
        </w:trPr>
        <w:tc>
          <w:tcPr>
            <w:tcW w:w="3230" w:type="dxa"/>
            <w:shd w:val="clear" w:color="auto" w:fill="auto"/>
            <w:noWrap/>
            <w:hideMark/>
          </w:tcPr>
          <w:p w14:paraId="4F71C6EB" w14:textId="7C45B1C2"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Burundi</w:t>
            </w:r>
          </w:p>
        </w:tc>
        <w:tc>
          <w:tcPr>
            <w:tcW w:w="1927" w:type="dxa"/>
            <w:shd w:val="clear" w:color="000000" w:fill="FA9A9C"/>
            <w:noWrap/>
            <w:hideMark/>
          </w:tcPr>
          <w:p w14:paraId="5AE8FEE9" w14:textId="18C16C0B"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0.68</w:t>
            </w:r>
          </w:p>
        </w:tc>
        <w:tc>
          <w:tcPr>
            <w:tcW w:w="2198" w:type="dxa"/>
            <w:shd w:val="clear" w:color="auto" w:fill="auto"/>
            <w:noWrap/>
            <w:hideMark/>
          </w:tcPr>
          <w:p w14:paraId="37880CCF" w14:textId="5736327A"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Austria</w:t>
            </w:r>
          </w:p>
        </w:tc>
        <w:tc>
          <w:tcPr>
            <w:tcW w:w="1927" w:type="dxa"/>
            <w:shd w:val="clear" w:color="000000" w:fill="6DC284"/>
            <w:noWrap/>
            <w:hideMark/>
          </w:tcPr>
          <w:p w14:paraId="796024B5" w14:textId="6327018D"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0.14</w:t>
            </w:r>
          </w:p>
        </w:tc>
      </w:tr>
      <w:tr w:rsidR="00273168" w:rsidRPr="002A13FF" w14:paraId="17878E66" w14:textId="77777777" w:rsidTr="00BD313C">
        <w:trPr>
          <w:trHeight w:val="314"/>
        </w:trPr>
        <w:tc>
          <w:tcPr>
            <w:tcW w:w="3230" w:type="dxa"/>
            <w:shd w:val="clear" w:color="auto" w:fill="auto"/>
            <w:noWrap/>
            <w:hideMark/>
          </w:tcPr>
          <w:p w14:paraId="0E780650" w14:textId="4F5AB28B"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Mali</w:t>
            </w:r>
          </w:p>
        </w:tc>
        <w:tc>
          <w:tcPr>
            <w:tcW w:w="1927" w:type="dxa"/>
            <w:shd w:val="clear" w:color="000000" w:fill="FA9EA0"/>
            <w:noWrap/>
            <w:hideMark/>
          </w:tcPr>
          <w:p w14:paraId="2D96D673" w14:textId="65806273"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0.67</w:t>
            </w:r>
          </w:p>
        </w:tc>
        <w:tc>
          <w:tcPr>
            <w:tcW w:w="2198" w:type="dxa"/>
            <w:shd w:val="clear" w:color="auto" w:fill="auto"/>
            <w:noWrap/>
            <w:hideMark/>
          </w:tcPr>
          <w:p w14:paraId="0EADB3C6" w14:textId="679B7D3F"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Luxembourg</w:t>
            </w:r>
          </w:p>
        </w:tc>
        <w:tc>
          <w:tcPr>
            <w:tcW w:w="1927" w:type="dxa"/>
            <w:shd w:val="clear" w:color="000000" w:fill="68C07F"/>
            <w:noWrap/>
            <w:hideMark/>
          </w:tcPr>
          <w:p w14:paraId="38D67D09" w14:textId="2D72A081"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0.13</w:t>
            </w:r>
          </w:p>
        </w:tc>
      </w:tr>
      <w:tr w:rsidR="00273168" w:rsidRPr="002A13FF" w14:paraId="327A370D" w14:textId="77777777" w:rsidTr="00BD313C">
        <w:trPr>
          <w:trHeight w:val="314"/>
        </w:trPr>
        <w:tc>
          <w:tcPr>
            <w:tcW w:w="3230" w:type="dxa"/>
            <w:shd w:val="clear" w:color="auto" w:fill="auto"/>
            <w:noWrap/>
            <w:hideMark/>
          </w:tcPr>
          <w:p w14:paraId="466EA783" w14:textId="094DBB75"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Equatorial Guinea</w:t>
            </w:r>
          </w:p>
        </w:tc>
        <w:tc>
          <w:tcPr>
            <w:tcW w:w="1927" w:type="dxa"/>
            <w:shd w:val="clear" w:color="000000" w:fill="FA9EA0"/>
            <w:noWrap/>
            <w:hideMark/>
          </w:tcPr>
          <w:p w14:paraId="1E1D18DF" w14:textId="061D3DA4"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0.66</w:t>
            </w:r>
          </w:p>
        </w:tc>
        <w:tc>
          <w:tcPr>
            <w:tcW w:w="2198" w:type="dxa"/>
            <w:shd w:val="clear" w:color="auto" w:fill="auto"/>
            <w:noWrap/>
            <w:hideMark/>
          </w:tcPr>
          <w:p w14:paraId="5D4FD30A" w14:textId="6A03159F"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Iceland</w:t>
            </w:r>
          </w:p>
        </w:tc>
        <w:tc>
          <w:tcPr>
            <w:tcW w:w="1927" w:type="dxa"/>
            <w:shd w:val="clear" w:color="000000" w:fill="68C07F"/>
            <w:noWrap/>
            <w:hideMark/>
          </w:tcPr>
          <w:p w14:paraId="5A601108" w14:textId="1D3594E1"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0.13</w:t>
            </w:r>
          </w:p>
        </w:tc>
      </w:tr>
      <w:tr w:rsidR="00273168" w:rsidRPr="002A13FF" w14:paraId="6B5C5D33" w14:textId="77777777" w:rsidTr="00BD313C">
        <w:trPr>
          <w:trHeight w:val="314"/>
        </w:trPr>
        <w:tc>
          <w:tcPr>
            <w:tcW w:w="3230" w:type="dxa"/>
            <w:shd w:val="clear" w:color="auto" w:fill="auto"/>
            <w:noWrap/>
            <w:hideMark/>
          </w:tcPr>
          <w:p w14:paraId="159EAAB8" w14:textId="2AD270A8"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Niger</w:t>
            </w:r>
          </w:p>
        </w:tc>
        <w:tc>
          <w:tcPr>
            <w:tcW w:w="1927" w:type="dxa"/>
            <w:shd w:val="clear" w:color="000000" w:fill="FAA1A4"/>
            <w:noWrap/>
            <w:hideMark/>
          </w:tcPr>
          <w:p w14:paraId="030802C7" w14:textId="663899B9"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0.66</w:t>
            </w:r>
          </w:p>
        </w:tc>
        <w:tc>
          <w:tcPr>
            <w:tcW w:w="2198" w:type="dxa"/>
            <w:shd w:val="clear" w:color="auto" w:fill="auto"/>
            <w:noWrap/>
            <w:hideMark/>
          </w:tcPr>
          <w:p w14:paraId="655F4D07" w14:textId="49797385"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Netherlands</w:t>
            </w:r>
          </w:p>
        </w:tc>
        <w:tc>
          <w:tcPr>
            <w:tcW w:w="1927" w:type="dxa"/>
            <w:shd w:val="clear" w:color="000000" w:fill="63BE7B"/>
            <w:noWrap/>
            <w:hideMark/>
          </w:tcPr>
          <w:p w14:paraId="141B035A" w14:textId="7D57C765"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0.13</w:t>
            </w:r>
          </w:p>
        </w:tc>
      </w:tr>
      <w:tr w:rsidR="00273168" w:rsidRPr="002A13FF" w14:paraId="3766FF3C" w14:textId="77777777" w:rsidTr="00BD313C">
        <w:trPr>
          <w:trHeight w:val="314"/>
        </w:trPr>
        <w:tc>
          <w:tcPr>
            <w:tcW w:w="3230" w:type="dxa"/>
            <w:shd w:val="clear" w:color="auto" w:fill="auto"/>
            <w:noWrap/>
            <w:hideMark/>
          </w:tcPr>
          <w:p w14:paraId="51704EA2" w14:textId="246E2CFE"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Republic of the Congo</w:t>
            </w:r>
          </w:p>
        </w:tc>
        <w:tc>
          <w:tcPr>
            <w:tcW w:w="1927" w:type="dxa"/>
            <w:shd w:val="clear" w:color="000000" w:fill="FAA9AB"/>
            <w:noWrap/>
            <w:hideMark/>
          </w:tcPr>
          <w:p w14:paraId="5C858646" w14:textId="31C0DD7F"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0.65</w:t>
            </w:r>
          </w:p>
        </w:tc>
        <w:tc>
          <w:tcPr>
            <w:tcW w:w="2198" w:type="dxa"/>
            <w:shd w:val="clear" w:color="auto" w:fill="auto"/>
            <w:noWrap/>
            <w:hideMark/>
          </w:tcPr>
          <w:p w14:paraId="097D1B14" w14:textId="51ABA2FA"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Sweden</w:t>
            </w:r>
          </w:p>
        </w:tc>
        <w:tc>
          <w:tcPr>
            <w:tcW w:w="1927" w:type="dxa"/>
            <w:shd w:val="clear" w:color="000000" w:fill="63BE7B"/>
            <w:noWrap/>
            <w:hideMark/>
          </w:tcPr>
          <w:p w14:paraId="1F84741B" w14:textId="28110DEC"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0.12</w:t>
            </w:r>
          </w:p>
        </w:tc>
      </w:tr>
      <w:tr w:rsidR="00273168" w:rsidRPr="002A13FF" w14:paraId="3826578F" w14:textId="77777777" w:rsidTr="00BD313C">
        <w:trPr>
          <w:trHeight w:val="314"/>
        </w:trPr>
        <w:tc>
          <w:tcPr>
            <w:tcW w:w="3230" w:type="dxa"/>
            <w:shd w:val="clear" w:color="auto" w:fill="auto"/>
            <w:noWrap/>
            <w:hideMark/>
          </w:tcPr>
          <w:p w14:paraId="055A68F5" w14:textId="4EFE2714"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Haiti</w:t>
            </w:r>
          </w:p>
        </w:tc>
        <w:tc>
          <w:tcPr>
            <w:tcW w:w="1927" w:type="dxa"/>
            <w:shd w:val="clear" w:color="000000" w:fill="FAA9AB"/>
            <w:noWrap/>
            <w:hideMark/>
          </w:tcPr>
          <w:p w14:paraId="78792F68" w14:textId="072E1139"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0.65</w:t>
            </w:r>
          </w:p>
        </w:tc>
        <w:tc>
          <w:tcPr>
            <w:tcW w:w="2198" w:type="dxa"/>
            <w:shd w:val="clear" w:color="auto" w:fill="auto"/>
            <w:noWrap/>
            <w:hideMark/>
          </w:tcPr>
          <w:p w14:paraId="5C1C8FA8" w14:textId="60F87E27"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Switzerland</w:t>
            </w:r>
          </w:p>
        </w:tc>
        <w:tc>
          <w:tcPr>
            <w:tcW w:w="1927" w:type="dxa"/>
            <w:shd w:val="clear" w:color="000000" w:fill="63BE7B"/>
            <w:noWrap/>
            <w:hideMark/>
          </w:tcPr>
          <w:p w14:paraId="4EC00901" w14:textId="5441B56B"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0.12</w:t>
            </w:r>
          </w:p>
        </w:tc>
      </w:tr>
      <w:tr w:rsidR="00273168" w:rsidRPr="002A13FF" w14:paraId="7AD23E38" w14:textId="77777777" w:rsidTr="00BD313C">
        <w:trPr>
          <w:trHeight w:val="314"/>
        </w:trPr>
        <w:tc>
          <w:tcPr>
            <w:tcW w:w="3230" w:type="dxa"/>
            <w:shd w:val="clear" w:color="auto" w:fill="auto"/>
            <w:noWrap/>
            <w:hideMark/>
          </w:tcPr>
          <w:p w14:paraId="31F9EDE1" w14:textId="0D575ADA"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Myanmar</w:t>
            </w:r>
          </w:p>
        </w:tc>
        <w:tc>
          <w:tcPr>
            <w:tcW w:w="1927" w:type="dxa"/>
            <w:shd w:val="clear" w:color="000000" w:fill="FAA9AB"/>
            <w:noWrap/>
            <w:hideMark/>
          </w:tcPr>
          <w:p w14:paraId="5C279DEA" w14:textId="6B4517F0"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0.65</w:t>
            </w:r>
          </w:p>
        </w:tc>
        <w:tc>
          <w:tcPr>
            <w:tcW w:w="2198" w:type="dxa"/>
            <w:shd w:val="clear" w:color="auto" w:fill="auto"/>
            <w:noWrap/>
            <w:hideMark/>
          </w:tcPr>
          <w:p w14:paraId="76E1F74A" w14:textId="76D70757"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Denmark</w:t>
            </w:r>
          </w:p>
        </w:tc>
        <w:tc>
          <w:tcPr>
            <w:tcW w:w="1927" w:type="dxa"/>
            <w:shd w:val="clear" w:color="000000" w:fill="63BE7B"/>
            <w:noWrap/>
            <w:hideMark/>
          </w:tcPr>
          <w:p w14:paraId="55D8D78E" w14:textId="1A440BF2"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0.11</w:t>
            </w:r>
          </w:p>
        </w:tc>
      </w:tr>
      <w:tr w:rsidR="00273168" w:rsidRPr="002A13FF" w14:paraId="73E941F6" w14:textId="77777777" w:rsidTr="00BD313C">
        <w:trPr>
          <w:trHeight w:val="314"/>
        </w:trPr>
        <w:tc>
          <w:tcPr>
            <w:tcW w:w="3230" w:type="dxa"/>
            <w:shd w:val="clear" w:color="auto" w:fill="auto"/>
            <w:noWrap/>
            <w:hideMark/>
          </w:tcPr>
          <w:p w14:paraId="6EA9F02A" w14:textId="54B43B9C"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Guinea-Bissau</w:t>
            </w:r>
          </w:p>
        </w:tc>
        <w:tc>
          <w:tcPr>
            <w:tcW w:w="1927" w:type="dxa"/>
            <w:shd w:val="clear" w:color="000000" w:fill="FAA9AB"/>
            <w:noWrap/>
            <w:hideMark/>
          </w:tcPr>
          <w:p w14:paraId="086F64FC" w14:textId="215FBF64"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0.65</w:t>
            </w:r>
          </w:p>
        </w:tc>
        <w:tc>
          <w:tcPr>
            <w:tcW w:w="2198" w:type="dxa"/>
            <w:shd w:val="clear" w:color="auto" w:fill="auto"/>
            <w:noWrap/>
            <w:hideMark/>
          </w:tcPr>
          <w:p w14:paraId="3481D66A" w14:textId="552E9D0E"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Finland</w:t>
            </w:r>
          </w:p>
        </w:tc>
        <w:tc>
          <w:tcPr>
            <w:tcW w:w="1927" w:type="dxa"/>
            <w:shd w:val="clear" w:color="000000" w:fill="63BE7B"/>
            <w:noWrap/>
            <w:hideMark/>
          </w:tcPr>
          <w:p w14:paraId="740B6331" w14:textId="1603E529"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0.11</w:t>
            </w:r>
          </w:p>
        </w:tc>
      </w:tr>
      <w:tr w:rsidR="00273168" w:rsidRPr="002A13FF" w14:paraId="4A7882C8" w14:textId="77777777" w:rsidTr="00BD313C">
        <w:trPr>
          <w:trHeight w:val="314"/>
        </w:trPr>
        <w:tc>
          <w:tcPr>
            <w:tcW w:w="3230" w:type="dxa"/>
            <w:shd w:val="clear" w:color="auto" w:fill="auto"/>
            <w:noWrap/>
            <w:hideMark/>
          </w:tcPr>
          <w:p w14:paraId="5694819D" w14:textId="7A2423CD"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Nigeria</w:t>
            </w:r>
          </w:p>
        </w:tc>
        <w:tc>
          <w:tcPr>
            <w:tcW w:w="1927" w:type="dxa"/>
            <w:shd w:val="clear" w:color="000000" w:fill="FAACAF"/>
            <w:noWrap/>
            <w:hideMark/>
          </w:tcPr>
          <w:p w14:paraId="1A3D38A2" w14:textId="577E5E71"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0.64</w:t>
            </w:r>
          </w:p>
        </w:tc>
        <w:tc>
          <w:tcPr>
            <w:tcW w:w="2198" w:type="dxa"/>
            <w:shd w:val="clear" w:color="auto" w:fill="auto"/>
            <w:noWrap/>
            <w:hideMark/>
          </w:tcPr>
          <w:p w14:paraId="39B2551A" w14:textId="42EF3E7E"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Norway</w:t>
            </w:r>
          </w:p>
        </w:tc>
        <w:tc>
          <w:tcPr>
            <w:tcW w:w="1927" w:type="dxa"/>
            <w:shd w:val="clear" w:color="000000" w:fill="63BE7B"/>
            <w:noWrap/>
            <w:hideMark/>
          </w:tcPr>
          <w:p w14:paraId="09778D68" w14:textId="1AE5C2E7" w:rsidR="00273168" w:rsidRPr="00273168" w:rsidRDefault="00273168" w:rsidP="00273168">
            <w:pPr>
              <w:suppressAutoHyphens w:val="0"/>
              <w:spacing w:after="0" w:line="240" w:lineRule="auto"/>
              <w:jc w:val="center"/>
              <w:rPr>
                <w:rFonts w:ascii="Calibri" w:eastAsia="Times New Roman" w:hAnsi="Calibri" w:cs="Calibri"/>
                <w:color w:val="000000"/>
                <w:sz w:val="20"/>
                <w:lang w:val="en-AU" w:eastAsia="en-AU"/>
              </w:rPr>
            </w:pPr>
            <w:r w:rsidRPr="00273168">
              <w:rPr>
                <w:sz w:val="20"/>
              </w:rPr>
              <w:t>0.11</w:t>
            </w:r>
          </w:p>
        </w:tc>
      </w:tr>
    </w:tbl>
    <w:p w14:paraId="2E6F2FF6" w14:textId="15687304" w:rsidR="00852641" w:rsidRDefault="00852641" w:rsidP="00852641">
      <w:pPr>
        <w:rPr>
          <w:rFonts w:cstheme="minorHAnsi"/>
          <w:sz w:val="20"/>
          <w:szCs w:val="20"/>
        </w:rPr>
      </w:pPr>
    </w:p>
    <w:p w14:paraId="10DE7A43" w14:textId="5A8CC09C" w:rsidR="007012F0" w:rsidRDefault="007012F0" w:rsidP="007012F0">
      <w:pPr>
        <w:pStyle w:val="Heading1"/>
        <w:rPr>
          <w:rFonts w:asciiTheme="minorHAnsi" w:hAnsiTheme="minorHAnsi" w:cstheme="minorHAnsi"/>
        </w:rPr>
      </w:pPr>
      <w:bookmarkStart w:id="3" w:name="_Toc75438747"/>
      <w:r>
        <w:rPr>
          <w:rFonts w:asciiTheme="minorHAnsi" w:hAnsiTheme="minorHAnsi" w:cstheme="minorHAnsi"/>
        </w:rPr>
        <w:lastRenderedPageBreak/>
        <w:t>Next Steps for the UNDP-FM</w:t>
      </w:r>
      <w:bookmarkEnd w:id="3"/>
    </w:p>
    <w:p w14:paraId="64C60E71" w14:textId="41BF00E6" w:rsidR="007012F0" w:rsidRPr="007012F0" w:rsidRDefault="007012F0" w:rsidP="007012F0">
      <w:pPr>
        <w:rPr>
          <w:sz w:val="20"/>
        </w:rPr>
      </w:pPr>
      <w:r w:rsidRPr="007012F0">
        <w:rPr>
          <w:sz w:val="20"/>
        </w:rPr>
        <w:t>This was a pilot for a UNDP-FM which offers large scope for expansion. Next steps would include:</w:t>
      </w:r>
    </w:p>
    <w:p w14:paraId="57925AFC" w14:textId="5A49D03B" w:rsidR="007012F0" w:rsidRDefault="007012F0" w:rsidP="007012F0">
      <w:pPr>
        <w:pStyle w:val="ListParagraph"/>
        <w:numPr>
          <w:ilvl w:val="0"/>
          <w:numId w:val="11"/>
        </w:numPr>
        <w:rPr>
          <w:sz w:val="20"/>
        </w:rPr>
      </w:pPr>
      <w:r w:rsidRPr="007012F0">
        <w:rPr>
          <w:sz w:val="20"/>
        </w:rPr>
        <w:t>Defining and planning for the creation and incorporation of UNDP specific qualitative indicators that could capture expert assessments of different countries.</w:t>
      </w:r>
    </w:p>
    <w:p w14:paraId="5CC6465E" w14:textId="5A20F02F" w:rsidR="00806FF9" w:rsidRPr="007012F0" w:rsidRDefault="00806FF9" w:rsidP="007012F0">
      <w:pPr>
        <w:pStyle w:val="ListParagraph"/>
        <w:numPr>
          <w:ilvl w:val="0"/>
          <w:numId w:val="11"/>
        </w:numPr>
        <w:rPr>
          <w:sz w:val="20"/>
        </w:rPr>
      </w:pPr>
      <w:r>
        <w:rPr>
          <w:sz w:val="20"/>
        </w:rPr>
        <w:t>Exploring the extent to which these or additional indicators can be disaggregated by age, gender, disability, etc.</w:t>
      </w:r>
    </w:p>
    <w:p w14:paraId="5035577A" w14:textId="15E46211" w:rsidR="007012F0" w:rsidRPr="007012F0" w:rsidRDefault="007012F0" w:rsidP="007012F0">
      <w:pPr>
        <w:pStyle w:val="ListParagraph"/>
        <w:numPr>
          <w:ilvl w:val="0"/>
          <w:numId w:val="11"/>
        </w:numPr>
        <w:rPr>
          <w:sz w:val="20"/>
        </w:rPr>
      </w:pPr>
      <w:r w:rsidRPr="007012F0">
        <w:rPr>
          <w:sz w:val="20"/>
        </w:rPr>
        <w:t>Exploring ways of building on existing indicators. For example, the I</w:t>
      </w:r>
      <w:r w:rsidR="00490F3D">
        <w:rPr>
          <w:sz w:val="20"/>
        </w:rPr>
        <w:t>garapé</w:t>
      </w:r>
      <w:r w:rsidRPr="007012F0">
        <w:rPr>
          <w:sz w:val="20"/>
        </w:rPr>
        <w:t xml:space="preserve"> Fragile Cities index, being subnational in nature, offers a unique point of differentiation for the UNDP-FM. However, this was discontinued in 2015. </w:t>
      </w:r>
      <w:r w:rsidR="00470354">
        <w:rPr>
          <w:sz w:val="20"/>
        </w:rPr>
        <w:t>T</w:t>
      </w:r>
      <w:r w:rsidRPr="007012F0">
        <w:rPr>
          <w:sz w:val="20"/>
        </w:rPr>
        <w:t>he methodology is easily updated</w:t>
      </w:r>
      <w:r w:rsidR="00470354">
        <w:rPr>
          <w:sz w:val="20"/>
        </w:rPr>
        <w:t xml:space="preserve"> by IEP if required.</w:t>
      </w:r>
    </w:p>
    <w:p w14:paraId="38BEDE7E" w14:textId="7F127816" w:rsidR="007012F0" w:rsidRPr="007012F0" w:rsidRDefault="007012F0" w:rsidP="007012F0">
      <w:pPr>
        <w:pStyle w:val="ListParagraph"/>
        <w:numPr>
          <w:ilvl w:val="0"/>
          <w:numId w:val="11"/>
        </w:numPr>
        <w:rPr>
          <w:sz w:val="20"/>
        </w:rPr>
      </w:pPr>
      <w:r w:rsidRPr="007012F0">
        <w:rPr>
          <w:sz w:val="20"/>
        </w:rPr>
        <w:t xml:space="preserve">Digitalisation is another point of differentiation of the UNDP-FM. With </w:t>
      </w:r>
      <w:r>
        <w:rPr>
          <w:sz w:val="20"/>
        </w:rPr>
        <w:t>disinformation</w:t>
      </w:r>
      <w:r w:rsidRPr="007012F0">
        <w:rPr>
          <w:sz w:val="20"/>
        </w:rPr>
        <w:t xml:space="preserve"> being a major threat to democracy, it is timely to explore the “good” and “bad” aspect</w:t>
      </w:r>
      <w:r w:rsidR="00490F3D">
        <w:rPr>
          <w:sz w:val="20"/>
        </w:rPr>
        <w:t>s</w:t>
      </w:r>
      <w:r w:rsidRPr="007012F0">
        <w:rPr>
          <w:sz w:val="20"/>
        </w:rPr>
        <w:t xml:space="preserve"> of digitalisation. IEP has tried to capture this with positive and negative indicators in the UNDP-FM which can be easily expanded and explored more fully.</w:t>
      </w:r>
    </w:p>
    <w:p w14:paraId="2B3195A1" w14:textId="77777777" w:rsidR="00FE7A5B" w:rsidRDefault="00DC04BC" w:rsidP="00FE7A5B">
      <w:pPr>
        <w:pStyle w:val="ListParagraph"/>
        <w:numPr>
          <w:ilvl w:val="0"/>
          <w:numId w:val="11"/>
        </w:numPr>
        <w:rPr>
          <w:sz w:val="20"/>
        </w:rPr>
      </w:pPr>
      <w:r w:rsidRPr="00DC04BC">
        <w:rPr>
          <w:sz w:val="20"/>
        </w:rPr>
        <w:t xml:space="preserve">The success of any fragility model lies in the ease in which it is accessed and accessible. UNDP’s Crisis Risk Dashboard offers the ideal platform to standardise and disseminate the UNDP-FM through data, visualisation and analysis. How to incorporate the UNDP-FM into the Crisis Risk Dashboard and UNDP’s workflow will </w:t>
      </w:r>
      <w:r>
        <w:rPr>
          <w:sz w:val="20"/>
        </w:rPr>
        <w:t>require further</w:t>
      </w:r>
      <w:r w:rsidRPr="00DC04BC">
        <w:rPr>
          <w:sz w:val="20"/>
        </w:rPr>
        <w:t xml:space="preserve"> consideration.</w:t>
      </w:r>
      <w:r w:rsidR="00FE7A5B" w:rsidRPr="00FE7A5B">
        <w:rPr>
          <w:sz w:val="20"/>
        </w:rPr>
        <w:t xml:space="preserve"> </w:t>
      </w:r>
    </w:p>
    <w:p w14:paraId="74058EBA" w14:textId="3E908804" w:rsidR="00FE7A5B" w:rsidRDefault="00FE7A5B" w:rsidP="00FE7A5B">
      <w:pPr>
        <w:pStyle w:val="ListParagraph"/>
        <w:numPr>
          <w:ilvl w:val="0"/>
          <w:numId w:val="11"/>
        </w:numPr>
        <w:rPr>
          <w:sz w:val="20"/>
        </w:rPr>
      </w:pPr>
      <w:r w:rsidRPr="00DC04BC">
        <w:rPr>
          <w:sz w:val="20"/>
        </w:rPr>
        <w:t>The UNDP-FM has been constructed using Principal Components analysis</w:t>
      </w:r>
      <w:r w:rsidR="00490F3D">
        <w:rPr>
          <w:sz w:val="20"/>
        </w:rPr>
        <w:t>,</w:t>
      </w:r>
      <w:r w:rsidRPr="00DC04BC">
        <w:rPr>
          <w:sz w:val="20"/>
        </w:rPr>
        <w:t xml:space="preserve"> which can also be extended to clustering countries with similar fragilities. This could be developed to a taxonomy of fragility built specifically for UNDP around the 4P’s.</w:t>
      </w:r>
      <w:r>
        <w:rPr>
          <w:sz w:val="20"/>
        </w:rPr>
        <w:t xml:space="preserve"> Preliminary clustering done by IEP is shown in Figure 1 which identifies the following three distinct fragile cluster</w:t>
      </w:r>
      <w:r w:rsidR="00490F3D">
        <w:rPr>
          <w:sz w:val="20"/>
        </w:rPr>
        <w:t>s</w:t>
      </w:r>
      <w:r>
        <w:rPr>
          <w:sz w:val="20"/>
        </w:rPr>
        <w:t>:</w:t>
      </w:r>
    </w:p>
    <w:p w14:paraId="4FBD68AB" w14:textId="76B4D7C0" w:rsidR="00FE7A5B" w:rsidRDefault="00FE7A5B" w:rsidP="00FE7A5B">
      <w:pPr>
        <w:pStyle w:val="ListParagraph"/>
        <w:numPr>
          <w:ilvl w:val="1"/>
          <w:numId w:val="11"/>
        </w:numPr>
        <w:rPr>
          <w:sz w:val="20"/>
        </w:rPr>
      </w:pPr>
      <w:r w:rsidRPr="00FE7A5B">
        <w:rPr>
          <w:sz w:val="20"/>
        </w:rPr>
        <w:t xml:space="preserve">Cluster A (Yemen, Afghanistan, Syria): </w:t>
      </w:r>
      <w:r>
        <w:rPr>
          <w:sz w:val="20"/>
        </w:rPr>
        <w:t xml:space="preserve">Major fragilities include </w:t>
      </w:r>
      <w:r w:rsidRPr="00FE7A5B">
        <w:rPr>
          <w:sz w:val="20"/>
        </w:rPr>
        <w:t xml:space="preserve">Transborder </w:t>
      </w:r>
      <w:r w:rsidR="00490F3D">
        <w:rPr>
          <w:sz w:val="20"/>
        </w:rPr>
        <w:t>C</w:t>
      </w:r>
      <w:r w:rsidRPr="00FE7A5B">
        <w:rPr>
          <w:sz w:val="20"/>
        </w:rPr>
        <w:t>onflict, Climate Change, Health and Violence</w:t>
      </w:r>
    </w:p>
    <w:p w14:paraId="50DA082C" w14:textId="74828F02" w:rsidR="00FE7A5B" w:rsidRDefault="00FE7A5B" w:rsidP="00FE7A5B">
      <w:pPr>
        <w:pStyle w:val="ListParagraph"/>
        <w:numPr>
          <w:ilvl w:val="1"/>
          <w:numId w:val="11"/>
        </w:numPr>
        <w:rPr>
          <w:sz w:val="20"/>
        </w:rPr>
      </w:pPr>
      <w:r w:rsidRPr="00FE7A5B">
        <w:rPr>
          <w:sz w:val="20"/>
        </w:rPr>
        <w:t xml:space="preserve">Cluster B (Sub-Saharan Africa): </w:t>
      </w:r>
      <w:r>
        <w:rPr>
          <w:sz w:val="20"/>
        </w:rPr>
        <w:t xml:space="preserve">Major fragilities include </w:t>
      </w:r>
      <w:r w:rsidRPr="00FE7A5B">
        <w:rPr>
          <w:sz w:val="20"/>
        </w:rPr>
        <w:t>Health, Economic Stability, Crisis Recovery and Governance Deficit</w:t>
      </w:r>
    </w:p>
    <w:p w14:paraId="53E70ED2" w14:textId="12C5D74A" w:rsidR="00FE7A5B" w:rsidRPr="00DC04BC" w:rsidRDefault="00FE7A5B" w:rsidP="00FE7A5B">
      <w:pPr>
        <w:pStyle w:val="ListParagraph"/>
        <w:numPr>
          <w:ilvl w:val="1"/>
          <w:numId w:val="11"/>
        </w:numPr>
        <w:rPr>
          <w:sz w:val="20"/>
        </w:rPr>
      </w:pPr>
      <w:r w:rsidRPr="00FE7A5B">
        <w:rPr>
          <w:sz w:val="20"/>
        </w:rPr>
        <w:t xml:space="preserve">Cluster D (Egypt, Turkey, LatAM): </w:t>
      </w:r>
      <w:r>
        <w:rPr>
          <w:sz w:val="20"/>
        </w:rPr>
        <w:t xml:space="preserve">Major fragilities include </w:t>
      </w:r>
      <w:r w:rsidRPr="00FE7A5B">
        <w:rPr>
          <w:sz w:val="20"/>
        </w:rPr>
        <w:t>Climate Change, Transborder</w:t>
      </w:r>
      <w:r w:rsidR="00490F3D">
        <w:rPr>
          <w:sz w:val="20"/>
        </w:rPr>
        <w:t xml:space="preserve"> Conflict</w:t>
      </w:r>
      <w:r w:rsidRPr="00FE7A5B">
        <w:rPr>
          <w:sz w:val="20"/>
        </w:rPr>
        <w:t>, Thinking and Working Politically</w:t>
      </w:r>
      <w:r w:rsidR="00490F3D">
        <w:rPr>
          <w:sz w:val="20"/>
        </w:rPr>
        <w:t xml:space="preserve"> and</w:t>
      </w:r>
      <w:r w:rsidRPr="00FE7A5B">
        <w:rPr>
          <w:sz w:val="20"/>
        </w:rPr>
        <w:t xml:space="preserve"> Violence</w:t>
      </w:r>
    </w:p>
    <w:p w14:paraId="23189F0D" w14:textId="633454C6" w:rsidR="00FE7A5B" w:rsidRDefault="00FE7A5B" w:rsidP="00FE7A5B">
      <w:pPr>
        <w:rPr>
          <w:sz w:val="20"/>
        </w:rPr>
      </w:pPr>
    </w:p>
    <w:p w14:paraId="69A51947" w14:textId="3D87437E" w:rsidR="00FE7A5B" w:rsidRPr="00FE7A5B" w:rsidRDefault="00FE7A5B" w:rsidP="00490F3D">
      <w:pPr>
        <w:pStyle w:val="YDInormal"/>
        <w:spacing w:after="0" w:line="480" w:lineRule="auto"/>
        <w:jc w:val="both"/>
        <w:rPr>
          <w:sz w:val="20"/>
        </w:rPr>
      </w:pPr>
      <w:r>
        <w:rPr>
          <w:rFonts w:asciiTheme="minorHAnsi" w:hAnsiTheme="minorHAnsi" w:cstheme="minorHAnsi"/>
          <w:b/>
          <w:szCs w:val="20"/>
        </w:rPr>
        <w:t>Figure 1</w:t>
      </w:r>
      <w:r w:rsidRPr="00852641">
        <w:rPr>
          <w:rFonts w:asciiTheme="minorHAnsi" w:hAnsiTheme="minorHAnsi" w:cstheme="minorHAnsi"/>
          <w:b/>
          <w:szCs w:val="20"/>
        </w:rPr>
        <w:t xml:space="preserve"> </w:t>
      </w:r>
      <w:r>
        <w:rPr>
          <w:rFonts w:asciiTheme="minorHAnsi" w:hAnsiTheme="minorHAnsi" w:cstheme="minorHAnsi"/>
          <w:b/>
          <w:szCs w:val="20"/>
        </w:rPr>
        <w:t>UNDP-FM</w:t>
      </w:r>
      <w:r w:rsidRPr="00852641">
        <w:rPr>
          <w:rFonts w:asciiTheme="minorHAnsi" w:hAnsiTheme="minorHAnsi" w:cstheme="minorHAnsi"/>
          <w:b/>
          <w:szCs w:val="20"/>
        </w:rPr>
        <w:t xml:space="preserve"> </w:t>
      </w:r>
      <w:r>
        <w:rPr>
          <w:rFonts w:asciiTheme="minorHAnsi" w:hAnsiTheme="minorHAnsi" w:cstheme="minorHAnsi"/>
          <w:b/>
          <w:szCs w:val="20"/>
        </w:rPr>
        <w:t>clustering: A taxonomy of the 4P’s</w:t>
      </w:r>
    </w:p>
    <w:p w14:paraId="35B5282F" w14:textId="4C1311EB" w:rsidR="001072BF" w:rsidRPr="00CE1281" w:rsidRDefault="00273168" w:rsidP="00CE1281">
      <w:pPr>
        <w:rPr>
          <w:rFonts w:cstheme="minorHAnsi"/>
          <w:sz w:val="20"/>
          <w:szCs w:val="20"/>
        </w:rPr>
      </w:pPr>
      <w:r>
        <w:rPr>
          <w:rFonts w:cstheme="minorHAnsi"/>
          <w:noProof/>
          <w:sz w:val="20"/>
          <w:szCs w:val="20"/>
          <w:lang w:val="en-AU" w:eastAsia="en-AU"/>
        </w:rPr>
        <w:drawing>
          <wp:inline distT="0" distB="0" distL="0" distR="0" wp14:anchorId="723E16B5" wp14:editId="3D4466D6">
            <wp:extent cx="6042372" cy="296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png"/>
                    <pic:cNvPicPr/>
                  </pic:nvPicPr>
                  <pic:blipFill rotWithShape="1">
                    <a:blip r:embed="rId8">
                      <a:extLst>
                        <a:ext uri="{28A0092B-C50C-407E-A947-70E740481C1C}">
                          <a14:useLocalDpi xmlns:a14="http://schemas.microsoft.com/office/drawing/2010/main" val="0"/>
                        </a:ext>
                      </a:extLst>
                    </a:blip>
                    <a:srcRect t="10277" b="11981"/>
                    <a:stretch/>
                  </pic:blipFill>
                  <pic:spPr bwMode="auto">
                    <a:xfrm>
                      <a:off x="0" y="0"/>
                      <a:ext cx="6049611" cy="2965824"/>
                    </a:xfrm>
                    <a:prstGeom prst="rect">
                      <a:avLst/>
                    </a:prstGeom>
                    <a:ln>
                      <a:noFill/>
                    </a:ln>
                    <a:extLst>
                      <a:ext uri="{53640926-AAD7-44D8-BBD7-CCE9431645EC}">
                        <a14:shadowObscured xmlns:a14="http://schemas.microsoft.com/office/drawing/2010/main"/>
                      </a:ext>
                    </a:extLst>
                  </pic:spPr>
                </pic:pic>
              </a:graphicData>
            </a:graphic>
          </wp:inline>
        </w:drawing>
      </w:r>
    </w:p>
    <w:p w14:paraId="56791B01" w14:textId="58043D6B" w:rsidR="00852641" w:rsidRPr="00852641" w:rsidRDefault="00852641" w:rsidP="00852641">
      <w:pPr>
        <w:pStyle w:val="Heading1"/>
        <w:rPr>
          <w:rFonts w:asciiTheme="minorHAnsi" w:hAnsiTheme="minorHAnsi" w:cstheme="minorHAnsi"/>
        </w:rPr>
      </w:pPr>
      <w:bookmarkStart w:id="4" w:name="_Toc75438748"/>
      <w:r>
        <w:rPr>
          <w:rFonts w:asciiTheme="minorHAnsi" w:hAnsiTheme="minorHAnsi" w:cstheme="minorHAnsi"/>
        </w:rPr>
        <w:lastRenderedPageBreak/>
        <w:t xml:space="preserve">Building the </w:t>
      </w:r>
      <w:r w:rsidR="007012F0">
        <w:rPr>
          <w:rFonts w:asciiTheme="minorHAnsi" w:hAnsiTheme="minorHAnsi" w:cstheme="minorHAnsi"/>
        </w:rPr>
        <w:t xml:space="preserve">Pilot </w:t>
      </w:r>
      <w:r>
        <w:rPr>
          <w:rFonts w:asciiTheme="minorHAnsi" w:hAnsiTheme="minorHAnsi" w:cstheme="minorHAnsi"/>
        </w:rPr>
        <w:t>UNDP-FM</w:t>
      </w:r>
      <w:bookmarkEnd w:id="4"/>
    </w:p>
    <w:p w14:paraId="6A5E8824" w14:textId="6434E15E" w:rsidR="0042381C" w:rsidRPr="00852641" w:rsidRDefault="00852641" w:rsidP="00977CA3">
      <w:pPr>
        <w:pStyle w:val="YDInormal"/>
        <w:spacing w:line="480" w:lineRule="auto"/>
        <w:jc w:val="both"/>
        <w:rPr>
          <w:rFonts w:asciiTheme="minorHAnsi" w:hAnsiTheme="minorHAnsi" w:cstheme="minorHAnsi"/>
          <w:sz w:val="20"/>
          <w:szCs w:val="20"/>
        </w:rPr>
      </w:pPr>
      <w:r>
        <w:rPr>
          <w:rFonts w:asciiTheme="minorHAnsi" w:hAnsiTheme="minorHAnsi" w:cstheme="minorHAnsi"/>
          <w:sz w:val="20"/>
          <w:szCs w:val="20"/>
        </w:rPr>
        <w:t>The development of</w:t>
      </w:r>
      <w:r w:rsidR="003A3F8A" w:rsidRPr="00852641">
        <w:rPr>
          <w:rFonts w:asciiTheme="minorHAnsi" w:hAnsiTheme="minorHAnsi" w:cstheme="minorHAnsi"/>
          <w:sz w:val="20"/>
          <w:szCs w:val="20"/>
        </w:rPr>
        <w:t xml:space="preserve"> the </w:t>
      </w:r>
      <w:r w:rsidRPr="00852641">
        <w:rPr>
          <w:rFonts w:asciiTheme="minorHAnsi" w:hAnsiTheme="minorHAnsi" w:cstheme="minorHAnsi"/>
          <w:sz w:val="20"/>
          <w:szCs w:val="20"/>
        </w:rPr>
        <w:t>UNDP-FM</w:t>
      </w:r>
      <w:r>
        <w:rPr>
          <w:rFonts w:asciiTheme="minorHAnsi" w:hAnsiTheme="minorHAnsi" w:cstheme="minorHAnsi"/>
          <w:sz w:val="20"/>
          <w:szCs w:val="20"/>
        </w:rPr>
        <w:t xml:space="preserve"> </w:t>
      </w:r>
      <w:r w:rsidR="003A3F8A" w:rsidRPr="00852641">
        <w:rPr>
          <w:rFonts w:asciiTheme="minorHAnsi" w:hAnsiTheme="minorHAnsi" w:cstheme="minorHAnsi"/>
          <w:sz w:val="20"/>
          <w:szCs w:val="20"/>
        </w:rPr>
        <w:t>has followed the general index construct process:</w:t>
      </w:r>
    </w:p>
    <w:p w14:paraId="4799B681" w14:textId="77777777" w:rsidR="0042381C" w:rsidRPr="00852641" w:rsidRDefault="003A3F8A" w:rsidP="00534E53">
      <w:pPr>
        <w:pStyle w:val="ListParagraph"/>
        <w:numPr>
          <w:ilvl w:val="0"/>
          <w:numId w:val="9"/>
        </w:numPr>
        <w:rPr>
          <w:rFonts w:cstheme="minorHAnsi"/>
          <w:sz w:val="20"/>
          <w:szCs w:val="20"/>
        </w:rPr>
      </w:pPr>
      <w:r w:rsidRPr="00852641">
        <w:rPr>
          <w:rFonts w:cstheme="minorHAnsi"/>
          <w:sz w:val="20"/>
          <w:szCs w:val="20"/>
        </w:rPr>
        <w:t>Sourcing and collating raw data</w:t>
      </w:r>
    </w:p>
    <w:p w14:paraId="6EFB3C24" w14:textId="77777777" w:rsidR="0042381C" w:rsidRPr="00852641" w:rsidRDefault="003A3F8A" w:rsidP="00534E53">
      <w:pPr>
        <w:pStyle w:val="ListParagraph"/>
        <w:numPr>
          <w:ilvl w:val="0"/>
          <w:numId w:val="9"/>
        </w:numPr>
        <w:rPr>
          <w:rFonts w:cstheme="minorHAnsi"/>
          <w:sz w:val="20"/>
          <w:szCs w:val="20"/>
        </w:rPr>
      </w:pPr>
      <w:r w:rsidRPr="00852641">
        <w:rPr>
          <w:rFonts w:cstheme="minorHAnsi"/>
          <w:sz w:val="20"/>
          <w:szCs w:val="20"/>
        </w:rPr>
        <w:t>Filling and imputing data gaps</w:t>
      </w:r>
    </w:p>
    <w:p w14:paraId="373F23A5" w14:textId="77777777" w:rsidR="0042381C" w:rsidRPr="00852641" w:rsidRDefault="003A3F8A" w:rsidP="00534E53">
      <w:pPr>
        <w:pStyle w:val="ListParagraph"/>
        <w:numPr>
          <w:ilvl w:val="0"/>
          <w:numId w:val="9"/>
        </w:numPr>
        <w:rPr>
          <w:rFonts w:cstheme="minorHAnsi"/>
          <w:sz w:val="20"/>
          <w:szCs w:val="20"/>
        </w:rPr>
      </w:pPr>
      <w:r w:rsidRPr="00852641">
        <w:rPr>
          <w:rFonts w:cstheme="minorHAnsi"/>
          <w:sz w:val="20"/>
          <w:szCs w:val="20"/>
        </w:rPr>
        <w:t>Banding</w:t>
      </w:r>
    </w:p>
    <w:p w14:paraId="0C474072" w14:textId="77777777" w:rsidR="0042381C" w:rsidRPr="00852641" w:rsidRDefault="003A3F8A" w:rsidP="00534E53">
      <w:pPr>
        <w:pStyle w:val="ListParagraph"/>
        <w:numPr>
          <w:ilvl w:val="0"/>
          <w:numId w:val="9"/>
        </w:numPr>
        <w:rPr>
          <w:rFonts w:cstheme="minorHAnsi"/>
          <w:sz w:val="20"/>
          <w:szCs w:val="20"/>
        </w:rPr>
      </w:pPr>
      <w:r w:rsidRPr="00852641">
        <w:rPr>
          <w:rFonts w:cstheme="minorHAnsi"/>
          <w:sz w:val="20"/>
          <w:szCs w:val="20"/>
        </w:rPr>
        <w:t>Weighting using Principal Components Analysis (PCA)</w:t>
      </w:r>
    </w:p>
    <w:p w14:paraId="1242B650" w14:textId="5D64C711" w:rsidR="00C51142" w:rsidRPr="001072BF" w:rsidRDefault="003A3F8A" w:rsidP="001072BF">
      <w:pPr>
        <w:pStyle w:val="ListParagraph"/>
        <w:numPr>
          <w:ilvl w:val="0"/>
          <w:numId w:val="9"/>
        </w:numPr>
        <w:rPr>
          <w:rFonts w:cstheme="minorHAnsi"/>
          <w:sz w:val="20"/>
          <w:szCs w:val="20"/>
        </w:rPr>
      </w:pPr>
      <w:r w:rsidRPr="00852641">
        <w:rPr>
          <w:rFonts w:cstheme="minorHAnsi"/>
          <w:sz w:val="20"/>
          <w:szCs w:val="20"/>
        </w:rPr>
        <w:t>Aggregating into an index</w:t>
      </w:r>
    </w:p>
    <w:p w14:paraId="01B2B587" w14:textId="57FDA9FD" w:rsidR="0042381C" w:rsidRPr="00852641" w:rsidRDefault="003A3F8A" w:rsidP="00977CA3">
      <w:pPr>
        <w:pStyle w:val="Heading2"/>
        <w:jc w:val="both"/>
        <w:rPr>
          <w:rFonts w:asciiTheme="minorHAnsi" w:hAnsiTheme="minorHAnsi" w:cstheme="minorHAnsi"/>
          <w:b/>
          <w:lang w:val="en-US"/>
        </w:rPr>
      </w:pPr>
      <w:bookmarkStart w:id="5" w:name="_Toc75438749"/>
      <w:r w:rsidRPr="00852641">
        <w:rPr>
          <w:rFonts w:asciiTheme="minorHAnsi" w:hAnsiTheme="minorHAnsi" w:cstheme="minorHAnsi"/>
        </w:rPr>
        <w:t xml:space="preserve">Sourcing and </w:t>
      </w:r>
      <w:r w:rsidR="00490F3D">
        <w:rPr>
          <w:rFonts w:asciiTheme="minorHAnsi" w:hAnsiTheme="minorHAnsi" w:cstheme="minorHAnsi"/>
        </w:rPr>
        <w:t>C</w:t>
      </w:r>
      <w:r w:rsidRPr="00852641">
        <w:rPr>
          <w:rFonts w:asciiTheme="minorHAnsi" w:hAnsiTheme="minorHAnsi" w:cstheme="minorHAnsi"/>
        </w:rPr>
        <w:t xml:space="preserve">ollecting </w:t>
      </w:r>
      <w:r w:rsidR="00490F3D">
        <w:rPr>
          <w:rFonts w:asciiTheme="minorHAnsi" w:hAnsiTheme="minorHAnsi" w:cstheme="minorHAnsi"/>
        </w:rPr>
        <w:t>R</w:t>
      </w:r>
      <w:r w:rsidRPr="00852641">
        <w:rPr>
          <w:rFonts w:asciiTheme="minorHAnsi" w:hAnsiTheme="minorHAnsi" w:cstheme="minorHAnsi"/>
        </w:rPr>
        <w:t xml:space="preserve">aw </w:t>
      </w:r>
      <w:r w:rsidR="00490F3D">
        <w:rPr>
          <w:rFonts w:asciiTheme="minorHAnsi" w:hAnsiTheme="minorHAnsi" w:cstheme="minorHAnsi"/>
        </w:rPr>
        <w:t>D</w:t>
      </w:r>
      <w:r w:rsidRPr="00852641">
        <w:rPr>
          <w:rFonts w:asciiTheme="minorHAnsi" w:hAnsiTheme="minorHAnsi" w:cstheme="minorHAnsi"/>
        </w:rPr>
        <w:t>ata</w:t>
      </w:r>
      <w:bookmarkEnd w:id="5"/>
    </w:p>
    <w:p w14:paraId="3FEABB0F" w14:textId="303CAEE3" w:rsidR="0042381C" w:rsidRPr="00852641" w:rsidRDefault="003A3F8A" w:rsidP="00977CA3">
      <w:pPr>
        <w:pStyle w:val="YDInormal"/>
        <w:spacing w:line="480" w:lineRule="auto"/>
        <w:jc w:val="both"/>
        <w:rPr>
          <w:rFonts w:asciiTheme="minorHAnsi" w:hAnsiTheme="minorHAnsi" w:cstheme="minorHAnsi"/>
          <w:sz w:val="20"/>
          <w:szCs w:val="20"/>
        </w:rPr>
      </w:pPr>
      <w:r w:rsidRPr="00852641">
        <w:rPr>
          <w:rFonts w:asciiTheme="minorHAnsi" w:hAnsiTheme="minorHAnsi" w:cstheme="minorHAnsi"/>
          <w:sz w:val="20"/>
          <w:szCs w:val="20"/>
        </w:rPr>
        <w:t xml:space="preserve">The </w:t>
      </w:r>
      <w:r w:rsidR="00534E53">
        <w:rPr>
          <w:rFonts w:asciiTheme="minorHAnsi" w:hAnsiTheme="minorHAnsi" w:cstheme="minorHAnsi"/>
          <w:sz w:val="20"/>
          <w:szCs w:val="20"/>
        </w:rPr>
        <w:t>UNDP-FM</w:t>
      </w:r>
      <w:r w:rsidRPr="00852641">
        <w:rPr>
          <w:rFonts w:asciiTheme="minorHAnsi" w:hAnsiTheme="minorHAnsi" w:cstheme="minorHAnsi"/>
          <w:sz w:val="20"/>
          <w:szCs w:val="20"/>
        </w:rPr>
        <w:t xml:space="preserve"> is designed to measure </w:t>
      </w:r>
      <w:r w:rsidR="005727E7">
        <w:rPr>
          <w:rFonts w:asciiTheme="minorHAnsi" w:hAnsiTheme="minorHAnsi" w:cstheme="minorHAnsi"/>
          <w:sz w:val="20"/>
          <w:szCs w:val="20"/>
        </w:rPr>
        <w:t>fragility</w:t>
      </w:r>
      <w:r w:rsidRPr="00852641">
        <w:rPr>
          <w:rFonts w:asciiTheme="minorHAnsi" w:hAnsiTheme="minorHAnsi" w:cstheme="minorHAnsi"/>
          <w:sz w:val="20"/>
          <w:szCs w:val="20"/>
        </w:rPr>
        <w:t xml:space="preserve"> based on four domains:</w:t>
      </w:r>
    </w:p>
    <w:p w14:paraId="1ACF008C" w14:textId="77777777" w:rsidR="00534E53" w:rsidRDefault="003A3F8A" w:rsidP="00534E53">
      <w:pPr>
        <w:pStyle w:val="ListParagraph"/>
        <w:numPr>
          <w:ilvl w:val="0"/>
          <w:numId w:val="10"/>
        </w:numPr>
        <w:rPr>
          <w:rFonts w:cstheme="minorHAnsi"/>
          <w:sz w:val="20"/>
          <w:szCs w:val="20"/>
        </w:rPr>
      </w:pPr>
      <w:r w:rsidRPr="00534E53">
        <w:rPr>
          <w:rFonts w:cstheme="minorHAnsi"/>
          <w:sz w:val="20"/>
          <w:szCs w:val="20"/>
        </w:rPr>
        <w:t>People</w:t>
      </w:r>
    </w:p>
    <w:p w14:paraId="2C445777" w14:textId="0A8B3DD0" w:rsidR="0042381C" w:rsidRPr="00534E53" w:rsidRDefault="003A3F8A" w:rsidP="00534E53">
      <w:pPr>
        <w:pStyle w:val="ListParagraph"/>
        <w:numPr>
          <w:ilvl w:val="0"/>
          <w:numId w:val="10"/>
        </w:numPr>
        <w:rPr>
          <w:rFonts w:cstheme="minorHAnsi"/>
          <w:sz w:val="20"/>
          <w:szCs w:val="20"/>
        </w:rPr>
      </w:pPr>
      <w:r w:rsidRPr="00534E53">
        <w:rPr>
          <w:rFonts w:cstheme="minorHAnsi"/>
          <w:sz w:val="20"/>
          <w:szCs w:val="20"/>
        </w:rPr>
        <w:t>Planet</w:t>
      </w:r>
    </w:p>
    <w:p w14:paraId="54DC48B8" w14:textId="77777777" w:rsidR="0042381C" w:rsidRPr="00852641" w:rsidRDefault="003A3F8A" w:rsidP="00534E53">
      <w:pPr>
        <w:pStyle w:val="ListParagraph"/>
        <w:numPr>
          <w:ilvl w:val="0"/>
          <w:numId w:val="10"/>
        </w:numPr>
        <w:rPr>
          <w:rFonts w:cstheme="minorHAnsi"/>
          <w:sz w:val="20"/>
          <w:szCs w:val="20"/>
        </w:rPr>
      </w:pPr>
      <w:r w:rsidRPr="00852641">
        <w:rPr>
          <w:rFonts w:cstheme="minorHAnsi"/>
          <w:sz w:val="20"/>
          <w:szCs w:val="20"/>
        </w:rPr>
        <w:t>Prosperity</w:t>
      </w:r>
    </w:p>
    <w:p w14:paraId="21DEA88A" w14:textId="77777777" w:rsidR="0042381C" w:rsidRPr="00534E53" w:rsidRDefault="003A3F8A" w:rsidP="00534E53">
      <w:pPr>
        <w:pStyle w:val="ListParagraph"/>
        <w:numPr>
          <w:ilvl w:val="0"/>
          <w:numId w:val="10"/>
        </w:numPr>
        <w:rPr>
          <w:rFonts w:cstheme="minorHAnsi"/>
          <w:sz w:val="20"/>
          <w:szCs w:val="20"/>
        </w:rPr>
      </w:pPr>
      <w:r w:rsidRPr="00852641">
        <w:rPr>
          <w:rFonts w:cstheme="minorHAnsi"/>
          <w:sz w:val="20"/>
          <w:szCs w:val="20"/>
        </w:rPr>
        <w:t>Peace</w:t>
      </w:r>
    </w:p>
    <w:p w14:paraId="5F8122FE" w14:textId="6DA632AB" w:rsidR="00C51142" w:rsidRPr="00852641" w:rsidRDefault="003A3F8A" w:rsidP="00C51142">
      <w:pPr>
        <w:pStyle w:val="YDInormal"/>
        <w:jc w:val="both"/>
        <w:rPr>
          <w:rFonts w:asciiTheme="minorHAnsi" w:hAnsiTheme="minorHAnsi" w:cstheme="minorHAnsi"/>
          <w:sz w:val="20"/>
          <w:szCs w:val="20"/>
        </w:rPr>
      </w:pPr>
      <w:r w:rsidRPr="00852641">
        <w:rPr>
          <w:rFonts w:asciiTheme="minorHAnsi" w:hAnsiTheme="minorHAnsi" w:cstheme="minorHAnsi"/>
          <w:sz w:val="20"/>
          <w:szCs w:val="20"/>
        </w:rPr>
        <w:t>These domains, and the indicators within each, were decided upon through consulta</w:t>
      </w:r>
      <w:r w:rsidR="00534E53">
        <w:rPr>
          <w:rFonts w:asciiTheme="minorHAnsi" w:hAnsiTheme="minorHAnsi" w:cstheme="minorHAnsi"/>
          <w:sz w:val="20"/>
          <w:szCs w:val="20"/>
        </w:rPr>
        <w:t>tion with the UNDP Expert Panel meetings.</w:t>
      </w:r>
      <w:r w:rsidR="00496482">
        <w:rPr>
          <w:rFonts w:asciiTheme="minorHAnsi" w:hAnsiTheme="minorHAnsi" w:cstheme="minorHAnsi"/>
          <w:sz w:val="20"/>
          <w:szCs w:val="20"/>
        </w:rPr>
        <w:t xml:space="preserve"> Indicators highlighted in red are those that have been used in this pilot but would need revisiting due to (1) uncertainty of future updates (2) lack of country coverage.</w:t>
      </w:r>
      <w:r w:rsidR="00C51142">
        <w:rPr>
          <w:rFonts w:asciiTheme="minorHAnsi" w:hAnsiTheme="minorHAnsi" w:cstheme="minorHAnsi"/>
          <w:sz w:val="20"/>
          <w:szCs w:val="20"/>
        </w:rPr>
        <w:t xml:space="preserve"> Table 2 provides a summary of these domains and indicators</w:t>
      </w:r>
      <w:r w:rsidR="00BD313C">
        <w:rPr>
          <w:rFonts w:asciiTheme="minorHAnsi" w:hAnsiTheme="minorHAnsi" w:cstheme="minorHAnsi"/>
          <w:sz w:val="20"/>
          <w:szCs w:val="20"/>
        </w:rPr>
        <w:t xml:space="preserve"> and provides indicators which can also be disaggregated by gender</w:t>
      </w:r>
    </w:p>
    <w:p w14:paraId="41D11A4D" w14:textId="6A84B02A" w:rsidR="0042381C" w:rsidRPr="00852641" w:rsidRDefault="003A3F8A" w:rsidP="00977CA3">
      <w:pPr>
        <w:pStyle w:val="YDInormal"/>
        <w:spacing w:line="480" w:lineRule="auto"/>
        <w:jc w:val="both"/>
        <w:rPr>
          <w:rFonts w:asciiTheme="minorHAnsi" w:hAnsiTheme="minorHAnsi" w:cstheme="minorHAnsi"/>
          <w:b/>
          <w:szCs w:val="20"/>
        </w:rPr>
      </w:pPr>
      <w:r w:rsidRPr="00852641">
        <w:rPr>
          <w:rFonts w:asciiTheme="minorHAnsi" w:hAnsiTheme="minorHAnsi" w:cstheme="minorHAnsi"/>
          <w:b/>
          <w:szCs w:val="20"/>
        </w:rPr>
        <w:t xml:space="preserve">Table </w:t>
      </w:r>
      <w:bookmarkStart w:id="6" w:name="indicators"/>
      <w:r w:rsidR="00534E53">
        <w:rPr>
          <w:rFonts w:asciiTheme="minorHAnsi" w:hAnsiTheme="minorHAnsi" w:cstheme="minorHAnsi"/>
          <w:b/>
          <w:szCs w:val="20"/>
        </w:rPr>
        <w:t>2</w:t>
      </w:r>
      <w:r w:rsidRPr="00852641">
        <w:rPr>
          <w:rFonts w:asciiTheme="minorHAnsi" w:hAnsiTheme="minorHAnsi" w:cstheme="minorHAnsi"/>
          <w:b/>
          <w:szCs w:val="20"/>
        </w:rPr>
        <w:t xml:space="preserve"> </w:t>
      </w:r>
      <w:bookmarkEnd w:id="6"/>
      <w:r w:rsidR="00534E53">
        <w:rPr>
          <w:rFonts w:asciiTheme="minorHAnsi" w:hAnsiTheme="minorHAnsi" w:cstheme="minorHAnsi"/>
          <w:b/>
          <w:szCs w:val="20"/>
        </w:rPr>
        <w:t>UNDP-FM</w:t>
      </w:r>
      <w:r w:rsidRPr="00852641">
        <w:rPr>
          <w:rFonts w:asciiTheme="minorHAnsi" w:hAnsiTheme="minorHAnsi" w:cstheme="minorHAnsi"/>
          <w:b/>
          <w:szCs w:val="20"/>
        </w:rPr>
        <w:t xml:space="preserve"> </w:t>
      </w:r>
      <w:r w:rsidR="00C51142">
        <w:rPr>
          <w:rFonts w:asciiTheme="minorHAnsi" w:hAnsiTheme="minorHAnsi" w:cstheme="minorHAnsi"/>
          <w:b/>
          <w:szCs w:val="20"/>
        </w:rPr>
        <w:t>D</w:t>
      </w:r>
      <w:r w:rsidRPr="00852641">
        <w:rPr>
          <w:rFonts w:asciiTheme="minorHAnsi" w:hAnsiTheme="minorHAnsi" w:cstheme="minorHAnsi"/>
          <w:b/>
          <w:szCs w:val="20"/>
        </w:rPr>
        <w:t xml:space="preserve">omains and </w:t>
      </w:r>
      <w:r w:rsidR="00C51142">
        <w:rPr>
          <w:rFonts w:asciiTheme="minorHAnsi" w:hAnsiTheme="minorHAnsi" w:cstheme="minorHAnsi"/>
          <w:b/>
          <w:szCs w:val="20"/>
        </w:rPr>
        <w:t>I</w:t>
      </w:r>
      <w:r w:rsidRPr="00852641">
        <w:rPr>
          <w:rFonts w:asciiTheme="minorHAnsi" w:hAnsiTheme="minorHAnsi" w:cstheme="minorHAnsi"/>
          <w:b/>
          <w:szCs w:val="20"/>
        </w:rPr>
        <w:t>ndicators</w:t>
      </w:r>
    </w:p>
    <w:tbl>
      <w:tblPr>
        <w:tblStyle w:val="GridTable4"/>
        <w:tblW w:w="0" w:type="auto"/>
        <w:tblLook w:val="04A0" w:firstRow="1" w:lastRow="0" w:firstColumn="1" w:lastColumn="0" w:noHBand="0" w:noVBand="1"/>
      </w:tblPr>
      <w:tblGrid>
        <w:gridCol w:w="988"/>
        <w:gridCol w:w="1200"/>
        <w:gridCol w:w="1792"/>
        <w:gridCol w:w="1356"/>
        <w:gridCol w:w="1123"/>
        <w:gridCol w:w="1005"/>
        <w:gridCol w:w="1552"/>
      </w:tblGrid>
      <w:tr w:rsidR="00E05EDD" w:rsidRPr="00852641" w14:paraId="528CE05D" w14:textId="47915705" w:rsidTr="00DA5EE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tcPr>
          <w:p w14:paraId="79F63500" w14:textId="77777777" w:rsidR="00E05EDD" w:rsidRPr="00852641" w:rsidRDefault="00E05EDD" w:rsidP="00AD79B7">
            <w:pPr>
              <w:widowControl w:val="0"/>
              <w:rPr>
                <w:rFonts w:cstheme="minorHAnsi"/>
                <w:b w:val="0"/>
                <w:szCs w:val="20"/>
              </w:rPr>
            </w:pPr>
            <w:r w:rsidRPr="00852641">
              <w:rPr>
                <w:rFonts w:cstheme="minorHAnsi"/>
                <w:b w:val="0"/>
                <w:szCs w:val="20"/>
              </w:rPr>
              <w:t>Domain</w:t>
            </w:r>
          </w:p>
        </w:tc>
        <w:tc>
          <w:tcPr>
            <w:tcW w:w="1200" w:type="dxa"/>
          </w:tcPr>
          <w:p w14:paraId="755C46AB" w14:textId="77777777" w:rsidR="00E05EDD" w:rsidRPr="00852641" w:rsidRDefault="00E05EDD" w:rsidP="00AD79B7">
            <w:pPr>
              <w:widowControl w:val="0"/>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852641">
              <w:rPr>
                <w:rFonts w:cstheme="minorHAnsi"/>
                <w:b w:val="0"/>
              </w:rPr>
              <w:t>Concept</w:t>
            </w:r>
          </w:p>
        </w:tc>
        <w:tc>
          <w:tcPr>
            <w:tcW w:w="1792" w:type="dxa"/>
          </w:tcPr>
          <w:p w14:paraId="7010101E" w14:textId="77777777" w:rsidR="00E05EDD" w:rsidRPr="00852641" w:rsidRDefault="00E05EDD" w:rsidP="00AD79B7">
            <w:pPr>
              <w:widowControl w:val="0"/>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852641">
              <w:rPr>
                <w:rFonts w:cstheme="minorHAnsi"/>
                <w:b w:val="0"/>
              </w:rPr>
              <w:t>Indicators</w:t>
            </w:r>
          </w:p>
        </w:tc>
        <w:tc>
          <w:tcPr>
            <w:tcW w:w="1356" w:type="dxa"/>
          </w:tcPr>
          <w:p w14:paraId="334754CC" w14:textId="77777777" w:rsidR="00E05EDD" w:rsidRPr="00852641" w:rsidRDefault="00E05EDD" w:rsidP="00AD79B7">
            <w:pPr>
              <w:widowControl w:val="0"/>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852641">
              <w:rPr>
                <w:rFonts w:cstheme="minorHAnsi"/>
                <w:b w:val="0"/>
              </w:rPr>
              <w:t>Source</w:t>
            </w:r>
          </w:p>
        </w:tc>
        <w:tc>
          <w:tcPr>
            <w:tcW w:w="1123" w:type="dxa"/>
          </w:tcPr>
          <w:p w14:paraId="3A5B09D4" w14:textId="20559D7A" w:rsidR="00E05EDD" w:rsidRPr="00852641" w:rsidRDefault="00E05EDD" w:rsidP="00AD79B7">
            <w:pPr>
              <w:widowControl w:val="0"/>
              <w:cnfStyle w:val="100000000000" w:firstRow="1" w:lastRow="0" w:firstColumn="0" w:lastColumn="0" w:oddVBand="0" w:evenVBand="0" w:oddHBand="0" w:evenHBand="0" w:firstRowFirstColumn="0" w:firstRowLastColumn="0" w:lastRowFirstColumn="0" w:lastRowLastColumn="0"/>
              <w:rPr>
                <w:rFonts w:cstheme="minorHAnsi"/>
                <w:b w:val="0"/>
              </w:rPr>
            </w:pPr>
            <w:r w:rsidRPr="00852641">
              <w:rPr>
                <w:rFonts w:cstheme="minorHAnsi"/>
                <w:b w:val="0"/>
              </w:rPr>
              <w:t>Number of Countries</w:t>
            </w:r>
          </w:p>
        </w:tc>
        <w:tc>
          <w:tcPr>
            <w:tcW w:w="1005" w:type="dxa"/>
          </w:tcPr>
          <w:p w14:paraId="02747726" w14:textId="003621C1" w:rsidR="00E05EDD" w:rsidRPr="00852641" w:rsidRDefault="00E05EDD" w:rsidP="00AD79B7">
            <w:pPr>
              <w:widowControl w:val="0"/>
              <w:cnfStyle w:val="100000000000" w:firstRow="1" w:lastRow="0" w:firstColumn="0" w:lastColumn="0" w:oddVBand="0" w:evenVBand="0" w:oddHBand="0" w:evenHBand="0" w:firstRowFirstColumn="0" w:firstRowLastColumn="0" w:lastRowFirstColumn="0" w:lastRowLastColumn="0"/>
              <w:rPr>
                <w:rFonts w:cstheme="minorHAnsi"/>
                <w:b w:val="0"/>
              </w:rPr>
            </w:pPr>
            <w:r w:rsidRPr="00852641">
              <w:rPr>
                <w:rFonts w:cstheme="minorHAnsi"/>
                <w:b w:val="0"/>
              </w:rPr>
              <w:t>Time Series</w:t>
            </w:r>
          </w:p>
        </w:tc>
        <w:tc>
          <w:tcPr>
            <w:tcW w:w="1552" w:type="dxa"/>
          </w:tcPr>
          <w:p w14:paraId="2DC43D20" w14:textId="17A1FBBD" w:rsidR="00E05EDD" w:rsidRPr="00852641" w:rsidRDefault="00E05EDD" w:rsidP="00AD79B7">
            <w:pPr>
              <w:widowControl w:val="0"/>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Gender Disaggregation</w:t>
            </w:r>
          </w:p>
        </w:tc>
      </w:tr>
      <w:tr w:rsidR="00E05EDD" w:rsidRPr="00852641" w14:paraId="42D7FCA5" w14:textId="5C69B416" w:rsidTr="00DA5E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val="restart"/>
          </w:tcPr>
          <w:p w14:paraId="018829DA" w14:textId="77777777" w:rsidR="00E05EDD" w:rsidRPr="00852641" w:rsidRDefault="00E05EDD" w:rsidP="00AD79B7">
            <w:pPr>
              <w:widowControl w:val="0"/>
              <w:rPr>
                <w:rFonts w:cstheme="minorHAnsi"/>
                <w:sz w:val="18"/>
                <w:szCs w:val="18"/>
              </w:rPr>
            </w:pPr>
            <w:r w:rsidRPr="00852641">
              <w:rPr>
                <w:rFonts w:cstheme="minorHAnsi"/>
                <w:sz w:val="18"/>
                <w:szCs w:val="18"/>
              </w:rPr>
              <w:t>People</w:t>
            </w:r>
          </w:p>
        </w:tc>
        <w:tc>
          <w:tcPr>
            <w:tcW w:w="1200" w:type="dxa"/>
          </w:tcPr>
          <w:p w14:paraId="5FBA5068" w14:textId="366C6F06"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Broken Social Contract</w:t>
            </w:r>
          </w:p>
        </w:tc>
        <w:tc>
          <w:tcPr>
            <w:tcW w:w="1792" w:type="dxa"/>
          </w:tcPr>
          <w:p w14:paraId="09AB992D" w14:textId="77777777"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Access to Essential Services</w:t>
            </w:r>
          </w:p>
        </w:tc>
        <w:tc>
          <w:tcPr>
            <w:tcW w:w="1356" w:type="dxa"/>
          </w:tcPr>
          <w:p w14:paraId="172007CD" w14:textId="77777777"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Social Progress Imperative</w:t>
            </w:r>
          </w:p>
        </w:tc>
        <w:tc>
          <w:tcPr>
            <w:tcW w:w="1123" w:type="dxa"/>
          </w:tcPr>
          <w:p w14:paraId="5871B4AB" w14:textId="671BF4CB"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194</w:t>
            </w:r>
          </w:p>
        </w:tc>
        <w:tc>
          <w:tcPr>
            <w:tcW w:w="1005" w:type="dxa"/>
          </w:tcPr>
          <w:p w14:paraId="60865681" w14:textId="4E324936"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2014-2019</w:t>
            </w:r>
          </w:p>
        </w:tc>
        <w:tc>
          <w:tcPr>
            <w:tcW w:w="1552" w:type="dxa"/>
          </w:tcPr>
          <w:p w14:paraId="5E2EAA6C" w14:textId="77777777"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E05EDD" w:rsidRPr="00852641" w14:paraId="51752E9F" w14:textId="3F4CE9CB" w:rsidTr="00DA5EE5">
        <w:trPr>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7304101E" w14:textId="77777777" w:rsidR="00E05EDD" w:rsidRPr="00852641" w:rsidRDefault="00E05EDD" w:rsidP="00AD79B7">
            <w:pPr>
              <w:widowControl w:val="0"/>
              <w:rPr>
                <w:rFonts w:cstheme="minorHAnsi"/>
                <w:sz w:val="18"/>
                <w:szCs w:val="18"/>
              </w:rPr>
            </w:pPr>
          </w:p>
        </w:tc>
        <w:tc>
          <w:tcPr>
            <w:tcW w:w="1200" w:type="dxa"/>
          </w:tcPr>
          <w:p w14:paraId="7DEB485B" w14:textId="111E9576"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Broken Social Contract</w:t>
            </w:r>
          </w:p>
        </w:tc>
        <w:tc>
          <w:tcPr>
            <w:tcW w:w="1792" w:type="dxa"/>
          </w:tcPr>
          <w:p w14:paraId="4643B5D5" w14:textId="0F46D166"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Public Trust in Politicians, 1-7 (best)</w:t>
            </w:r>
          </w:p>
        </w:tc>
        <w:tc>
          <w:tcPr>
            <w:tcW w:w="1356" w:type="dxa"/>
          </w:tcPr>
          <w:p w14:paraId="2EA38013" w14:textId="77777777"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WEF</w:t>
            </w:r>
          </w:p>
        </w:tc>
        <w:tc>
          <w:tcPr>
            <w:tcW w:w="1123" w:type="dxa"/>
          </w:tcPr>
          <w:p w14:paraId="5F6B3F98" w14:textId="3D0F9D3B"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152</w:t>
            </w:r>
          </w:p>
        </w:tc>
        <w:tc>
          <w:tcPr>
            <w:tcW w:w="1005" w:type="dxa"/>
          </w:tcPr>
          <w:p w14:paraId="5DCC4540" w14:textId="1E2D7DE5"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2007-2017</w:t>
            </w:r>
          </w:p>
        </w:tc>
        <w:tc>
          <w:tcPr>
            <w:tcW w:w="1552" w:type="dxa"/>
          </w:tcPr>
          <w:p w14:paraId="04B1F48E" w14:textId="77777777"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E05EDD" w:rsidRPr="00852641" w14:paraId="054B170E" w14:textId="39FF9CF7" w:rsidTr="00DA5E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178A5BD0" w14:textId="77777777" w:rsidR="00E05EDD" w:rsidRPr="00852641" w:rsidRDefault="00E05EDD" w:rsidP="00AD79B7">
            <w:pPr>
              <w:widowControl w:val="0"/>
              <w:rPr>
                <w:rFonts w:cstheme="minorHAnsi"/>
                <w:sz w:val="18"/>
                <w:szCs w:val="18"/>
              </w:rPr>
            </w:pPr>
          </w:p>
        </w:tc>
        <w:tc>
          <w:tcPr>
            <w:tcW w:w="1200" w:type="dxa"/>
          </w:tcPr>
          <w:p w14:paraId="31F0EA11" w14:textId="28041505"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Broken Social Contract</w:t>
            </w:r>
          </w:p>
        </w:tc>
        <w:tc>
          <w:tcPr>
            <w:tcW w:w="1792" w:type="dxa"/>
          </w:tcPr>
          <w:p w14:paraId="02506E2A" w14:textId="77777777"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Group Grievance</w:t>
            </w:r>
          </w:p>
        </w:tc>
        <w:tc>
          <w:tcPr>
            <w:tcW w:w="1356" w:type="dxa"/>
          </w:tcPr>
          <w:p w14:paraId="629EE885" w14:textId="77777777"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Fund For Peace</w:t>
            </w:r>
          </w:p>
        </w:tc>
        <w:tc>
          <w:tcPr>
            <w:tcW w:w="1123" w:type="dxa"/>
          </w:tcPr>
          <w:p w14:paraId="5E8EF7BA" w14:textId="4A0750A8"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178</w:t>
            </w:r>
          </w:p>
        </w:tc>
        <w:tc>
          <w:tcPr>
            <w:tcW w:w="1005" w:type="dxa"/>
          </w:tcPr>
          <w:p w14:paraId="39195DF5" w14:textId="654784FE"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2006-2020</w:t>
            </w:r>
          </w:p>
        </w:tc>
        <w:tc>
          <w:tcPr>
            <w:tcW w:w="1552" w:type="dxa"/>
          </w:tcPr>
          <w:p w14:paraId="1E357E1C" w14:textId="77777777"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E05EDD" w:rsidRPr="00852641" w14:paraId="7E899BB5" w14:textId="0533AB80" w:rsidTr="00DA5EE5">
        <w:trPr>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2CC02B4F" w14:textId="77777777" w:rsidR="00E05EDD" w:rsidRPr="00852641" w:rsidRDefault="00E05EDD" w:rsidP="00AD79B7">
            <w:pPr>
              <w:widowControl w:val="0"/>
              <w:rPr>
                <w:rFonts w:cstheme="minorHAnsi"/>
                <w:sz w:val="18"/>
                <w:szCs w:val="18"/>
              </w:rPr>
            </w:pPr>
          </w:p>
        </w:tc>
        <w:tc>
          <w:tcPr>
            <w:tcW w:w="1200" w:type="dxa"/>
          </w:tcPr>
          <w:p w14:paraId="634A4A84" w14:textId="0D655200"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Broken Social Contract</w:t>
            </w:r>
          </w:p>
        </w:tc>
        <w:tc>
          <w:tcPr>
            <w:tcW w:w="1792" w:type="dxa"/>
          </w:tcPr>
          <w:p w14:paraId="34199B78" w14:textId="77777777"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Perceptions of Corruption</w:t>
            </w:r>
          </w:p>
        </w:tc>
        <w:tc>
          <w:tcPr>
            <w:tcW w:w="1356" w:type="dxa"/>
          </w:tcPr>
          <w:p w14:paraId="556E2B8D" w14:textId="77777777"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Transparency International</w:t>
            </w:r>
          </w:p>
        </w:tc>
        <w:tc>
          <w:tcPr>
            <w:tcW w:w="1123" w:type="dxa"/>
          </w:tcPr>
          <w:p w14:paraId="19997F11" w14:textId="0FFCBFDB"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180</w:t>
            </w:r>
          </w:p>
        </w:tc>
        <w:tc>
          <w:tcPr>
            <w:tcW w:w="1005" w:type="dxa"/>
          </w:tcPr>
          <w:p w14:paraId="45617BCD" w14:textId="4C1BAED0"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2012-2020</w:t>
            </w:r>
          </w:p>
        </w:tc>
        <w:tc>
          <w:tcPr>
            <w:tcW w:w="1552" w:type="dxa"/>
          </w:tcPr>
          <w:p w14:paraId="2A47113D" w14:textId="77777777"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E05EDD" w:rsidRPr="00852641" w14:paraId="11B489EB" w14:textId="036D0C6F" w:rsidTr="00DA5E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002766A5" w14:textId="77777777" w:rsidR="00E05EDD" w:rsidRPr="00852641" w:rsidRDefault="00E05EDD" w:rsidP="00AD79B7">
            <w:pPr>
              <w:widowControl w:val="0"/>
              <w:rPr>
                <w:rFonts w:cstheme="minorHAnsi"/>
                <w:sz w:val="18"/>
                <w:szCs w:val="18"/>
              </w:rPr>
            </w:pPr>
          </w:p>
        </w:tc>
        <w:tc>
          <w:tcPr>
            <w:tcW w:w="1200" w:type="dxa"/>
          </w:tcPr>
          <w:p w14:paraId="02996D09" w14:textId="16685F87"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Economic Inequality</w:t>
            </w:r>
          </w:p>
        </w:tc>
        <w:tc>
          <w:tcPr>
            <w:tcW w:w="1792" w:type="dxa"/>
          </w:tcPr>
          <w:p w14:paraId="52F8A260" w14:textId="787E8C7D"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Pre-Tax National Income (Top 10%)</w:t>
            </w:r>
          </w:p>
        </w:tc>
        <w:tc>
          <w:tcPr>
            <w:tcW w:w="1356" w:type="dxa"/>
          </w:tcPr>
          <w:p w14:paraId="277A1641" w14:textId="77777777"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World Inequality Database</w:t>
            </w:r>
          </w:p>
        </w:tc>
        <w:tc>
          <w:tcPr>
            <w:tcW w:w="1123" w:type="dxa"/>
          </w:tcPr>
          <w:p w14:paraId="62AFF70D" w14:textId="30EE8C0B"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176</w:t>
            </w:r>
          </w:p>
        </w:tc>
        <w:tc>
          <w:tcPr>
            <w:tcW w:w="1005" w:type="dxa"/>
          </w:tcPr>
          <w:p w14:paraId="25FA625E" w14:textId="56ACB293"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2010-2019</w:t>
            </w:r>
          </w:p>
        </w:tc>
        <w:tc>
          <w:tcPr>
            <w:tcW w:w="1552" w:type="dxa"/>
          </w:tcPr>
          <w:p w14:paraId="0982A571" w14:textId="6764830F" w:rsidR="00E05EDD" w:rsidRPr="00CE1F92" w:rsidRDefault="00184E85"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r>
      <w:tr w:rsidR="00E05EDD" w:rsidRPr="00852641" w14:paraId="4B423E35" w14:textId="74118C7B" w:rsidTr="00DA5EE5">
        <w:trPr>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122A5B25" w14:textId="77777777" w:rsidR="00E05EDD" w:rsidRPr="00852641" w:rsidRDefault="00E05EDD" w:rsidP="00AD79B7">
            <w:pPr>
              <w:widowControl w:val="0"/>
              <w:rPr>
                <w:rFonts w:cstheme="minorHAnsi"/>
                <w:sz w:val="18"/>
                <w:szCs w:val="18"/>
              </w:rPr>
            </w:pPr>
          </w:p>
        </w:tc>
        <w:tc>
          <w:tcPr>
            <w:tcW w:w="1200" w:type="dxa"/>
          </w:tcPr>
          <w:p w14:paraId="7DF75B2D" w14:textId="69F2A4E4" w:rsidR="00E05EDD"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Gender</w:t>
            </w:r>
          </w:p>
        </w:tc>
        <w:tc>
          <w:tcPr>
            <w:tcW w:w="1792" w:type="dxa"/>
            <w:vAlign w:val="bottom"/>
          </w:tcPr>
          <w:p w14:paraId="1571CB28" w14:textId="3D45B833"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ascii="Calibri" w:hAnsi="Calibri" w:cs="Calibri"/>
                <w:sz w:val="20"/>
                <w:szCs w:val="20"/>
              </w:rPr>
              <w:t>Women, Business and Law Index Score</w:t>
            </w:r>
          </w:p>
        </w:tc>
        <w:tc>
          <w:tcPr>
            <w:tcW w:w="1356" w:type="dxa"/>
          </w:tcPr>
          <w:p w14:paraId="498B701C" w14:textId="63BA118F"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World Bank, Women Business and the Law database</w:t>
            </w:r>
          </w:p>
        </w:tc>
        <w:tc>
          <w:tcPr>
            <w:tcW w:w="1123" w:type="dxa"/>
          </w:tcPr>
          <w:p w14:paraId="0558ACF4" w14:textId="50BA7D11"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190</w:t>
            </w:r>
          </w:p>
        </w:tc>
        <w:tc>
          <w:tcPr>
            <w:tcW w:w="1005" w:type="dxa"/>
          </w:tcPr>
          <w:p w14:paraId="35EFCAC2" w14:textId="3C2FF736"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1971-2021</w:t>
            </w:r>
          </w:p>
        </w:tc>
        <w:tc>
          <w:tcPr>
            <w:tcW w:w="1552" w:type="dxa"/>
          </w:tcPr>
          <w:p w14:paraId="60473FDF" w14:textId="77777777"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E05EDD" w:rsidRPr="00852641" w14:paraId="6E8DB708" w14:textId="286A2B26" w:rsidTr="00DA5E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13E15E96" w14:textId="77777777" w:rsidR="00E05EDD" w:rsidRPr="00852641" w:rsidRDefault="00E05EDD" w:rsidP="00AD79B7">
            <w:pPr>
              <w:widowControl w:val="0"/>
              <w:rPr>
                <w:rFonts w:cstheme="minorHAnsi"/>
                <w:sz w:val="18"/>
                <w:szCs w:val="18"/>
              </w:rPr>
            </w:pPr>
          </w:p>
        </w:tc>
        <w:tc>
          <w:tcPr>
            <w:tcW w:w="1200" w:type="dxa"/>
          </w:tcPr>
          <w:p w14:paraId="47F65ED5" w14:textId="18E8882C" w:rsidR="00E05EDD" w:rsidRPr="00CE1F92" w:rsidRDefault="00E05EDD" w:rsidP="00611483">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 xml:space="preserve">Gender </w:t>
            </w:r>
          </w:p>
        </w:tc>
        <w:tc>
          <w:tcPr>
            <w:tcW w:w="1792" w:type="dxa"/>
            <w:vAlign w:val="bottom"/>
          </w:tcPr>
          <w:p w14:paraId="51A0F003" w14:textId="20E71DF1"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ascii="Calibri" w:hAnsi="Calibri" w:cs="Calibri"/>
                <w:sz w:val="20"/>
                <w:szCs w:val="20"/>
              </w:rPr>
              <w:t>Gender Disparities in Development</w:t>
            </w:r>
          </w:p>
        </w:tc>
        <w:tc>
          <w:tcPr>
            <w:tcW w:w="1356" w:type="dxa"/>
          </w:tcPr>
          <w:p w14:paraId="26248CBE" w14:textId="11EBE3DA"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UNDP Gender Development Index</w:t>
            </w:r>
          </w:p>
        </w:tc>
        <w:tc>
          <w:tcPr>
            <w:tcW w:w="1123" w:type="dxa"/>
          </w:tcPr>
          <w:p w14:paraId="63380CD8" w14:textId="1C99ACAA"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167</w:t>
            </w:r>
          </w:p>
        </w:tc>
        <w:tc>
          <w:tcPr>
            <w:tcW w:w="1005" w:type="dxa"/>
          </w:tcPr>
          <w:p w14:paraId="7851A0AB" w14:textId="78DCE169"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2019</w:t>
            </w:r>
          </w:p>
        </w:tc>
        <w:tc>
          <w:tcPr>
            <w:tcW w:w="1552" w:type="dxa"/>
          </w:tcPr>
          <w:p w14:paraId="0C06222E" w14:textId="77777777" w:rsidR="00E05EDD" w:rsidRPr="00CE1F92" w:rsidRDefault="00E05EDD" w:rsidP="00AD79B7">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E05EDD" w:rsidRPr="00852641" w14:paraId="0CA36DF3" w14:textId="6259FC3A" w:rsidTr="00DA5EE5">
        <w:trPr>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7B2CDC1A" w14:textId="77777777" w:rsidR="00E05EDD" w:rsidRPr="00852641" w:rsidRDefault="00E05EDD" w:rsidP="00AD79B7">
            <w:pPr>
              <w:widowControl w:val="0"/>
              <w:rPr>
                <w:rFonts w:cstheme="minorHAnsi"/>
                <w:sz w:val="18"/>
                <w:szCs w:val="18"/>
              </w:rPr>
            </w:pPr>
          </w:p>
        </w:tc>
        <w:tc>
          <w:tcPr>
            <w:tcW w:w="1200" w:type="dxa"/>
          </w:tcPr>
          <w:p w14:paraId="0304DDB7" w14:textId="29430BC7" w:rsidR="00E05EDD"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Gender</w:t>
            </w:r>
          </w:p>
        </w:tc>
        <w:tc>
          <w:tcPr>
            <w:tcW w:w="1792" w:type="dxa"/>
          </w:tcPr>
          <w:p w14:paraId="6CBA6A27" w14:textId="17192406"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ascii="Calibri" w:hAnsi="Calibri" w:cs="Calibri"/>
                <w:sz w:val="20"/>
                <w:szCs w:val="20"/>
              </w:rPr>
              <w:t xml:space="preserve">Prevalence of Violence Against Women and Girls </w:t>
            </w:r>
          </w:p>
        </w:tc>
        <w:tc>
          <w:tcPr>
            <w:tcW w:w="1356" w:type="dxa"/>
          </w:tcPr>
          <w:p w14:paraId="46874E9C" w14:textId="3DB9910D"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UN – SDG 5.2</w:t>
            </w:r>
          </w:p>
        </w:tc>
        <w:tc>
          <w:tcPr>
            <w:tcW w:w="1123" w:type="dxa"/>
          </w:tcPr>
          <w:p w14:paraId="4FDF8B91" w14:textId="7D74D31C"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107 (missing countries given regional averages)</w:t>
            </w:r>
          </w:p>
        </w:tc>
        <w:tc>
          <w:tcPr>
            <w:tcW w:w="1005" w:type="dxa"/>
          </w:tcPr>
          <w:p w14:paraId="4DFA0BCC" w14:textId="46746A58"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2012-2017</w:t>
            </w:r>
          </w:p>
        </w:tc>
        <w:tc>
          <w:tcPr>
            <w:tcW w:w="1552" w:type="dxa"/>
          </w:tcPr>
          <w:p w14:paraId="312E1BC8" w14:textId="77777777" w:rsidR="00E05EDD" w:rsidRPr="00CE1F92" w:rsidRDefault="00E05EDD" w:rsidP="00AD79B7">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A5EE5" w:rsidRPr="00852641" w14:paraId="1C043940" w14:textId="77777777" w:rsidTr="00DA5E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43EBBB95" w14:textId="77777777" w:rsidR="00DA5EE5" w:rsidRPr="00852641" w:rsidRDefault="00DA5EE5" w:rsidP="00DA5EE5">
            <w:pPr>
              <w:widowControl w:val="0"/>
              <w:rPr>
                <w:rFonts w:cstheme="minorHAnsi"/>
                <w:sz w:val="18"/>
                <w:szCs w:val="18"/>
              </w:rPr>
            </w:pPr>
          </w:p>
        </w:tc>
        <w:tc>
          <w:tcPr>
            <w:tcW w:w="1200" w:type="dxa"/>
          </w:tcPr>
          <w:p w14:paraId="45880BE2" w14:textId="3EAF6532" w:rsidR="00DA5EE5"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Gender</w:t>
            </w:r>
          </w:p>
        </w:tc>
        <w:tc>
          <w:tcPr>
            <w:tcW w:w="1792" w:type="dxa"/>
          </w:tcPr>
          <w:p w14:paraId="0F3CC541" w14:textId="61096D8E"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Proportion of Women in Parliament</w:t>
            </w:r>
            <w:r w:rsidRPr="00CE1F92">
              <w:rPr>
                <w:rFonts w:ascii="Calibri" w:hAnsi="Calibri" w:cs="Calibri"/>
                <w:sz w:val="20"/>
                <w:szCs w:val="20"/>
              </w:rPr>
              <w:t xml:space="preserve"> </w:t>
            </w:r>
          </w:p>
        </w:tc>
        <w:tc>
          <w:tcPr>
            <w:tcW w:w="1356" w:type="dxa"/>
          </w:tcPr>
          <w:p w14:paraId="29681486" w14:textId="07FD63F2"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Inter-Parliament Union</w:t>
            </w:r>
          </w:p>
        </w:tc>
        <w:tc>
          <w:tcPr>
            <w:tcW w:w="1123" w:type="dxa"/>
          </w:tcPr>
          <w:p w14:paraId="18E81E37" w14:textId="6110D29F"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w:t>
            </w:r>
            <w:r>
              <w:rPr>
                <w:rFonts w:cstheme="minorHAnsi"/>
                <w:sz w:val="18"/>
                <w:szCs w:val="18"/>
              </w:rPr>
              <w:t>93</w:t>
            </w:r>
          </w:p>
        </w:tc>
        <w:tc>
          <w:tcPr>
            <w:tcW w:w="1005" w:type="dxa"/>
          </w:tcPr>
          <w:p w14:paraId="1BDBED0A" w14:textId="3B82F591"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1994-2018</w:t>
            </w:r>
          </w:p>
        </w:tc>
        <w:tc>
          <w:tcPr>
            <w:tcW w:w="1552" w:type="dxa"/>
          </w:tcPr>
          <w:p w14:paraId="5F214FEE"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A5EE5" w:rsidRPr="00852641" w14:paraId="5AA5018B" w14:textId="50EC91E9" w:rsidTr="00DA5EE5">
        <w:trPr>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561BA8BA" w14:textId="77777777" w:rsidR="00DA5EE5" w:rsidRPr="00852641" w:rsidRDefault="00DA5EE5" w:rsidP="00DA5EE5">
            <w:pPr>
              <w:widowControl w:val="0"/>
              <w:rPr>
                <w:rFonts w:cstheme="minorHAnsi"/>
                <w:sz w:val="18"/>
                <w:szCs w:val="18"/>
              </w:rPr>
            </w:pPr>
          </w:p>
        </w:tc>
        <w:tc>
          <w:tcPr>
            <w:tcW w:w="1200" w:type="dxa"/>
          </w:tcPr>
          <w:p w14:paraId="7E24D5C9"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Youth</w:t>
            </w:r>
          </w:p>
        </w:tc>
        <w:tc>
          <w:tcPr>
            <w:tcW w:w="1792" w:type="dxa"/>
          </w:tcPr>
          <w:p w14:paraId="662A87A3" w14:textId="7BFDC065"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Confidence in National Government – Yes (15-24 yo)</w:t>
            </w:r>
          </w:p>
        </w:tc>
        <w:tc>
          <w:tcPr>
            <w:tcW w:w="1356" w:type="dxa"/>
          </w:tcPr>
          <w:p w14:paraId="08A26FBB"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Gallup World Poll</w:t>
            </w:r>
          </w:p>
        </w:tc>
        <w:tc>
          <w:tcPr>
            <w:tcW w:w="1123" w:type="dxa"/>
          </w:tcPr>
          <w:p w14:paraId="5228BBA5" w14:textId="583F30C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153</w:t>
            </w:r>
          </w:p>
        </w:tc>
        <w:tc>
          <w:tcPr>
            <w:tcW w:w="1005" w:type="dxa"/>
          </w:tcPr>
          <w:p w14:paraId="3C2D2EAE" w14:textId="0576D78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2006-2018</w:t>
            </w:r>
          </w:p>
        </w:tc>
        <w:tc>
          <w:tcPr>
            <w:tcW w:w="1552" w:type="dxa"/>
          </w:tcPr>
          <w:p w14:paraId="1EA671B6" w14:textId="29FC864D"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r>
      <w:tr w:rsidR="00DA5EE5" w:rsidRPr="00852641" w14:paraId="13B7A8C8" w14:textId="72651354" w:rsidTr="00DA5E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07391C93" w14:textId="77777777" w:rsidR="00DA5EE5" w:rsidRPr="00852641" w:rsidRDefault="00DA5EE5" w:rsidP="00DA5EE5">
            <w:pPr>
              <w:widowControl w:val="0"/>
              <w:rPr>
                <w:rFonts w:cstheme="minorHAnsi"/>
                <w:sz w:val="18"/>
                <w:szCs w:val="18"/>
              </w:rPr>
            </w:pPr>
          </w:p>
        </w:tc>
        <w:tc>
          <w:tcPr>
            <w:tcW w:w="1200" w:type="dxa"/>
          </w:tcPr>
          <w:p w14:paraId="3509D62C"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Youth</w:t>
            </w:r>
          </w:p>
        </w:tc>
        <w:tc>
          <w:tcPr>
            <w:tcW w:w="1792" w:type="dxa"/>
          </w:tcPr>
          <w:p w14:paraId="556A1440" w14:textId="45BB45BE"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Youth Not in School or Employment</w:t>
            </w:r>
          </w:p>
        </w:tc>
        <w:tc>
          <w:tcPr>
            <w:tcW w:w="1356" w:type="dxa"/>
          </w:tcPr>
          <w:p w14:paraId="6197B2EA"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UNDP</w:t>
            </w:r>
          </w:p>
        </w:tc>
        <w:tc>
          <w:tcPr>
            <w:tcW w:w="1123" w:type="dxa"/>
          </w:tcPr>
          <w:p w14:paraId="263112DF" w14:textId="21161583"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180</w:t>
            </w:r>
          </w:p>
        </w:tc>
        <w:tc>
          <w:tcPr>
            <w:tcW w:w="1005" w:type="dxa"/>
          </w:tcPr>
          <w:p w14:paraId="2A126F71" w14:textId="1FB3E231"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2019</w:t>
            </w:r>
          </w:p>
        </w:tc>
        <w:tc>
          <w:tcPr>
            <w:tcW w:w="1552" w:type="dxa"/>
          </w:tcPr>
          <w:p w14:paraId="2AA370E8" w14:textId="4EED46AF"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r>
      <w:tr w:rsidR="00DA5EE5" w:rsidRPr="00852641" w14:paraId="6E5FA316" w14:textId="5B2F43A1" w:rsidTr="00DA5EE5">
        <w:trPr>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07D2B81B" w14:textId="77777777" w:rsidR="00DA5EE5" w:rsidRPr="00852641" w:rsidRDefault="00DA5EE5" w:rsidP="00DA5EE5">
            <w:pPr>
              <w:widowControl w:val="0"/>
              <w:rPr>
                <w:rFonts w:cstheme="minorHAnsi"/>
                <w:sz w:val="18"/>
                <w:szCs w:val="18"/>
              </w:rPr>
            </w:pPr>
          </w:p>
        </w:tc>
        <w:tc>
          <w:tcPr>
            <w:tcW w:w="1200" w:type="dxa"/>
          </w:tcPr>
          <w:p w14:paraId="39EDA72B"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Crisis Recovery</w:t>
            </w:r>
          </w:p>
        </w:tc>
        <w:tc>
          <w:tcPr>
            <w:tcW w:w="1792" w:type="dxa"/>
          </w:tcPr>
          <w:p w14:paraId="6D3301C6" w14:textId="4595739C"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 xml:space="preserve">Lack of Coping Capacity </w:t>
            </w:r>
          </w:p>
        </w:tc>
        <w:tc>
          <w:tcPr>
            <w:tcW w:w="1356" w:type="dxa"/>
          </w:tcPr>
          <w:p w14:paraId="58D7EB02"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INFORM</w:t>
            </w:r>
          </w:p>
        </w:tc>
        <w:tc>
          <w:tcPr>
            <w:tcW w:w="1123" w:type="dxa"/>
          </w:tcPr>
          <w:p w14:paraId="7AF434BF" w14:textId="498384AB"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191</w:t>
            </w:r>
          </w:p>
        </w:tc>
        <w:tc>
          <w:tcPr>
            <w:tcW w:w="1005" w:type="dxa"/>
          </w:tcPr>
          <w:p w14:paraId="5409036D" w14:textId="67184773"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2011-2020</w:t>
            </w:r>
          </w:p>
        </w:tc>
        <w:tc>
          <w:tcPr>
            <w:tcW w:w="1552" w:type="dxa"/>
          </w:tcPr>
          <w:p w14:paraId="3F425F0A"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A5EE5" w:rsidRPr="00852641" w14:paraId="38D21162" w14:textId="7044DD85" w:rsidTr="00DA5E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66006A64" w14:textId="77777777" w:rsidR="00DA5EE5" w:rsidRPr="00852641" w:rsidRDefault="00DA5EE5" w:rsidP="00DA5EE5">
            <w:pPr>
              <w:widowControl w:val="0"/>
              <w:rPr>
                <w:rFonts w:cstheme="minorHAnsi"/>
                <w:sz w:val="18"/>
                <w:szCs w:val="18"/>
              </w:rPr>
            </w:pPr>
          </w:p>
        </w:tc>
        <w:tc>
          <w:tcPr>
            <w:tcW w:w="1200" w:type="dxa"/>
          </w:tcPr>
          <w:p w14:paraId="38FE71A5"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Violence</w:t>
            </w:r>
          </w:p>
        </w:tc>
        <w:tc>
          <w:tcPr>
            <w:tcW w:w="1792" w:type="dxa"/>
          </w:tcPr>
          <w:p w14:paraId="145A8F53" w14:textId="45B73975"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Safety and Security (GPI)</w:t>
            </w:r>
          </w:p>
        </w:tc>
        <w:tc>
          <w:tcPr>
            <w:tcW w:w="1356" w:type="dxa"/>
          </w:tcPr>
          <w:p w14:paraId="71392875"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IEP</w:t>
            </w:r>
          </w:p>
        </w:tc>
        <w:tc>
          <w:tcPr>
            <w:tcW w:w="1123" w:type="dxa"/>
          </w:tcPr>
          <w:p w14:paraId="47C080CF" w14:textId="209ECEE4"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163</w:t>
            </w:r>
          </w:p>
        </w:tc>
        <w:tc>
          <w:tcPr>
            <w:tcW w:w="1005" w:type="dxa"/>
          </w:tcPr>
          <w:p w14:paraId="282FF18B" w14:textId="023690CB"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2008-2020</w:t>
            </w:r>
          </w:p>
        </w:tc>
        <w:tc>
          <w:tcPr>
            <w:tcW w:w="1552" w:type="dxa"/>
          </w:tcPr>
          <w:p w14:paraId="1CF31DD2"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A5EE5" w:rsidRPr="00852641" w14:paraId="744586A8" w14:textId="35CBC759" w:rsidTr="00DA5EE5">
        <w:trPr>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6DF1A042" w14:textId="77777777" w:rsidR="00DA5EE5" w:rsidRPr="00852641" w:rsidRDefault="00DA5EE5" w:rsidP="00DA5EE5">
            <w:pPr>
              <w:widowControl w:val="0"/>
              <w:rPr>
                <w:rFonts w:cstheme="minorHAnsi"/>
                <w:sz w:val="18"/>
                <w:szCs w:val="18"/>
              </w:rPr>
            </w:pPr>
          </w:p>
        </w:tc>
        <w:tc>
          <w:tcPr>
            <w:tcW w:w="1200" w:type="dxa"/>
          </w:tcPr>
          <w:p w14:paraId="699E0500"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Health</w:t>
            </w:r>
          </w:p>
        </w:tc>
        <w:tc>
          <w:tcPr>
            <w:tcW w:w="1792" w:type="dxa"/>
          </w:tcPr>
          <w:p w14:paraId="6E32C91C" w14:textId="072C602C"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Infant Mortality Rates per 1000</w:t>
            </w:r>
          </w:p>
        </w:tc>
        <w:tc>
          <w:tcPr>
            <w:tcW w:w="1356" w:type="dxa"/>
          </w:tcPr>
          <w:p w14:paraId="2D5A1788"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UNDP</w:t>
            </w:r>
          </w:p>
        </w:tc>
        <w:tc>
          <w:tcPr>
            <w:tcW w:w="1123" w:type="dxa"/>
          </w:tcPr>
          <w:p w14:paraId="70F67D3A" w14:textId="65E4E05A"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187</w:t>
            </w:r>
          </w:p>
        </w:tc>
        <w:tc>
          <w:tcPr>
            <w:tcW w:w="1005" w:type="dxa"/>
          </w:tcPr>
          <w:p w14:paraId="3587BD43" w14:textId="4BC6C0F6"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2018</w:t>
            </w:r>
          </w:p>
        </w:tc>
        <w:tc>
          <w:tcPr>
            <w:tcW w:w="1552" w:type="dxa"/>
          </w:tcPr>
          <w:p w14:paraId="65AB74CD"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A5EE5" w:rsidRPr="00852641" w14:paraId="28EA69AA" w14:textId="7DACC3A5" w:rsidTr="00DA5E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4B101BB8" w14:textId="77777777" w:rsidR="00DA5EE5" w:rsidRPr="00852641" w:rsidRDefault="00DA5EE5" w:rsidP="00DA5EE5">
            <w:pPr>
              <w:widowControl w:val="0"/>
              <w:rPr>
                <w:rFonts w:cstheme="minorHAnsi"/>
                <w:sz w:val="18"/>
                <w:szCs w:val="18"/>
              </w:rPr>
            </w:pPr>
          </w:p>
        </w:tc>
        <w:tc>
          <w:tcPr>
            <w:tcW w:w="1200" w:type="dxa"/>
          </w:tcPr>
          <w:p w14:paraId="44043D7B" w14:textId="0A144CB1"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Health</w:t>
            </w:r>
          </w:p>
        </w:tc>
        <w:tc>
          <w:tcPr>
            <w:tcW w:w="1792" w:type="dxa"/>
          </w:tcPr>
          <w:p w14:paraId="71B77724" w14:textId="41F030D3"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Maternal Mortality per 1000</w:t>
            </w:r>
          </w:p>
        </w:tc>
        <w:tc>
          <w:tcPr>
            <w:tcW w:w="1356" w:type="dxa"/>
          </w:tcPr>
          <w:p w14:paraId="266289A7" w14:textId="4642803D"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UNDP</w:t>
            </w:r>
          </w:p>
        </w:tc>
        <w:tc>
          <w:tcPr>
            <w:tcW w:w="1123" w:type="dxa"/>
          </w:tcPr>
          <w:p w14:paraId="2D47A2F6" w14:textId="2E2FB643"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173</w:t>
            </w:r>
          </w:p>
        </w:tc>
        <w:tc>
          <w:tcPr>
            <w:tcW w:w="1005" w:type="dxa"/>
          </w:tcPr>
          <w:p w14:paraId="3043824C" w14:textId="7ECAE996"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1985-2018</w:t>
            </w:r>
          </w:p>
        </w:tc>
        <w:tc>
          <w:tcPr>
            <w:tcW w:w="1552" w:type="dxa"/>
          </w:tcPr>
          <w:p w14:paraId="67DA95B6"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A5EE5" w:rsidRPr="00852641" w14:paraId="6D729531" w14:textId="47AE6239" w:rsidTr="00DA5EE5">
        <w:trPr>
          <w:trHeight w:val="300"/>
        </w:trPr>
        <w:tc>
          <w:tcPr>
            <w:cnfStyle w:val="001000000000" w:firstRow="0" w:lastRow="0" w:firstColumn="1" w:lastColumn="0" w:oddVBand="0" w:evenVBand="0" w:oddHBand="0" w:evenHBand="0" w:firstRowFirstColumn="0" w:firstRowLastColumn="0" w:lastRowFirstColumn="0" w:lastRowLastColumn="0"/>
            <w:tcW w:w="988" w:type="dxa"/>
            <w:vMerge w:val="restart"/>
          </w:tcPr>
          <w:p w14:paraId="2A4BDB76" w14:textId="77777777" w:rsidR="00DA5EE5" w:rsidRPr="00852641" w:rsidRDefault="00DA5EE5" w:rsidP="00DA5EE5">
            <w:pPr>
              <w:widowControl w:val="0"/>
              <w:rPr>
                <w:rFonts w:cstheme="minorHAnsi"/>
                <w:sz w:val="18"/>
                <w:szCs w:val="18"/>
              </w:rPr>
            </w:pPr>
            <w:r w:rsidRPr="00852641">
              <w:rPr>
                <w:rFonts w:cstheme="minorHAnsi"/>
                <w:sz w:val="18"/>
                <w:szCs w:val="18"/>
              </w:rPr>
              <w:t>Planet</w:t>
            </w:r>
          </w:p>
        </w:tc>
        <w:tc>
          <w:tcPr>
            <w:tcW w:w="1200" w:type="dxa"/>
          </w:tcPr>
          <w:p w14:paraId="3B2EFE3B"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Climate change</w:t>
            </w:r>
          </w:p>
        </w:tc>
        <w:tc>
          <w:tcPr>
            <w:tcW w:w="1792" w:type="dxa"/>
          </w:tcPr>
          <w:p w14:paraId="14DBF866" w14:textId="7F13AE7C"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Climate Risk and Adaptation Capacity</w:t>
            </w:r>
          </w:p>
        </w:tc>
        <w:tc>
          <w:tcPr>
            <w:tcW w:w="1356" w:type="dxa"/>
          </w:tcPr>
          <w:p w14:paraId="55D52829" w14:textId="39961064"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Notre Dame Global Adaptation Initiative</w:t>
            </w:r>
          </w:p>
        </w:tc>
        <w:tc>
          <w:tcPr>
            <w:tcW w:w="1123" w:type="dxa"/>
          </w:tcPr>
          <w:p w14:paraId="159D48CF" w14:textId="4CFF9C5A"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192</w:t>
            </w:r>
          </w:p>
        </w:tc>
        <w:tc>
          <w:tcPr>
            <w:tcW w:w="1005" w:type="dxa"/>
          </w:tcPr>
          <w:p w14:paraId="19982C8A" w14:textId="051E023D"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1995-2018</w:t>
            </w:r>
          </w:p>
        </w:tc>
        <w:tc>
          <w:tcPr>
            <w:tcW w:w="1552" w:type="dxa"/>
          </w:tcPr>
          <w:p w14:paraId="07FB0F42"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A5EE5" w:rsidRPr="00852641" w14:paraId="33818233" w14:textId="458515B1" w:rsidTr="00DA5E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5FD27302" w14:textId="77777777" w:rsidR="00DA5EE5" w:rsidRPr="00852641" w:rsidRDefault="00DA5EE5" w:rsidP="00DA5EE5">
            <w:pPr>
              <w:widowControl w:val="0"/>
              <w:rPr>
                <w:rFonts w:cstheme="minorHAnsi"/>
                <w:sz w:val="18"/>
                <w:szCs w:val="18"/>
              </w:rPr>
            </w:pPr>
          </w:p>
        </w:tc>
        <w:tc>
          <w:tcPr>
            <w:tcW w:w="1200" w:type="dxa"/>
          </w:tcPr>
          <w:p w14:paraId="2792F775"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Natural Hazards</w:t>
            </w:r>
          </w:p>
        </w:tc>
        <w:tc>
          <w:tcPr>
            <w:tcW w:w="1792" w:type="dxa"/>
          </w:tcPr>
          <w:p w14:paraId="4C2C1447" w14:textId="6B4893F5"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 xml:space="preserve">Hazard and Exposure </w:t>
            </w:r>
          </w:p>
        </w:tc>
        <w:tc>
          <w:tcPr>
            <w:tcW w:w="1356" w:type="dxa"/>
          </w:tcPr>
          <w:p w14:paraId="5212BA4A"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INFORM</w:t>
            </w:r>
          </w:p>
        </w:tc>
        <w:tc>
          <w:tcPr>
            <w:tcW w:w="1123" w:type="dxa"/>
          </w:tcPr>
          <w:p w14:paraId="45CD40B8" w14:textId="6B9EEB62"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191</w:t>
            </w:r>
          </w:p>
        </w:tc>
        <w:tc>
          <w:tcPr>
            <w:tcW w:w="1005" w:type="dxa"/>
          </w:tcPr>
          <w:p w14:paraId="3338D1F6" w14:textId="4AB8F806"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2011-2020</w:t>
            </w:r>
          </w:p>
        </w:tc>
        <w:tc>
          <w:tcPr>
            <w:tcW w:w="1552" w:type="dxa"/>
          </w:tcPr>
          <w:p w14:paraId="1D9E026A"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A5EE5" w:rsidRPr="00852641" w14:paraId="003401EF" w14:textId="51CF718D" w:rsidTr="00DA5EE5">
        <w:trPr>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0A6CA5CA" w14:textId="77777777" w:rsidR="00DA5EE5" w:rsidRPr="00852641" w:rsidRDefault="00DA5EE5" w:rsidP="00DA5EE5">
            <w:pPr>
              <w:widowControl w:val="0"/>
              <w:rPr>
                <w:rFonts w:cstheme="minorHAnsi"/>
                <w:sz w:val="18"/>
                <w:szCs w:val="18"/>
              </w:rPr>
            </w:pPr>
          </w:p>
        </w:tc>
        <w:tc>
          <w:tcPr>
            <w:tcW w:w="1200" w:type="dxa"/>
          </w:tcPr>
          <w:p w14:paraId="0520DFE6"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Natural resource degradation</w:t>
            </w:r>
          </w:p>
        </w:tc>
        <w:tc>
          <w:tcPr>
            <w:tcW w:w="1792" w:type="dxa"/>
          </w:tcPr>
          <w:p w14:paraId="593A1FCB" w14:textId="1C353B00"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Environmental Performance Index</w:t>
            </w:r>
          </w:p>
        </w:tc>
        <w:tc>
          <w:tcPr>
            <w:tcW w:w="1356" w:type="dxa"/>
          </w:tcPr>
          <w:p w14:paraId="25E29327"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Yale</w:t>
            </w:r>
          </w:p>
        </w:tc>
        <w:tc>
          <w:tcPr>
            <w:tcW w:w="1123" w:type="dxa"/>
          </w:tcPr>
          <w:p w14:paraId="0E347389" w14:textId="3ECCA1E0"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180</w:t>
            </w:r>
          </w:p>
        </w:tc>
        <w:tc>
          <w:tcPr>
            <w:tcW w:w="1005" w:type="dxa"/>
          </w:tcPr>
          <w:p w14:paraId="7403F045" w14:textId="54275DD6"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2020</w:t>
            </w:r>
          </w:p>
        </w:tc>
        <w:tc>
          <w:tcPr>
            <w:tcW w:w="1552" w:type="dxa"/>
          </w:tcPr>
          <w:p w14:paraId="1E440E48"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A5EE5" w:rsidRPr="00852641" w14:paraId="6B177FAD" w14:textId="33E4B4C0" w:rsidTr="00DA5E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663ADB3B" w14:textId="77777777" w:rsidR="00DA5EE5" w:rsidRPr="00852641" w:rsidRDefault="00DA5EE5" w:rsidP="00DA5EE5">
            <w:pPr>
              <w:widowControl w:val="0"/>
              <w:rPr>
                <w:rFonts w:cstheme="minorHAnsi"/>
                <w:sz w:val="18"/>
                <w:szCs w:val="18"/>
              </w:rPr>
            </w:pPr>
          </w:p>
        </w:tc>
        <w:tc>
          <w:tcPr>
            <w:tcW w:w="1200" w:type="dxa"/>
          </w:tcPr>
          <w:p w14:paraId="7AF9431E"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Natural resource degradation</w:t>
            </w:r>
          </w:p>
        </w:tc>
        <w:tc>
          <w:tcPr>
            <w:tcW w:w="1792" w:type="dxa"/>
          </w:tcPr>
          <w:p w14:paraId="4790D893" w14:textId="72CC4819"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Adjusted Savings: Natural Resources Depletion (% of GNI)</w:t>
            </w:r>
          </w:p>
        </w:tc>
        <w:tc>
          <w:tcPr>
            <w:tcW w:w="1356" w:type="dxa"/>
          </w:tcPr>
          <w:p w14:paraId="1AD150DA"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World Bank</w:t>
            </w:r>
          </w:p>
        </w:tc>
        <w:tc>
          <w:tcPr>
            <w:tcW w:w="1123" w:type="dxa"/>
          </w:tcPr>
          <w:p w14:paraId="131F6FA1" w14:textId="4ECA01F0"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231</w:t>
            </w:r>
          </w:p>
        </w:tc>
        <w:tc>
          <w:tcPr>
            <w:tcW w:w="1005" w:type="dxa"/>
          </w:tcPr>
          <w:p w14:paraId="790270F7" w14:textId="28A3FFB6"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1970-2018</w:t>
            </w:r>
          </w:p>
        </w:tc>
        <w:tc>
          <w:tcPr>
            <w:tcW w:w="1552" w:type="dxa"/>
          </w:tcPr>
          <w:p w14:paraId="67F7065C"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A5EE5" w:rsidRPr="00852641" w14:paraId="407EA80A" w14:textId="0ABBE4BF" w:rsidTr="001072BF">
        <w:trPr>
          <w:trHeight w:val="300"/>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BFBFBF" w:themeFill="background1" w:themeFillShade="BF"/>
          </w:tcPr>
          <w:p w14:paraId="7F8A10CC" w14:textId="77777777" w:rsidR="00DA5EE5" w:rsidRPr="00852641" w:rsidRDefault="00DA5EE5" w:rsidP="00DA5EE5">
            <w:pPr>
              <w:widowControl w:val="0"/>
              <w:rPr>
                <w:rFonts w:cstheme="minorHAnsi"/>
                <w:sz w:val="18"/>
                <w:szCs w:val="18"/>
              </w:rPr>
            </w:pPr>
            <w:r w:rsidRPr="00852641">
              <w:rPr>
                <w:rFonts w:cstheme="minorHAnsi"/>
                <w:sz w:val="18"/>
                <w:szCs w:val="18"/>
              </w:rPr>
              <w:t>Prosperity</w:t>
            </w:r>
          </w:p>
        </w:tc>
        <w:tc>
          <w:tcPr>
            <w:tcW w:w="1200" w:type="dxa"/>
          </w:tcPr>
          <w:p w14:paraId="6EB3532C"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Governance deficit</w:t>
            </w:r>
          </w:p>
        </w:tc>
        <w:tc>
          <w:tcPr>
            <w:tcW w:w="1792" w:type="dxa"/>
          </w:tcPr>
          <w:p w14:paraId="708AC2EE" w14:textId="7321AB34"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Well-Functioning Government</w:t>
            </w:r>
          </w:p>
        </w:tc>
        <w:tc>
          <w:tcPr>
            <w:tcW w:w="1356" w:type="dxa"/>
          </w:tcPr>
          <w:p w14:paraId="16651FB9"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IEP</w:t>
            </w:r>
          </w:p>
        </w:tc>
        <w:tc>
          <w:tcPr>
            <w:tcW w:w="1123" w:type="dxa"/>
          </w:tcPr>
          <w:p w14:paraId="79EFD31B" w14:textId="06B2F82E"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163</w:t>
            </w:r>
          </w:p>
        </w:tc>
        <w:tc>
          <w:tcPr>
            <w:tcW w:w="1005" w:type="dxa"/>
          </w:tcPr>
          <w:p w14:paraId="474B164D" w14:textId="2AAB0693"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20010-2020</w:t>
            </w:r>
          </w:p>
        </w:tc>
        <w:tc>
          <w:tcPr>
            <w:tcW w:w="1552" w:type="dxa"/>
          </w:tcPr>
          <w:p w14:paraId="65432763"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A5EE5" w:rsidRPr="00852641" w14:paraId="1ADC7590" w14:textId="5C4ADD0D" w:rsidTr="001072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BFBFBF" w:themeFill="background1" w:themeFillShade="BF"/>
          </w:tcPr>
          <w:p w14:paraId="56016B70" w14:textId="77777777" w:rsidR="00DA5EE5" w:rsidRPr="00852641" w:rsidRDefault="00DA5EE5" w:rsidP="00DA5EE5">
            <w:pPr>
              <w:widowControl w:val="0"/>
              <w:rPr>
                <w:rFonts w:cstheme="minorHAnsi"/>
                <w:sz w:val="18"/>
                <w:szCs w:val="18"/>
              </w:rPr>
            </w:pPr>
          </w:p>
        </w:tc>
        <w:tc>
          <w:tcPr>
            <w:tcW w:w="1200" w:type="dxa"/>
          </w:tcPr>
          <w:p w14:paraId="0F837F6F"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Fragile Cities</w:t>
            </w:r>
          </w:p>
        </w:tc>
        <w:tc>
          <w:tcPr>
            <w:tcW w:w="1792" w:type="dxa"/>
          </w:tcPr>
          <w:p w14:paraId="42BC6D56" w14:textId="41251ECE"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Urban Population  Growth (annual %)</w:t>
            </w:r>
          </w:p>
        </w:tc>
        <w:tc>
          <w:tcPr>
            <w:tcW w:w="1356" w:type="dxa"/>
          </w:tcPr>
          <w:p w14:paraId="51BB55EE"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World Bank</w:t>
            </w:r>
          </w:p>
        </w:tc>
        <w:tc>
          <w:tcPr>
            <w:tcW w:w="1123" w:type="dxa"/>
          </w:tcPr>
          <w:p w14:paraId="2DF5700D" w14:textId="70702304"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261</w:t>
            </w:r>
          </w:p>
        </w:tc>
        <w:tc>
          <w:tcPr>
            <w:tcW w:w="1005" w:type="dxa"/>
          </w:tcPr>
          <w:p w14:paraId="62C45310" w14:textId="42A43C82"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1961-2019</w:t>
            </w:r>
          </w:p>
        </w:tc>
        <w:tc>
          <w:tcPr>
            <w:tcW w:w="1552" w:type="dxa"/>
          </w:tcPr>
          <w:p w14:paraId="3F0F1EA1"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A5EE5" w:rsidRPr="00852641" w14:paraId="5BCEFFFC" w14:textId="4216D756" w:rsidTr="001072BF">
        <w:trPr>
          <w:trHeight w:val="300"/>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BFBFBF" w:themeFill="background1" w:themeFillShade="BF"/>
          </w:tcPr>
          <w:p w14:paraId="1696D095" w14:textId="77777777" w:rsidR="00DA5EE5" w:rsidRPr="00852641" w:rsidRDefault="00DA5EE5" w:rsidP="00DA5EE5">
            <w:pPr>
              <w:widowControl w:val="0"/>
              <w:rPr>
                <w:rFonts w:cstheme="minorHAnsi"/>
                <w:sz w:val="18"/>
                <w:szCs w:val="18"/>
              </w:rPr>
            </w:pPr>
          </w:p>
        </w:tc>
        <w:tc>
          <w:tcPr>
            <w:tcW w:w="1200" w:type="dxa"/>
          </w:tcPr>
          <w:p w14:paraId="32CCB19B"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Fragile Cities</w:t>
            </w:r>
          </w:p>
        </w:tc>
        <w:tc>
          <w:tcPr>
            <w:tcW w:w="1792" w:type="dxa"/>
          </w:tcPr>
          <w:p w14:paraId="71C65A1A"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Fragile Cities Score</w:t>
            </w:r>
          </w:p>
        </w:tc>
        <w:tc>
          <w:tcPr>
            <w:tcW w:w="1356" w:type="dxa"/>
          </w:tcPr>
          <w:p w14:paraId="617B8CA2" w14:textId="21F6E736"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sz w:val="20"/>
              </w:rPr>
              <w:t>Igarapé Institute</w:t>
            </w:r>
          </w:p>
        </w:tc>
        <w:tc>
          <w:tcPr>
            <w:tcW w:w="1123" w:type="dxa"/>
          </w:tcPr>
          <w:p w14:paraId="76DCCF46" w14:textId="71698A64"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154</w:t>
            </w:r>
          </w:p>
        </w:tc>
        <w:tc>
          <w:tcPr>
            <w:tcW w:w="1005" w:type="dxa"/>
          </w:tcPr>
          <w:p w14:paraId="20FC7DBC" w14:textId="00DE1925"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2000-2015</w:t>
            </w:r>
          </w:p>
        </w:tc>
        <w:tc>
          <w:tcPr>
            <w:tcW w:w="1552" w:type="dxa"/>
          </w:tcPr>
          <w:p w14:paraId="014FD7B6"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A5EE5" w:rsidRPr="00852641" w14:paraId="006F60D5" w14:textId="6F130FF2" w:rsidTr="001072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BFBFBF" w:themeFill="background1" w:themeFillShade="BF"/>
          </w:tcPr>
          <w:p w14:paraId="2F3F5E49" w14:textId="77777777" w:rsidR="00DA5EE5" w:rsidRPr="00852641" w:rsidRDefault="00DA5EE5" w:rsidP="00DA5EE5">
            <w:pPr>
              <w:widowControl w:val="0"/>
              <w:rPr>
                <w:rFonts w:cstheme="minorHAnsi"/>
                <w:sz w:val="18"/>
                <w:szCs w:val="18"/>
              </w:rPr>
            </w:pPr>
          </w:p>
        </w:tc>
        <w:tc>
          <w:tcPr>
            <w:tcW w:w="1200" w:type="dxa"/>
          </w:tcPr>
          <w:p w14:paraId="2D10D40A"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 xml:space="preserve">Economic </w:t>
            </w:r>
            <w:r w:rsidRPr="00CE1F92">
              <w:rPr>
                <w:rFonts w:cstheme="minorHAnsi"/>
                <w:sz w:val="18"/>
                <w:szCs w:val="18"/>
              </w:rPr>
              <w:lastRenderedPageBreak/>
              <w:t>Stability</w:t>
            </w:r>
          </w:p>
        </w:tc>
        <w:tc>
          <w:tcPr>
            <w:tcW w:w="1792" w:type="dxa"/>
          </w:tcPr>
          <w:p w14:paraId="79A33BFA"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lastRenderedPageBreak/>
              <w:t>Credit Rating</w:t>
            </w:r>
          </w:p>
        </w:tc>
        <w:tc>
          <w:tcPr>
            <w:tcW w:w="1356" w:type="dxa"/>
          </w:tcPr>
          <w:p w14:paraId="0640D671"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S&amp;P</w:t>
            </w:r>
          </w:p>
        </w:tc>
        <w:tc>
          <w:tcPr>
            <w:tcW w:w="1123" w:type="dxa"/>
          </w:tcPr>
          <w:p w14:paraId="36DD7A80" w14:textId="44ED00B4"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204</w:t>
            </w:r>
          </w:p>
        </w:tc>
        <w:tc>
          <w:tcPr>
            <w:tcW w:w="1005" w:type="dxa"/>
          </w:tcPr>
          <w:p w14:paraId="1D201488" w14:textId="5F8FE228"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1989-2021</w:t>
            </w:r>
          </w:p>
        </w:tc>
        <w:tc>
          <w:tcPr>
            <w:tcW w:w="1552" w:type="dxa"/>
          </w:tcPr>
          <w:p w14:paraId="4957A4E9"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A5EE5" w:rsidRPr="00852641" w14:paraId="7BCBCAE1" w14:textId="425E5689" w:rsidTr="001072BF">
        <w:trPr>
          <w:trHeight w:val="300"/>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BFBFBF" w:themeFill="background1" w:themeFillShade="BF"/>
          </w:tcPr>
          <w:p w14:paraId="4BE26C32" w14:textId="77777777" w:rsidR="00DA5EE5" w:rsidRPr="00852641" w:rsidRDefault="00DA5EE5" w:rsidP="00DA5EE5">
            <w:pPr>
              <w:widowControl w:val="0"/>
              <w:rPr>
                <w:rFonts w:cstheme="minorHAnsi"/>
                <w:sz w:val="18"/>
                <w:szCs w:val="18"/>
              </w:rPr>
            </w:pPr>
          </w:p>
        </w:tc>
        <w:tc>
          <w:tcPr>
            <w:tcW w:w="1200" w:type="dxa"/>
          </w:tcPr>
          <w:p w14:paraId="485DA96F"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Digitalisation</w:t>
            </w:r>
          </w:p>
        </w:tc>
        <w:tc>
          <w:tcPr>
            <w:tcW w:w="1792" w:type="dxa"/>
          </w:tcPr>
          <w:p w14:paraId="4C39E283" w14:textId="481B9A54"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E-Government Development Index: Online Service Index</w:t>
            </w:r>
          </w:p>
        </w:tc>
        <w:tc>
          <w:tcPr>
            <w:tcW w:w="1356" w:type="dxa"/>
          </w:tcPr>
          <w:p w14:paraId="63B3979A"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UN</w:t>
            </w:r>
          </w:p>
        </w:tc>
        <w:tc>
          <w:tcPr>
            <w:tcW w:w="1123" w:type="dxa"/>
          </w:tcPr>
          <w:p w14:paraId="536DB294" w14:textId="15D1BEB0"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213</w:t>
            </w:r>
          </w:p>
        </w:tc>
        <w:tc>
          <w:tcPr>
            <w:tcW w:w="1005" w:type="dxa"/>
          </w:tcPr>
          <w:p w14:paraId="5CC4B23B" w14:textId="14B697C6"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2013-2020</w:t>
            </w:r>
          </w:p>
        </w:tc>
        <w:tc>
          <w:tcPr>
            <w:tcW w:w="1552" w:type="dxa"/>
          </w:tcPr>
          <w:p w14:paraId="382AA215"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A5EE5" w:rsidRPr="00852641" w14:paraId="13DE64E0" w14:textId="5698D113" w:rsidTr="001072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BFBFBF" w:themeFill="background1" w:themeFillShade="BF"/>
          </w:tcPr>
          <w:p w14:paraId="54331512" w14:textId="77777777" w:rsidR="00DA5EE5" w:rsidRPr="00852641" w:rsidRDefault="00DA5EE5" w:rsidP="00DA5EE5">
            <w:pPr>
              <w:widowControl w:val="0"/>
              <w:rPr>
                <w:rFonts w:cstheme="minorHAnsi"/>
                <w:sz w:val="18"/>
                <w:szCs w:val="18"/>
              </w:rPr>
            </w:pPr>
          </w:p>
        </w:tc>
        <w:tc>
          <w:tcPr>
            <w:tcW w:w="1200" w:type="dxa"/>
          </w:tcPr>
          <w:p w14:paraId="46BC2CC7"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Digitalisation</w:t>
            </w:r>
          </w:p>
        </w:tc>
        <w:tc>
          <w:tcPr>
            <w:tcW w:w="1792" w:type="dxa"/>
          </w:tcPr>
          <w:p w14:paraId="3C0EB4F2"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Global Cybersecurity Index</w:t>
            </w:r>
          </w:p>
        </w:tc>
        <w:tc>
          <w:tcPr>
            <w:tcW w:w="1356" w:type="dxa"/>
          </w:tcPr>
          <w:p w14:paraId="1B407BE9"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ITU</w:t>
            </w:r>
          </w:p>
        </w:tc>
        <w:tc>
          <w:tcPr>
            <w:tcW w:w="1123" w:type="dxa"/>
          </w:tcPr>
          <w:p w14:paraId="77B41EFC" w14:textId="001EFFA2"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195</w:t>
            </w:r>
          </w:p>
        </w:tc>
        <w:tc>
          <w:tcPr>
            <w:tcW w:w="1005" w:type="dxa"/>
          </w:tcPr>
          <w:p w14:paraId="090F3BF7" w14:textId="0908136B"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2014-2017</w:t>
            </w:r>
          </w:p>
        </w:tc>
        <w:tc>
          <w:tcPr>
            <w:tcW w:w="1552" w:type="dxa"/>
          </w:tcPr>
          <w:p w14:paraId="3F99B0C0"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A5EE5" w:rsidRPr="00852641" w14:paraId="737EF80B" w14:textId="061E9058" w:rsidTr="001072BF">
        <w:trPr>
          <w:trHeight w:val="300"/>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BFBFBF" w:themeFill="background1" w:themeFillShade="BF"/>
          </w:tcPr>
          <w:p w14:paraId="55D0A6F0" w14:textId="77777777" w:rsidR="00DA5EE5" w:rsidRPr="00852641" w:rsidRDefault="00DA5EE5" w:rsidP="00DA5EE5">
            <w:pPr>
              <w:widowControl w:val="0"/>
              <w:rPr>
                <w:rFonts w:cstheme="minorHAnsi"/>
                <w:sz w:val="18"/>
                <w:szCs w:val="18"/>
              </w:rPr>
            </w:pPr>
          </w:p>
        </w:tc>
        <w:tc>
          <w:tcPr>
            <w:tcW w:w="1200" w:type="dxa"/>
          </w:tcPr>
          <w:p w14:paraId="40A11C8E"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Digitalisation</w:t>
            </w:r>
          </w:p>
        </w:tc>
        <w:tc>
          <w:tcPr>
            <w:tcW w:w="1792" w:type="dxa"/>
          </w:tcPr>
          <w:p w14:paraId="7FD1457B" w14:textId="65FC6C05"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E-Participation Index</w:t>
            </w:r>
          </w:p>
        </w:tc>
        <w:tc>
          <w:tcPr>
            <w:tcW w:w="1356" w:type="dxa"/>
          </w:tcPr>
          <w:p w14:paraId="1A636DFB"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UN</w:t>
            </w:r>
          </w:p>
        </w:tc>
        <w:tc>
          <w:tcPr>
            <w:tcW w:w="1123" w:type="dxa"/>
          </w:tcPr>
          <w:p w14:paraId="5AA5C488" w14:textId="2B9063C0"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213</w:t>
            </w:r>
          </w:p>
        </w:tc>
        <w:tc>
          <w:tcPr>
            <w:tcW w:w="1005" w:type="dxa"/>
          </w:tcPr>
          <w:p w14:paraId="3BB07500" w14:textId="5D4F99E2"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2013-2020</w:t>
            </w:r>
          </w:p>
        </w:tc>
        <w:tc>
          <w:tcPr>
            <w:tcW w:w="1552" w:type="dxa"/>
          </w:tcPr>
          <w:p w14:paraId="5D94243C"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A5EE5" w:rsidRPr="00852641" w14:paraId="0A9B30E8" w14:textId="173EE858" w:rsidTr="001072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BFBFBF" w:themeFill="background1" w:themeFillShade="BF"/>
          </w:tcPr>
          <w:p w14:paraId="68FEB13C" w14:textId="77777777" w:rsidR="00DA5EE5" w:rsidRPr="00852641" w:rsidRDefault="00DA5EE5" w:rsidP="00DA5EE5">
            <w:pPr>
              <w:widowControl w:val="0"/>
              <w:rPr>
                <w:rFonts w:cstheme="minorHAnsi"/>
                <w:sz w:val="18"/>
                <w:szCs w:val="18"/>
              </w:rPr>
            </w:pPr>
          </w:p>
        </w:tc>
        <w:tc>
          <w:tcPr>
            <w:tcW w:w="1200" w:type="dxa"/>
          </w:tcPr>
          <w:p w14:paraId="0DE232BA"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Digitalisation</w:t>
            </w:r>
          </w:p>
        </w:tc>
        <w:tc>
          <w:tcPr>
            <w:tcW w:w="1792" w:type="dxa"/>
          </w:tcPr>
          <w:p w14:paraId="39C0BA93" w14:textId="037FB409"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Use of Social Media to Organise Offline Violence</w:t>
            </w:r>
          </w:p>
        </w:tc>
        <w:tc>
          <w:tcPr>
            <w:tcW w:w="1356" w:type="dxa"/>
          </w:tcPr>
          <w:p w14:paraId="31C26B4D"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VDEM</w:t>
            </w:r>
          </w:p>
        </w:tc>
        <w:tc>
          <w:tcPr>
            <w:tcW w:w="1123" w:type="dxa"/>
          </w:tcPr>
          <w:p w14:paraId="31E7917A" w14:textId="19F3ED79"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179</w:t>
            </w:r>
          </w:p>
        </w:tc>
        <w:tc>
          <w:tcPr>
            <w:tcW w:w="1005" w:type="dxa"/>
          </w:tcPr>
          <w:p w14:paraId="44B75A5D" w14:textId="068B92FB"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2000-2019</w:t>
            </w:r>
          </w:p>
        </w:tc>
        <w:tc>
          <w:tcPr>
            <w:tcW w:w="1552" w:type="dxa"/>
          </w:tcPr>
          <w:p w14:paraId="63642393"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A5EE5" w:rsidRPr="00852641" w14:paraId="329DECB6" w14:textId="13B5B3AB" w:rsidTr="001072BF">
        <w:trPr>
          <w:trHeight w:val="300"/>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BFBFBF" w:themeFill="background1" w:themeFillShade="BF"/>
          </w:tcPr>
          <w:p w14:paraId="7EAFF624" w14:textId="77777777" w:rsidR="00DA5EE5" w:rsidRPr="00852641" w:rsidRDefault="00DA5EE5" w:rsidP="00DA5EE5">
            <w:pPr>
              <w:widowControl w:val="0"/>
              <w:rPr>
                <w:rFonts w:cstheme="minorHAnsi"/>
                <w:sz w:val="18"/>
                <w:szCs w:val="18"/>
              </w:rPr>
            </w:pPr>
          </w:p>
        </w:tc>
        <w:tc>
          <w:tcPr>
            <w:tcW w:w="1200" w:type="dxa"/>
          </w:tcPr>
          <w:p w14:paraId="3F82B651"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Digitalisation</w:t>
            </w:r>
          </w:p>
        </w:tc>
        <w:tc>
          <w:tcPr>
            <w:tcW w:w="1792" w:type="dxa"/>
          </w:tcPr>
          <w:p w14:paraId="1499295B" w14:textId="11C19A72"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Government Social Media Monitoring</w:t>
            </w:r>
          </w:p>
        </w:tc>
        <w:tc>
          <w:tcPr>
            <w:tcW w:w="1356" w:type="dxa"/>
          </w:tcPr>
          <w:p w14:paraId="52D43910"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VDEM</w:t>
            </w:r>
          </w:p>
        </w:tc>
        <w:tc>
          <w:tcPr>
            <w:tcW w:w="1123" w:type="dxa"/>
          </w:tcPr>
          <w:p w14:paraId="68660866" w14:textId="456EE365"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179</w:t>
            </w:r>
          </w:p>
        </w:tc>
        <w:tc>
          <w:tcPr>
            <w:tcW w:w="1005" w:type="dxa"/>
          </w:tcPr>
          <w:p w14:paraId="660EEFEE" w14:textId="4A168284"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2000-2019</w:t>
            </w:r>
          </w:p>
        </w:tc>
        <w:tc>
          <w:tcPr>
            <w:tcW w:w="1552" w:type="dxa"/>
          </w:tcPr>
          <w:p w14:paraId="3CBA64DD"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A5EE5" w:rsidRPr="00852641" w14:paraId="5DB2CD6B" w14:textId="55BC3F89" w:rsidTr="001072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BFBFBF" w:themeFill="background1" w:themeFillShade="BF"/>
          </w:tcPr>
          <w:p w14:paraId="6F8ECA0C" w14:textId="77777777" w:rsidR="00DA5EE5" w:rsidRPr="00852641" w:rsidRDefault="00DA5EE5" w:rsidP="00DA5EE5">
            <w:pPr>
              <w:widowControl w:val="0"/>
              <w:rPr>
                <w:rFonts w:cstheme="minorHAnsi"/>
                <w:sz w:val="18"/>
                <w:szCs w:val="18"/>
              </w:rPr>
            </w:pPr>
          </w:p>
        </w:tc>
        <w:tc>
          <w:tcPr>
            <w:tcW w:w="1200" w:type="dxa"/>
          </w:tcPr>
          <w:p w14:paraId="53EA1695"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Digitalisation</w:t>
            </w:r>
          </w:p>
        </w:tc>
        <w:tc>
          <w:tcPr>
            <w:tcW w:w="1792" w:type="dxa"/>
          </w:tcPr>
          <w:p w14:paraId="56714571"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Digital Adoption Index</w:t>
            </w:r>
          </w:p>
        </w:tc>
        <w:tc>
          <w:tcPr>
            <w:tcW w:w="1356" w:type="dxa"/>
          </w:tcPr>
          <w:p w14:paraId="5281EECB"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World Bank</w:t>
            </w:r>
          </w:p>
        </w:tc>
        <w:tc>
          <w:tcPr>
            <w:tcW w:w="1123" w:type="dxa"/>
          </w:tcPr>
          <w:p w14:paraId="6B572139" w14:textId="7F9665CE"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180</w:t>
            </w:r>
          </w:p>
        </w:tc>
        <w:tc>
          <w:tcPr>
            <w:tcW w:w="1005" w:type="dxa"/>
          </w:tcPr>
          <w:p w14:paraId="2E08F6C2" w14:textId="16912356"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2014-2016</w:t>
            </w:r>
          </w:p>
        </w:tc>
        <w:tc>
          <w:tcPr>
            <w:tcW w:w="1552" w:type="dxa"/>
          </w:tcPr>
          <w:p w14:paraId="31DE4F06"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A5EE5" w:rsidRPr="00852641" w14:paraId="429BFA9B" w14:textId="388A745E" w:rsidTr="00DA5EE5">
        <w:trPr>
          <w:trHeight w:val="300"/>
        </w:trPr>
        <w:tc>
          <w:tcPr>
            <w:cnfStyle w:val="001000000000" w:firstRow="0" w:lastRow="0" w:firstColumn="1" w:lastColumn="0" w:oddVBand="0" w:evenVBand="0" w:oddHBand="0" w:evenHBand="0" w:firstRowFirstColumn="0" w:firstRowLastColumn="0" w:lastRowFirstColumn="0" w:lastRowLastColumn="0"/>
            <w:tcW w:w="988" w:type="dxa"/>
            <w:vMerge w:val="restart"/>
          </w:tcPr>
          <w:p w14:paraId="2F7F5C63" w14:textId="77777777" w:rsidR="00DA5EE5" w:rsidRPr="00852641" w:rsidRDefault="00DA5EE5" w:rsidP="00DA5EE5">
            <w:pPr>
              <w:widowControl w:val="0"/>
              <w:rPr>
                <w:rFonts w:cstheme="minorHAnsi"/>
                <w:sz w:val="18"/>
                <w:szCs w:val="18"/>
              </w:rPr>
            </w:pPr>
            <w:r w:rsidRPr="00852641">
              <w:rPr>
                <w:rFonts w:cstheme="minorHAnsi"/>
                <w:sz w:val="18"/>
                <w:szCs w:val="18"/>
              </w:rPr>
              <w:t>Peace</w:t>
            </w:r>
          </w:p>
        </w:tc>
        <w:tc>
          <w:tcPr>
            <w:tcW w:w="1200" w:type="dxa"/>
          </w:tcPr>
          <w:p w14:paraId="440805A0" w14:textId="252B3C99"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Thinking and Working Politically</w:t>
            </w:r>
          </w:p>
        </w:tc>
        <w:tc>
          <w:tcPr>
            <w:tcW w:w="1792" w:type="dxa"/>
          </w:tcPr>
          <w:p w14:paraId="02CCA5CB"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Civil Society Participation</w:t>
            </w:r>
          </w:p>
        </w:tc>
        <w:tc>
          <w:tcPr>
            <w:tcW w:w="1356" w:type="dxa"/>
          </w:tcPr>
          <w:p w14:paraId="000107FC"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IDEA</w:t>
            </w:r>
          </w:p>
        </w:tc>
        <w:tc>
          <w:tcPr>
            <w:tcW w:w="1123" w:type="dxa"/>
          </w:tcPr>
          <w:p w14:paraId="5D28341E" w14:textId="590E9438"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178</w:t>
            </w:r>
          </w:p>
        </w:tc>
        <w:tc>
          <w:tcPr>
            <w:tcW w:w="1005" w:type="dxa"/>
          </w:tcPr>
          <w:p w14:paraId="7E8FDC44" w14:textId="179000B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2006-2020</w:t>
            </w:r>
          </w:p>
        </w:tc>
        <w:tc>
          <w:tcPr>
            <w:tcW w:w="1552" w:type="dxa"/>
          </w:tcPr>
          <w:p w14:paraId="329F1629"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A5EE5" w:rsidRPr="00852641" w14:paraId="659077C2" w14:textId="1C21FED6" w:rsidTr="00DA5E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74E9F5A6" w14:textId="77777777" w:rsidR="00DA5EE5" w:rsidRPr="00852641" w:rsidRDefault="00DA5EE5" w:rsidP="00DA5EE5">
            <w:pPr>
              <w:widowControl w:val="0"/>
              <w:rPr>
                <w:rFonts w:cstheme="minorHAnsi"/>
                <w:sz w:val="18"/>
                <w:szCs w:val="18"/>
              </w:rPr>
            </w:pPr>
          </w:p>
        </w:tc>
        <w:tc>
          <w:tcPr>
            <w:tcW w:w="1200" w:type="dxa"/>
          </w:tcPr>
          <w:p w14:paraId="4E81DF8F" w14:textId="2326DBF4"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Thinking and Working Politically</w:t>
            </w:r>
          </w:p>
        </w:tc>
        <w:tc>
          <w:tcPr>
            <w:tcW w:w="1792" w:type="dxa"/>
          </w:tcPr>
          <w:p w14:paraId="676A4D55"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Rule of Law</w:t>
            </w:r>
          </w:p>
        </w:tc>
        <w:tc>
          <w:tcPr>
            <w:tcW w:w="1356" w:type="dxa"/>
          </w:tcPr>
          <w:p w14:paraId="7425B4A8"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World Bank</w:t>
            </w:r>
          </w:p>
        </w:tc>
        <w:tc>
          <w:tcPr>
            <w:tcW w:w="1123" w:type="dxa"/>
          </w:tcPr>
          <w:p w14:paraId="260FE714" w14:textId="293CA5CE"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214</w:t>
            </w:r>
          </w:p>
        </w:tc>
        <w:tc>
          <w:tcPr>
            <w:tcW w:w="1005" w:type="dxa"/>
          </w:tcPr>
          <w:p w14:paraId="1DBF6F26" w14:textId="730CC1DA"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1996-2019</w:t>
            </w:r>
          </w:p>
        </w:tc>
        <w:tc>
          <w:tcPr>
            <w:tcW w:w="1552" w:type="dxa"/>
          </w:tcPr>
          <w:p w14:paraId="5F3A0659" w14:textId="77777777"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A5EE5" w:rsidRPr="00852641" w14:paraId="3CFF4883" w14:textId="50125D6C" w:rsidTr="00DA5EE5">
        <w:trPr>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724F2883" w14:textId="77777777" w:rsidR="00DA5EE5" w:rsidRPr="00852641" w:rsidRDefault="00DA5EE5" w:rsidP="00DA5EE5">
            <w:pPr>
              <w:widowControl w:val="0"/>
              <w:rPr>
                <w:rFonts w:cstheme="minorHAnsi"/>
                <w:sz w:val="18"/>
                <w:szCs w:val="18"/>
              </w:rPr>
            </w:pPr>
          </w:p>
        </w:tc>
        <w:tc>
          <w:tcPr>
            <w:tcW w:w="1200" w:type="dxa"/>
          </w:tcPr>
          <w:p w14:paraId="61D21E07" w14:textId="7DEBED4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Thinking and Working Politically</w:t>
            </w:r>
          </w:p>
        </w:tc>
        <w:tc>
          <w:tcPr>
            <w:tcW w:w="1792" w:type="dxa"/>
          </w:tcPr>
          <w:p w14:paraId="54D6D6DF"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Voice and Accountability</w:t>
            </w:r>
          </w:p>
        </w:tc>
        <w:tc>
          <w:tcPr>
            <w:tcW w:w="1356" w:type="dxa"/>
          </w:tcPr>
          <w:p w14:paraId="50FE0B2B"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World Bank</w:t>
            </w:r>
          </w:p>
        </w:tc>
        <w:tc>
          <w:tcPr>
            <w:tcW w:w="1123" w:type="dxa"/>
          </w:tcPr>
          <w:p w14:paraId="417503F9" w14:textId="5646263C"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214</w:t>
            </w:r>
          </w:p>
        </w:tc>
        <w:tc>
          <w:tcPr>
            <w:tcW w:w="1005" w:type="dxa"/>
          </w:tcPr>
          <w:p w14:paraId="2FD4137F" w14:textId="5C35C1BC"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1F92">
              <w:rPr>
                <w:rFonts w:cstheme="minorHAnsi"/>
                <w:sz w:val="18"/>
                <w:szCs w:val="18"/>
              </w:rPr>
              <w:t>1996-2019</w:t>
            </w:r>
          </w:p>
        </w:tc>
        <w:tc>
          <w:tcPr>
            <w:tcW w:w="1552" w:type="dxa"/>
          </w:tcPr>
          <w:p w14:paraId="6B96D0F2" w14:textId="77777777" w:rsidR="00DA5EE5" w:rsidRPr="00CE1F92"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A5EE5" w:rsidRPr="00852641" w14:paraId="0833C0AF" w14:textId="13DAD684" w:rsidTr="00DA5E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288DA5E7" w14:textId="77777777" w:rsidR="00DA5EE5" w:rsidRPr="00852641" w:rsidRDefault="00DA5EE5" w:rsidP="00DA5EE5">
            <w:pPr>
              <w:widowControl w:val="0"/>
              <w:rPr>
                <w:rFonts w:cstheme="minorHAnsi"/>
                <w:sz w:val="18"/>
                <w:szCs w:val="18"/>
              </w:rPr>
            </w:pPr>
          </w:p>
        </w:tc>
        <w:tc>
          <w:tcPr>
            <w:tcW w:w="1200" w:type="dxa"/>
          </w:tcPr>
          <w:p w14:paraId="5D22605D" w14:textId="53653D7D"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1F92">
              <w:rPr>
                <w:rFonts w:cstheme="minorHAnsi"/>
                <w:sz w:val="18"/>
                <w:szCs w:val="18"/>
              </w:rPr>
              <w:t>Thinking and Working Politically</w:t>
            </w:r>
          </w:p>
        </w:tc>
        <w:tc>
          <w:tcPr>
            <w:tcW w:w="1792" w:type="dxa"/>
          </w:tcPr>
          <w:p w14:paraId="0AD7BAA3" w14:textId="31DE5B90"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4D7D63">
              <w:rPr>
                <w:rFonts w:cstheme="minorHAnsi"/>
                <w:sz w:val="18"/>
                <w:szCs w:val="18"/>
              </w:rPr>
              <w:t>Deliberative democracy index</w:t>
            </w:r>
          </w:p>
        </w:tc>
        <w:tc>
          <w:tcPr>
            <w:tcW w:w="1356" w:type="dxa"/>
          </w:tcPr>
          <w:p w14:paraId="111FB371" w14:textId="2652CCB6"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VDEM</w:t>
            </w:r>
          </w:p>
        </w:tc>
        <w:tc>
          <w:tcPr>
            <w:tcW w:w="1123" w:type="dxa"/>
          </w:tcPr>
          <w:p w14:paraId="75A65B21" w14:textId="7E42876E"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183</w:t>
            </w:r>
          </w:p>
        </w:tc>
        <w:tc>
          <w:tcPr>
            <w:tcW w:w="1005" w:type="dxa"/>
          </w:tcPr>
          <w:p w14:paraId="7E7A67B2" w14:textId="7B0B82C9" w:rsidR="00DA5EE5" w:rsidRPr="00CE1F92"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1900</w:t>
            </w:r>
            <w:r w:rsidRPr="00CE1F92">
              <w:rPr>
                <w:rFonts w:cstheme="minorHAnsi"/>
                <w:sz w:val="18"/>
                <w:szCs w:val="18"/>
              </w:rPr>
              <w:t>-2019</w:t>
            </w:r>
          </w:p>
        </w:tc>
        <w:tc>
          <w:tcPr>
            <w:tcW w:w="1552" w:type="dxa"/>
          </w:tcPr>
          <w:p w14:paraId="4D645082" w14:textId="77777777" w:rsidR="00DA5EE5" w:rsidRDefault="00DA5EE5" w:rsidP="00DA5EE5">
            <w:pPr>
              <w:widowControl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A5EE5" w:rsidRPr="00852641" w14:paraId="49DFCD13" w14:textId="1C715ACE" w:rsidTr="00DA5EE5">
        <w:trPr>
          <w:trHeight w:val="300"/>
        </w:trPr>
        <w:tc>
          <w:tcPr>
            <w:cnfStyle w:val="001000000000" w:firstRow="0" w:lastRow="0" w:firstColumn="1" w:lastColumn="0" w:oddVBand="0" w:evenVBand="0" w:oddHBand="0" w:evenHBand="0" w:firstRowFirstColumn="0" w:firstRowLastColumn="0" w:lastRowFirstColumn="0" w:lastRowLastColumn="0"/>
            <w:tcW w:w="988" w:type="dxa"/>
            <w:vMerge/>
          </w:tcPr>
          <w:p w14:paraId="4473A9C1" w14:textId="77777777" w:rsidR="00DA5EE5" w:rsidRPr="00852641" w:rsidRDefault="00DA5EE5" w:rsidP="00DA5EE5">
            <w:pPr>
              <w:widowControl w:val="0"/>
              <w:rPr>
                <w:rFonts w:cstheme="minorHAnsi"/>
                <w:sz w:val="18"/>
                <w:szCs w:val="18"/>
              </w:rPr>
            </w:pPr>
          </w:p>
        </w:tc>
        <w:tc>
          <w:tcPr>
            <w:tcW w:w="1200" w:type="dxa"/>
          </w:tcPr>
          <w:p w14:paraId="24442316" w14:textId="64BCE62F" w:rsidR="00DA5EE5" w:rsidRPr="00852641"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52641">
              <w:rPr>
                <w:rFonts w:cstheme="minorHAnsi"/>
                <w:sz w:val="18"/>
                <w:szCs w:val="18"/>
              </w:rPr>
              <w:t xml:space="preserve">Transborder and </w:t>
            </w:r>
            <w:r>
              <w:rPr>
                <w:rFonts w:cstheme="minorHAnsi"/>
                <w:sz w:val="18"/>
                <w:szCs w:val="18"/>
              </w:rPr>
              <w:t>R</w:t>
            </w:r>
            <w:r w:rsidRPr="00852641">
              <w:rPr>
                <w:rFonts w:cstheme="minorHAnsi"/>
                <w:sz w:val="18"/>
                <w:szCs w:val="18"/>
              </w:rPr>
              <w:t xml:space="preserve">egional </w:t>
            </w:r>
            <w:r>
              <w:rPr>
                <w:rFonts w:cstheme="minorHAnsi"/>
                <w:sz w:val="18"/>
                <w:szCs w:val="18"/>
              </w:rPr>
              <w:t>T</w:t>
            </w:r>
            <w:r w:rsidRPr="00852641">
              <w:rPr>
                <w:rFonts w:cstheme="minorHAnsi"/>
                <w:sz w:val="18"/>
                <w:szCs w:val="18"/>
              </w:rPr>
              <w:t>rends</w:t>
            </w:r>
          </w:p>
        </w:tc>
        <w:tc>
          <w:tcPr>
            <w:tcW w:w="1792" w:type="dxa"/>
          </w:tcPr>
          <w:p w14:paraId="6502D1E4" w14:textId="77777777" w:rsidR="00DA5EE5" w:rsidRPr="00852641"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52641">
              <w:rPr>
                <w:rFonts w:cstheme="minorHAnsi"/>
                <w:sz w:val="18"/>
                <w:szCs w:val="18"/>
              </w:rPr>
              <w:t>Ongoing Conflict</w:t>
            </w:r>
          </w:p>
        </w:tc>
        <w:tc>
          <w:tcPr>
            <w:tcW w:w="1356" w:type="dxa"/>
          </w:tcPr>
          <w:p w14:paraId="383AFBEF" w14:textId="77777777" w:rsidR="00DA5EE5" w:rsidRPr="00852641"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52641">
              <w:rPr>
                <w:rFonts w:cstheme="minorHAnsi"/>
                <w:sz w:val="18"/>
                <w:szCs w:val="18"/>
              </w:rPr>
              <w:t>IEP</w:t>
            </w:r>
          </w:p>
        </w:tc>
        <w:tc>
          <w:tcPr>
            <w:tcW w:w="1123" w:type="dxa"/>
          </w:tcPr>
          <w:p w14:paraId="2EEFF662" w14:textId="32913672" w:rsidR="00DA5EE5" w:rsidRPr="00852641"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163</w:t>
            </w:r>
          </w:p>
        </w:tc>
        <w:tc>
          <w:tcPr>
            <w:tcW w:w="1005" w:type="dxa"/>
          </w:tcPr>
          <w:p w14:paraId="5F798616" w14:textId="3C39FE0E" w:rsidR="00DA5EE5" w:rsidRPr="00852641"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2008-2020</w:t>
            </w:r>
          </w:p>
        </w:tc>
        <w:tc>
          <w:tcPr>
            <w:tcW w:w="1552" w:type="dxa"/>
          </w:tcPr>
          <w:p w14:paraId="43B54091" w14:textId="77777777" w:rsidR="00DA5EE5" w:rsidRDefault="00DA5EE5" w:rsidP="00DA5EE5">
            <w:pPr>
              <w:widowControl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14:paraId="29CB3628" w14:textId="03F1369F" w:rsidR="0042381C" w:rsidRDefault="0042381C" w:rsidP="00977CA3">
      <w:pPr>
        <w:jc w:val="both"/>
        <w:rPr>
          <w:rFonts w:cstheme="minorHAnsi"/>
          <w:b/>
          <w:szCs w:val="20"/>
        </w:rPr>
      </w:pPr>
    </w:p>
    <w:p w14:paraId="5BE2989B" w14:textId="17E0073F" w:rsidR="00546660" w:rsidRPr="00852641" w:rsidRDefault="00546660" w:rsidP="00546660">
      <w:pPr>
        <w:pStyle w:val="Heading1"/>
      </w:pPr>
      <w:bookmarkStart w:id="7" w:name="_Toc75438750"/>
      <w:r>
        <w:t>Indicator Descriptions</w:t>
      </w:r>
      <w:bookmarkEnd w:id="7"/>
    </w:p>
    <w:p w14:paraId="57C92D7A" w14:textId="77777777" w:rsidR="00546660" w:rsidRPr="00852641" w:rsidRDefault="00546660" w:rsidP="00977CA3">
      <w:pPr>
        <w:jc w:val="both"/>
        <w:rPr>
          <w:rFonts w:cstheme="minorHAnsi"/>
          <w:b/>
          <w:szCs w:val="20"/>
        </w:rPr>
      </w:pPr>
    </w:p>
    <w:p w14:paraId="5EA2A9DB" w14:textId="77777777" w:rsidR="0042381C" w:rsidRPr="00852641" w:rsidRDefault="003A3F8A" w:rsidP="00977CA3">
      <w:pPr>
        <w:pStyle w:val="Heading2"/>
        <w:jc w:val="both"/>
        <w:rPr>
          <w:rFonts w:asciiTheme="minorHAnsi" w:hAnsiTheme="minorHAnsi" w:cstheme="minorHAnsi"/>
        </w:rPr>
      </w:pPr>
      <w:bookmarkStart w:id="8" w:name="_Toc75438751"/>
      <w:r w:rsidRPr="00852641">
        <w:rPr>
          <w:rFonts w:asciiTheme="minorHAnsi" w:hAnsiTheme="minorHAnsi" w:cstheme="minorHAnsi"/>
        </w:rPr>
        <w:t>People Domain</w:t>
      </w:r>
      <w:bookmarkEnd w:id="8"/>
    </w:p>
    <w:p w14:paraId="215B127F" w14:textId="77777777" w:rsidR="0042381C" w:rsidRPr="00852641" w:rsidRDefault="0042381C" w:rsidP="00977CA3">
      <w:pPr>
        <w:spacing w:after="0"/>
        <w:jc w:val="both"/>
        <w:rPr>
          <w:rFonts w:cstheme="minorHAnsi"/>
        </w:rPr>
      </w:pPr>
    </w:p>
    <w:p w14:paraId="3DE1671B" w14:textId="7AEA1680" w:rsidR="0042381C" w:rsidRPr="00A24267" w:rsidRDefault="00EE5A70" w:rsidP="00977CA3">
      <w:pPr>
        <w:jc w:val="both"/>
        <w:rPr>
          <w:rFonts w:cstheme="minorHAnsi"/>
          <w:sz w:val="20"/>
          <w:szCs w:val="20"/>
        </w:rPr>
      </w:pPr>
      <w:r w:rsidRPr="00A24267">
        <w:rPr>
          <w:rFonts w:cstheme="minorHAnsi"/>
          <w:sz w:val="20"/>
          <w:szCs w:val="20"/>
        </w:rPr>
        <w:t>The P</w:t>
      </w:r>
      <w:r w:rsidR="003A3F8A" w:rsidRPr="00A24267">
        <w:rPr>
          <w:rFonts w:cstheme="minorHAnsi"/>
          <w:sz w:val="20"/>
          <w:szCs w:val="20"/>
        </w:rPr>
        <w:t>eople domain capture</w:t>
      </w:r>
      <w:r w:rsidR="000427A4" w:rsidRPr="00A24267">
        <w:rPr>
          <w:rFonts w:cstheme="minorHAnsi"/>
          <w:sz w:val="20"/>
          <w:szCs w:val="20"/>
        </w:rPr>
        <w:t>s</w:t>
      </w:r>
      <w:r w:rsidR="003A3F8A" w:rsidRPr="00A24267">
        <w:rPr>
          <w:rFonts w:cstheme="minorHAnsi"/>
          <w:sz w:val="20"/>
          <w:szCs w:val="20"/>
        </w:rPr>
        <w:t xml:space="preserve"> the following concepts:</w:t>
      </w:r>
    </w:p>
    <w:p w14:paraId="0B3D4FE7" w14:textId="2780A062" w:rsidR="0042381C" w:rsidRPr="00A24267" w:rsidRDefault="00BA6079" w:rsidP="00977CA3">
      <w:pPr>
        <w:numPr>
          <w:ilvl w:val="0"/>
          <w:numId w:val="4"/>
        </w:numPr>
        <w:jc w:val="both"/>
        <w:rPr>
          <w:rFonts w:cstheme="minorHAnsi"/>
          <w:sz w:val="20"/>
          <w:szCs w:val="20"/>
        </w:rPr>
      </w:pPr>
      <w:r w:rsidRPr="00A24267">
        <w:rPr>
          <w:rFonts w:cstheme="minorHAnsi"/>
          <w:sz w:val="20"/>
          <w:szCs w:val="20"/>
        </w:rPr>
        <w:t>Broken Social C</w:t>
      </w:r>
      <w:r w:rsidR="003A3F8A" w:rsidRPr="00A24267">
        <w:rPr>
          <w:rFonts w:cstheme="minorHAnsi"/>
          <w:sz w:val="20"/>
          <w:szCs w:val="20"/>
        </w:rPr>
        <w:t xml:space="preserve">ontract </w:t>
      </w:r>
    </w:p>
    <w:p w14:paraId="4A2F0345" w14:textId="732475F2" w:rsidR="0042381C" w:rsidRDefault="00FD6E64" w:rsidP="00977CA3">
      <w:pPr>
        <w:numPr>
          <w:ilvl w:val="0"/>
          <w:numId w:val="4"/>
        </w:numPr>
        <w:jc w:val="both"/>
        <w:rPr>
          <w:rFonts w:cstheme="minorHAnsi"/>
          <w:sz w:val="20"/>
          <w:szCs w:val="20"/>
        </w:rPr>
      </w:pPr>
      <w:r>
        <w:rPr>
          <w:rFonts w:cstheme="minorHAnsi"/>
          <w:sz w:val="20"/>
          <w:szCs w:val="20"/>
        </w:rPr>
        <w:t xml:space="preserve">Economic </w:t>
      </w:r>
      <w:r w:rsidR="003A3F8A" w:rsidRPr="00A24267">
        <w:rPr>
          <w:rFonts w:cstheme="minorHAnsi"/>
          <w:sz w:val="20"/>
          <w:szCs w:val="20"/>
        </w:rPr>
        <w:t>Inequality</w:t>
      </w:r>
    </w:p>
    <w:p w14:paraId="7BFC6F01" w14:textId="0AFEC481" w:rsidR="00E01618" w:rsidRPr="00A24267" w:rsidRDefault="00E01618" w:rsidP="00977CA3">
      <w:pPr>
        <w:numPr>
          <w:ilvl w:val="0"/>
          <w:numId w:val="4"/>
        </w:numPr>
        <w:jc w:val="both"/>
        <w:rPr>
          <w:rFonts w:cstheme="minorHAnsi"/>
          <w:sz w:val="20"/>
          <w:szCs w:val="20"/>
        </w:rPr>
      </w:pPr>
      <w:r>
        <w:rPr>
          <w:rFonts w:cstheme="minorHAnsi"/>
          <w:sz w:val="20"/>
          <w:szCs w:val="20"/>
        </w:rPr>
        <w:t>Gender</w:t>
      </w:r>
      <w:r w:rsidR="00FD6E64">
        <w:rPr>
          <w:rFonts w:cstheme="minorHAnsi"/>
          <w:sz w:val="20"/>
          <w:szCs w:val="20"/>
        </w:rPr>
        <w:t xml:space="preserve"> Inequality</w:t>
      </w:r>
    </w:p>
    <w:p w14:paraId="089D4A4F" w14:textId="77777777" w:rsidR="0042381C" w:rsidRPr="00A24267" w:rsidRDefault="003A3F8A" w:rsidP="00977CA3">
      <w:pPr>
        <w:numPr>
          <w:ilvl w:val="0"/>
          <w:numId w:val="4"/>
        </w:numPr>
        <w:jc w:val="both"/>
        <w:rPr>
          <w:rFonts w:cstheme="minorHAnsi"/>
          <w:sz w:val="20"/>
          <w:szCs w:val="20"/>
        </w:rPr>
      </w:pPr>
      <w:r w:rsidRPr="00A24267">
        <w:rPr>
          <w:rFonts w:cstheme="minorHAnsi"/>
          <w:sz w:val="20"/>
          <w:szCs w:val="20"/>
        </w:rPr>
        <w:t>Youth</w:t>
      </w:r>
    </w:p>
    <w:p w14:paraId="15385CD1" w14:textId="77777777" w:rsidR="0042381C" w:rsidRPr="00A24267" w:rsidRDefault="003A3F8A" w:rsidP="00977CA3">
      <w:pPr>
        <w:numPr>
          <w:ilvl w:val="0"/>
          <w:numId w:val="4"/>
        </w:numPr>
        <w:jc w:val="both"/>
        <w:rPr>
          <w:rFonts w:cstheme="minorHAnsi"/>
          <w:sz w:val="20"/>
          <w:szCs w:val="20"/>
        </w:rPr>
      </w:pPr>
      <w:r w:rsidRPr="00A24267">
        <w:rPr>
          <w:rFonts w:cstheme="minorHAnsi"/>
          <w:sz w:val="20"/>
          <w:szCs w:val="20"/>
        </w:rPr>
        <w:t>Crisis Recovery</w:t>
      </w:r>
    </w:p>
    <w:p w14:paraId="2E4D8688" w14:textId="77777777" w:rsidR="0042381C" w:rsidRPr="00A24267" w:rsidRDefault="003A3F8A" w:rsidP="00977CA3">
      <w:pPr>
        <w:numPr>
          <w:ilvl w:val="0"/>
          <w:numId w:val="4"/>
        </w:numPr>
        <w:jc w:val="both"/>
        <w:rPr>
          <w:rFonts w:cstheme="minorHAnsi"/>
          <w:sz w:val="20"/>
          <w:szCs w:val="20"/>
        </w:rPr>
      </w:pPr>
      <w:r w:rsidRPr="00A24267">
        <w:rPr>
          <w:rFonts w:cstheme="minorHAnsi"/>
          <w:sz w:val="20"/>
          <w:szCs w:val="20"/>
        </w:rPr>
        <w:lastRenderedPageBreak/>
        <w:t>Violence</w:t>
      </w:r>
    </w:p>
    <w:p w14:paraId="6F2EE99E" w14:textId="72110C10" w:rsidR="0042381C" w:rsidRDefault="003A3F8A" w:rsidP="00977CA3">
      <w:pPr>
        <w:numPr>
          <w:ilvl w:val="0"/>
          <w:numId w:val="4"/>
        </w:numPr>
        <w:jc w:val="both"/>
        <w:rPr>
          <w:rFonts w:cstheme="minorHAnsi"/>
          <w:sz w:val="20"/>
          <w:szCs w:val="20"/>
        </w:rPr>
      </w:pPr>
      <w:r w:rsidRPr="00A24267">
        <w:rPr>
          <w:rFonts w:cstheme="minorHAnsi"/>
          <w:sz w:val="20"/>
          <w:szCs w:val="20"/>
        </w:rPr>
        <w:t>Health</w:t>
      </w:r>
    </w:p>
    <w:p w14:paraId="1308C23E" w14:textId="77777777" w:rsidR="00915C95" w:rsidRPr="00A24267" w:rsidRDefault="00915C95" w:rsidP="00915C95">
      <w:pPr>
        <w:jc w:val="both"/>
        <w:rPr>
          <w:rFonts w:cstheme="minorHAnsi"/>
          <w:sz w:val="20"/>
          <w:szCs w:val="20"/>
        </w:rPr>
      </w:pPr>
    </w:p>
    <w:p w14:paraId="2C3E43DE" w14:textId="0E408298" w:rsidR="0042381C" w:rsidRPr="00A24267" w:rsidRDefault="003A3F8A" w:rsidP="00977CA3">
      <w:pPr>
        <w:pStyle w:val="Heading3"/>
        <w:spacing w:before="0" w:line="240" w:lineRule="auto"/>
        <w:jc w:val="both"/>
        <w:rPr>
          <w:rFonts w:asciiTheme="minorHAnsi" w:hAnsiTheme="minorHAnsi" w:cstheme="minorHAnsi"/>
          <w:sz w:val="20"/>
          <w:szCs w:val="20"/>
        </w:rPr>
      </w:pPr>
      <w:bookmarkStart w:id="9" w:name="_Toc75438752"/>
      <w:r w:rsidRPr="00A24267">
        <w:rPr>
          <w:rFonts w:asciiTheme="minorHAnsi" w:hAnsiTheme="minorHAnsi" w:cstheme="minorHAnsi"/>
          <w:sz w:val="20"/>
          <w:szCs w:val="20"/>
        </w:rPr>
        <w:t xml:space="preserve">Broken </w:t>
      </w:r>
      <w:r w:rsidR="00490F3D">
        <w:rPr>
          <w:rFonts w:asciiTheme="minorHAnsi" w:hAnsiTheme="minorHAnsi" w:cstheme="minorHAnsi"/>
          <w:sz w:val="20"/>
          <w:szCs w:val="20"/>
        </w:rPr>
        <w:t>S</w:t>
      </w:r>
      <w:r w:rsidRPr="00A24267">
        <w:rPr>
          <w:rFonts w:asciiTheme="minorHAnsi" w:hAnsiTheme="minorHAnsi" w:cstheme="minorHAnsi"/>
          <w:sz w:val="20"/>
          <w:szCs w:val="20"/>
        </w:rPr>
        <w:t xml:space="preserve">ocial </w:t>
      </w:r>
      <w:r w:rsidR="00490F3D">
        <w:rPr>
          <w:rFonts w:asciiTheme="minorHAnsi" w:hAnsiTheme="minorHAnsi" w:cstheme="minorHAnsi"/>
          <w:sz w:val="20"/>
          <w:szCs w:val="20"/>
        </w:rPr>
        <w:t>C</w:t>
      </w:r>
      <w:r w:rsidRPr="00A24267">
        <w:rPr>
          <w:rFonts w:asciiTheme="minorHAnsi" w:hAnsiTheme="minorHAnsi" w:cstheme="minorHAnsi"/>
          <w:sz w:val="20"/>
          <w:szCs w:val="20"/>
        </w:rPr>
        <w:t>ontract</w:t>
      </w:r>
      <w:bookmarkEnd w:id="9"/>
      <w:r w:rsidRPr="00A24267">
        <w:rPr>
          <w:rFonts w:asciiTheme="minorHAnsi" w:hAnsiTheme="minorHAnsi" w:cstheme="minorHAnsi"/>
          <w:sz w:val="20"/>
          <w:szCs w:val="20"/>
        </w:rPr>
        <w:t xml:space="preserve"> </w:t>
      </w:r>
    </w:p>
    <w:p w14:paraId="2FA3A6D2" w14:textId="16992DA7" w:rsidR="00E11A13" w:rsidRPr="00A24267" w:rsidRDefault="003A3F8A" w:rsidP="00977CA3">
      <w:pPr>
        <w:spacing w:after="0" w:line="240" w:lineRule="auto"/>
        <w:jc w:val="both"/>
        <w:rPr>
          <w:rFonts w:cstheme="minorHAnsi"/>
          <w:i/>
          <w:iCs/>
          <w:sz w:val="20"/>
          <w:szCs w:val="20"/>
        </w:rPr>
      </w:pPr>
      <w:r w:rsidRPr="00A24267">
        <w:rPr>
          <w:rFonts w:cstheme="minorHAnsi"/>
          <w:sz w:val="20"/>
          <w:szCs w:val="20"/>
        </w:rPr>
        <w:t>The Br</w:t>
      </w:r>
      <w:r w:rsidR="00651DEA" w:rsidRPr="00A24267">
        <w:rPr>
          <w:rFonts w:cstheme="minorHAnsi"/>
          <w:sz w:val="20"/>
          <w:szCs w:val="20"/>
        </w:rPr>
        <w:t xml:space="preserve">oker Social Contract concept aims </w:t>
      </w:r>
      <w:r w:rsidRPr="00A24267">
        <w:rPr>
          <w:rFonts w:cstheme="minorHAnsi"/>
          <w:sz w:val="20"/>
          <w:szCs w:val="20"/>
        </w:rPr>
        <w:t>to capture faith in institutions, corruption and vertical inequality. It does this through the following indicators.</w:t>
      </w:r>
    </w:p>
    <w:p w14:paraId="4BCDB22E" w14:textId="77777777" w:rsidR="00EE5A70" w:rsidRPr="00A24267" w:rsidRDefault="00EE5A70" w:rsidP="00977CA3">
      <w:pPr>
        <w:spacing w:after="0" w:line="240" w:lineRule="auto"/>
        <w:jc w:val="both"/>
        <w:rPr>
          <w:rFonts w:cstheme="minorHAnsi"/>
          <w:i/>
          <w:iCs/>
          <w:sz w:val="20"/>
          <w:szCs w:val="20"/>
        </w:rPr>
      </w:pPr>
    </w:p>
    <w:p w14:paraId="1AD835C1" w14:textId="4774181C" w:rsidR="000824FC" w:rsidRPr="00091001" w:rsidRDefault="003A3F8A" w:rsidP="00977CA3">
      <w:pPr>
        <w:spacing w:after="0" w:line="240" w:lineRule="auto"/>
        <w:jc w:val="both"/>
        <w:rPr>
          <w:rFonts w:cstheme="minorHAnsi"/>
          <w:b/>
          <w:i/>
          <w:iCs/>
          <w:sz w:val="20"/>
          <w:szCs w:val="20"/>
        </w:rPr>
      </w:pPr>
      <w:r w:rsidRPr="00091001">
        <w:rPr>
          <w:rFonts w:cstheme="minorHAnsi"/>
          <w:b/>
          <w:i/>
          <w:iCs/>
          <w:sz w:val="20"/>
          <w:szCs w:val="20"/>
        </w:rPr>
        <w:t>Access to Essential Services:</w:t>
      </w:r>
      <w:r w:rsidR="00E134A9" w:rsidRPr="00091001">
        <w:rPr>
          <w:rFonts w:cstheme="minorHAnsi"/>
          <w:b/>
          <w:i/>
          <w:iCs/>
          <w:sz w:val="20"/>
          <w:szCs w:val="20"/>
        </w:rPr>
        <w:t xml:space="preserve"> </w:t>
      </w:r>
    </w:p>
    <w:p w14:paraId="7800A77B" w14:textId="6F1FED24" w:rsidR="0042381C" w:rsidRPr="00A24267" w:rsidRDefault="00B2351D" w:rsidP="00977CA3">
      <w:pPr>
        <w:spacing w:after="0" w:line="240" w:lineRule="auto"/>
        <w:jc w:val="both"/>
        <w:rPr>
          <w:rFonts w:cstheme="minorHAnsi"/>
          <w:i/>
          <w:iCs/>
          <w:sz w:val="20"/>
          <w:szCs w:val="20"/>
        </w:rPr>
      </w:pPr>
      <w:r w:rsidRPr="00A24267">
        <w:rPr>
          <w:rFonts w:cstheme="minorHAnsi"/>
          <w:iCs/>
          <w:sz w:val="20"/>
          <w:szCs w:val="20"/>
        </w:rPr>
        <w:t xml:space="preserve">This indicator is taken from the Social Progress Imperative’s Social Progress Index and draws on the </w:t>
      </w:r>
      <w:r w:rsidR="00C51142">
        <w:rPr>
          <w:rFonts w:cstheme="minorHAnsi"/>
          <w:iCs/>
          <w:sz w:val="20"/>
          <w:szCs w:val="20"/>
        </w:rPr>
        <w:t>U</w:t>
      </w:r>
      <w:r w:rsidR="00E134A9" w:rsidRPr="00A24267">
        <w:rPr>
          <w:rFonts w:cstheme="minorHAnsi"/>
          <w:iCs/>
          <w:sz w:val="20"/>
          <w:szCs w:val="20"/>
        </w:rPr>
        <w:t xml:space="preserve">niversal </w:t>
      </w:r>
      <w:r w:rsidR="00C51142">
        <w:rPr>
          <w:rFonts w:cstheme="minorHAnsi"/>
          <w:iCs/>
          <w:sz w:val="20"/>
          <w:szCs w:val="20"/>
        </w:rPr>
        <w:t>H</w:t>
      </w:r>
      <w:r w:rsidR="00E134A9" w:rsidRPr="00A24267">
        <w:rPr>
          <w:rFonts w:cstheme="minorHAnsi"/>
          <w:iCs/>
          <w:sz w:val="20"/>
          <w:szCs w:val="20"/>
        </w:rPr>
        <w:t xml:space="preserve">ealth </w:t>
      </w:r>
      <w:r w:rsidR="00C51142">
        <w:rPr>
          <w:rFonts w:cstheme="minorHAnsi"/>
          <w:iCs/>
          <w:sz w:val="20"/>
          <w:szCs w:val="20"/>
        </w:rPr>
        <w:t>C</w:t>
      </w:r>
      <w:r w:rsidR="00E134A9" w:rsidRPr="00A24267">
        <w:rPr>
          <w:rFonts w:cstheme="minorHAnsi"/>
          <w:iCs/>
          <w:sz w:val="20"/>
          <w:szCs w:val="20"/>
        </w:rPr>
        <w:t xml:space="preserve">overage (UHC) </w:t>
      </w:r>
      <w:r w:rsidR="00C51142">
        <w:rPr>
          <w:rFonts w:cstheme="minorHAnsi"/>
          <w:iCs/>
          <w:sz w:val="20"/>
          <w:szCs w:val="20"/>
        </w:rPr>
        <w:t>I</w:t>
      </w:r>
      <w:r w:rsidR="00D45BFF" w:rsidRPr="00A24267">
        <w:rPr>
          <w:rFonts w:cstheme="minorHAnsi"/>
          <w:iCs/>
          <w:sz w:val="20"/>
          <w:szCs w:val="20"/>
        </w:rPr>
        <w:t>ndex</w:t>
      </w:r>
      <w:r w:rsidRPr="00A24267">
        <w:rPr>
          <w:rFonts w:cstheme="minorHAnsi"/>
          <w:iCs/>
          <w:sz w:val="20"/>
          <w:szCs w:val="20"/>
        </w:rPr>
        <w:t xml:space="preserve"> of the </w:t>
      </w:r>
      <w:r w:rsidRPr="00A24267">
        <w:rPr>
          <w:rFonts w:cstheme="minorHAnsi"/>
          <w:sz w:val="20"/>
          <w:szCs w:val="20"/>
        </w:rPr>
        <w:t xml:space="preserve">Institute for Health Metrics and Evaluation. The UHC </w:t>
      </w:r>
      <w:r w:rsidR="00C51142">
        <w:rPr>
          <w:rFonts w:cstheme="minorHAnsi"/>
          <w:sz w:val="20"/>
          <w:szCs w:val="20"/>
        </w:rPr>
        <w:t>I</w:t>
      </w:r>
      <w:r w:rsidRPr="00A24267">
        <w:rPr>
          <w:rFonts w:cstheme="minorHAnsi"/>
          <w:sz w:val="20"/>
          <w:szCs w:val="20"/>
        </w:rPr>
        <w:t>ndex</w:t>
      </w:r>
      <w:r w:rsidR="00D45BFF" w:rsidRPr="00A24267">
        <w:rPr>
          <w:rFonts w:cstheme="minorHAnsi"/>
          <w:iCs/>
          <w:sz w:val="20"/>
          <w:szCs w:val="20"/>
        </w:rPr>
        <w:t xml:space="preserve"> measures the coverage of nine</w:t>
      </w:r>
      <w:r w:rsidR="00E134A9" w:rsidRPr="00A24267">
        <w:rPr>
          <w:rFonts w:cstheme="minorHAnsi"/>
          <w:iCs/>
          <w:sz w:val="20"/>
          <w:szCs w:val="20"/>
        </w:rPr>
        <w:t xml:space="preserve"> tracer interventions and risk standardized death rates from 32 causes </w:t>
      </w:r>
      <w:r w:rsidR="002C4849" w:rsidRPr="00A24267">
        <w:rPr>
          <w:rFonts w:cstheme="minorHAnsi"/>
          <w:iCs/>
          <w:sz w:val="20"/>
          <w:szCs w:val="20"/>
        </w:rPr>
        <w:t>amenable to personal healthcare</w:t>
      </w:r>
      <w:r w:rsidR="00E134A9" w:rsidRPr="00A24267">
        <w:rPr>
          <w:rFonts w:cstheme="minorHAnsi"/>
          <w:iCs/>
          <w:sz w:val="20"/>
          <w:szCs w:val="20"/>
        </w:rPr>
        <w:t>.</w:t>
      </w:r>
      <w:r w:rsidR="00E134A9" w:rsidRPr="00A24267">
        <w:rPr>
          <w:rStyle w:val="FootnoteReference"/>
          <w:rFonts w:cstheme="minorHAnsi"/>
          <w:iCs/>
          <w:sz w:val="20"/>
          <w:szCs w:val="20"/>
        </w:rPr>
        <w:footnoteReference w:id="1"/>
      </w:r>
    </w:p>
    <w:p w14:paraId="0D980478" w14:textId="77777777" w:rsidR="00EE5A70" w:rsidRPr="00A24267" w:rsidRDefault="00EE5A70" w:rsidP="00977CA3">
      <w:pPr>
        <w:spacing w:after="0" w:line="240" w:lineRule="auto"/>
        <w:jc w:val="both"/>
        <w:rPr>
          <w:rFonts w:cstheme="minorHAnsi"/>
          <w:i/>
          <w:iCs/>
          <w:sz w:val="20"/>
          <w:szCs w:val="20"/>
        </w:rPr>
      </w:pPr>
    </w:p>
    <w:p w14:paraId="4C260F3F" w14:textId="52D54D83" w:rsidR="0042381C" w:rsidRPr="00091001" w:rsidRDefault="00043F21" w:rsidP="00043F21">
      <w:pPr>
        <w:keepNext/>
        <w:keepLines/>
        <w:spacing w:after="0" w:line="240" w:lineRule="auto"/>
        <w:jc w:val="both"/>
        <w:rPr>
          <w:rFonts w:cstheme="minorHAnsi"/>
          <w:b/>
          <w:i/>
          <w:iCs/>
          <w:sz w:val="20"/>
          <w:szCs w:val="20"/>
        </w:rPr>
      </w:pPr>
      <w:r>
        <w:rPr>
          <w:rFonts w:cstheme="minorHAnsi"/>
          <w:b/>
          <w:i/>
          <w:iCs/>
          <w:sz w:val="20"/>
          <w:szCs w:val="20"/>
        </w:rPr>
        <w:t>Public T</w:t>
      </w:r>
      <w:r w:rsidR="003A3F8A" w:rsidRPr="00091001">
        <w:rPr>
          <w:rFonts w:cstheme="minorHAnsi"/>
          <w:b/>
          <w:i/>
          <w:iCs/>
          <w:sz w:val="20"/>
          <w:szCs w:val="20"/>
        </w:rPr>
        <w:t xml:space="preserve">rust in </w:t>
      </w:r>
      <w:r>
        <w:rPr>
          <w:rFonts w:cstheme="minorHAnsi"/>
          <w:b/>
          <w:i/>
          <w:iCs/>
          <w:sz w:val="20"/>
          <w:szCs w:val="20"/>
        </w:rPr>
        <w:t>P</w:t>
      </w:r>
      <w:r w:rsidR="003A3F8A" w:rsidRPr="00091001">
        <w:rPr>
          <w:rFonts w:cstheme="minorHAnsi"/>
          <w:b/>
          <w:i/>
          <w:iCs/>
          <w:sz w:val="20"/>
          <w:szCs w:val="20"/>
        </w:rPr>
        <w:t>oliticians:</w:t>
      </w:r>
    </w:p>
    <w:p w14:paraId="6B23BD93" w14:textId="2C41F50D" w:rsidR="0042381C" w:rsidRPr="00A24267" w:rsidRDefault="002C4849" w:rsidP="00043F21">
      <w:pPr>
        <w:keepNext/>
        <w:keepLines/>
        <w:spacing w:after="0" w:line="240" w:lineRule="auto"/>
        <w:jc w:val="both"/>
        <w:rPr>
          <w:rFonts w:cstheme="minorHAnsi"/>
          <w:i/>
          <w:iCs/>
          <w:color w:val="FF0000"/>
          <w:sz w:val="20"/>
          <w:szCs w:val="20"/>
        </w:rPr>
      </w:pPr>
      <w:r w:rsidRPr="00A24267">
        <w:rPr>
          <w:rFonts w:eastAsiaTheme="majorEastAsia" w:cstheme="minorHAnsi"/>
          <w:sz w:val="20"/>
          <w:szCs w:val="20"/>
        </w:rPr>
        <w:t>Taken from the World Economic Forum’s Global Competitive Index, t</w:t>
      </w:r>
      <w:r w:rsidR="00900171" w:rsidRPr="00A24267">
        <w:rPr>
          <w:rFonts w:eastAsiaTheme="majorEastAsia" w:cstheme="minorHAnsi"/>
          <w:sz w:val="20"/>
          <w:szCs w:val="20"/>
        </w:rPr>
        <w:t>his indicator draws on responses to the survey question “</w:t>
      </w:r>
      <w:r w:rsidR="00900171" w:rsidRPr="00A24267">
        <w:rPr>
          <w:rFonts w:cstheme="minorHAnsi"/>
          <w:sz w:val="20"/>
          <w:szCs w:val="20"/>
        </w:rPr>
        <w:t xml:space="preserve">In your country, how do you rate the ethical standards of politicians?”, to which </w:t>
      </w:r>
      <w:r w:rsidRPr="00A24267">
        <w:rPr>
          <w:rFonts w:cstheme="minorHAnsi"/>
          <w:sz w:val="20"/>
          <w:szCs w:val="20"/>
        </w:rPr>
        <w:t xml:space="preserve">business executive </w:t>
      </w:r>
      <w:r w:rsidR="00900171" w:rsidRPr="00A24267">
        <w:rPr>
          <w:rFonts w:cstheme="minorHAnsi"/>
          <w:sz w:val="20"/>
          <w:szCs w:val="20"/>
        </w:rPr>
        <w:t>respondents reply on a seven-point scale.</w:t>
      </w:r>
      <w:r w:rsidRPr="00A24267">
        <w:rPr>
          <w:rStyle w:val="FootnoteReference"/>
          <w:rFonts w:cstheme="minorHAnsi"/>
          <w:sz w:val="20"/>
          <w:szCs w:val="20"/>
        </w:rPr>
        <w:footnoteReference w:id="2"/>
      </w:r>
    </w:p>
    <w:p w14:paraId="66223F59" w14:textId="77777777" w:rsidR="00EE5A70" w:rsidRPr="00A24267" w:rsidRDefault="00EE5A70" w:rsidP="00977CA3">
      <w:pPr>
        <w:spacing w:after="0" w:line="240" w:lineRule="auto"/>
        <w:jc w:val="both"/>
        <w:rPr>
          <w:rFonts w:cstheme="minorHAnsi"/>
          <w:i/>
          <w:iCs/>
          <w:sz w:val="20"/>
          <w:szCs w:val="20"/>
        </w:rPr>
      </w:pPr>
    </w:p>
    <w:p w14:paraId="552C9A80" w14:textId="1BF020AD" w:rsidR="0042381C" w:rsidRPr="00091001" w:rsidRDefault="003A3F8A" w:rsidP="00977CA3">
      <w:pPr>
        <w:spacing w:after="0" w:line="240" w:lineRule="auto"/>
        <w:jc w:val="both"/>
        <w:rPr>
          <w:rFonts w:cstheme="minorHAnsi"/>
          <w:b/>
          <w:i/>
          <w:iCs/>
          <w:sz w:val="20"/>
          <w:szCs w:val="20"/>
        </w:rPr>
      </w:pPr>
      <w:r w:rsidRPr="00091001">
        <w:rPr>
          <w:rFonts w:cstheme="minorHAnsi"/>
          <w:b/>
          <w:i/>
          <w:iCs/>
          <w:sz w:val="20"/>
          <w:szCs w:val="20"/>
        </w:rPr>
        <w:t>Group Grievance:</w:t>
      </w:r>
    </w:p>
    <w:p w14:paraId="2B300222" w14:textId="6B467349" w:rsidR="0042381C" w:rsidRPr="00A24267" w:rsidRDefault="002C4849" w:rsidP="00977CA3">
      <w:pPr>
        <w:spacing w:after="0" w:line="240" w:lineRule="auto"/>
        <w:jc w:val="both"/>
        <w:rPr>
          <w:rFonts w:cstheme="minorHAnsi"/>
          <w:iCs/>
          <w:sz w:val="20"/>
          <w:szCs w:val="20"/>
        </w:rPr>
      </w:pPr>
      <w:r w:rsidRPr="00A24267">
        <w:rPr>
          <w:rFonts w:cstheme="minorHAnsi"/>
          <w:iCs/>
          <w:sz w:val="20"/>
          <w:szCs w:val="20"/>
        </w:rPr>
        <w:t>Taken from Fund for Peace’s Fragile States Index, t</w:t>
      </w:r>
      <w:r w:rsidR="007164BC" w:rsidRPr="00A24267">
        <w:rPr>
          <w:rFonts w:cstheme="minorHAnsi"/>
          <w:iCs/>
          <w:sz w:val="20"/>
          <w:szCs w:val="20"/>
        </w:rPr>
        <w:t xml:space="preserve">his </w:t>
      </w:r>
      <w:r w:rsidR="000427A4" w:rsidRPr="00A24267">
        <w:rPr>
          <w:rFonts w:cstheme="minorHAnsi"/>
          <w:iCs/>
          <w:sz w:val="20"/>
          <w:szCs w:val="20"/>
        </w:rPr>
        <w:t>i</w:t>
      </w:r>
      <w:r w:rsidR="002B3676" w:rsidRPr="00A24267">
        <w:rPr>
          <w:rFonts w:cstheme="minorHAnsi"/>
          <w:iCs/>
          <w:sz w:val="20"/>
          <w:szCs w:val="20"/>
        </w:rPr>
        <w:t xml:space="preserve">ndicator focuses on divisions and schisms between different groups </w:t>
      </w:r>
      <w:r w:rsidR="007164BC" w:rsidRPr="00A24267">
        <w:rPr>
          <w:rFonts w:cstheme="minorHAnsi"/>
          <w:iCs/>
          <w:sz w:val="20"/>
          <w:szCs w:val="20"/>
        </w:rPr>
        <w:t>with</w:t>
      </w:r>
      <w:r w:rsidR="002B3676" w:rsidRPr="00A24267">
        <w:rPr>
          <w:rFonts w:cstheme="minorHAnsi"/>
          <w:iCs/>
          <w:sz w:val="20"/>
          <w:szCs w:val="20"/>
        </w:rPr>
        <w:t xml:space="preserve">in </w:t>
      </w:r>
      <w:r w:rsidR="007164BC" w:rsidRPr="00A24267">
        <w:rPr>
          <w:rFonts w:cstheme="minorHAnsi"/>
          <w:iCs/>
          <w:sz w:val="20"/>
          <w:szCs w:val="20"/>
        </w:rPr>
        <w:t xml:space="preserve">a </w:t>
      </w:r>
      <w:r w:rsidR="002B3676" w:rsidRPr="00A24267">
        <w:rPr>
          <w:rFonts w:cstheme="minorHAnsi"/>
          <w:iCs/>
          <w:sz w:val="20"/>
          <w:szCs w:val="20"/>
        </w:rPr>
        <w:t>society – particularly divisions based on social or political characteristics – and their role in access to services or resources, and inclusion in the political process.</w:t>
      </w:r>
      <w:r w:rsidR="002B3676" w:rsidRPr="00A24267">
        <w:rPr>
          <w:rStyle w:val="FootnoteReference"/>
          <w:rFonts w:cstheme="minorHAnsi"/>
          <w:iCs/>
          <w:sz w:val="20"/>
          <w:szCs w:val="20"/>
        </w:rPr>
        <w:footnoteReference w:id="3"/>
      </w:r>
    </w:p>
    <w:p w14:paraId="538FF476" w14:textId="77777777" w:rsidR="00EE5A70" w:rsidRPr="00A24267" w:rsidRDefault="00EE5A70" w:rsidP="00977CA3">
      <w:pPr>
        <w:spacing w:after="0" w:line="240" w:lineRule="auto"/>
        <w:jc w:val="both"/>
        <w:rPr>
          <w:rFonts w:cstheme="minorHAnsi"/>
          <w:i/>
          <w:iCs/>
          <w:sz w:val="20"/>
          <w:szCs w:val="20"/>
        </w:rPr>
      </w:pPr>
    </w:p>
    <w:p w14:paraId="6BCE9FD3" w14:textId="4AE52381" w:rsidR="0042381C" w:rsidRPr="00091001" w:rsidRDefault="003A3F8A" w:rsidP="00977CA3">
      <w:pPr>
        <w:spacing w:after="0" w:line="240" w:lineRule="auto"/>
        <w:jc w:val="both"/>
        <w:rPr>
          <w:rFonts w:cstheme="minorHAnsi"/>
          <w:b/>
          <w:i/>
          <w:iCs/>
          <w:sz w:val="20"/>
          <w:szCs w:val="20"/>
        </w:rPr>
      </w:pPr>
      <w:r w:rsidRPr="00091001">
        <w:rPr>
          <w:rFonts w:cstheme="minorHAnsi"/>
          <w:b/>
          <w:i/>
          <w:iCs/>
          <w:sz w:val="20"/>
          <w:szCs w:val="20"/>
        </w:rPr>
        <w:t>Perceptions of Corruption:</w:t>
      </w:r>
    </w:p>
    <w:p w14:paraId="5B10C4F5" w14:textId="6421A972" w:rsidR="002B3676" w:rsidRPr="00A24267" w:rsidRDefault="002C4849" w:rsidP="00977CA3">
      <w:pPr>
        <w:spacing w:after="0" w:line="240" w:lineRule="auto"/>
        <w:jc w:val="both"/>
        <w:rPr>
          <w:rFonts w:cstheme="minorHAnsi"/>
          <w:iCs/>
          <w:sz w:val="20"/>
          <w:szCs w:val="20"/>
        </w:rPr>
      </w:pPr>
      <w:r w:rsidRPr="00A24267">
        <w:rPr>
          <w:rFonts w:cstheme="minorHAnsi"/>
          <w:iCs/>
          <w:sz w:val="20"/>
          <w:szCs w:val="20"/>
        </w:rPr>
        <w:t>This indicator is taken from Transparency International’s</w:t>
      </w:r>
      <w:r w:rsidR="002B3676" w:rsidRPr="00A24267">
        <w:rPr>
          <w:rFonts w:cstheme="minorHAnsi"/>
          <w:iCs/>
          <w:sz w:val="20"/>
          <w:szCs w:val="20"/>
        </w:rPr>
        <w:t xml:space="preserve"> Corruption Perceptions Index</w:t>
      </w:r>
      <w:r w:rsidRPr="00A24267">
        <w:rPr>
          <w:rFonts w:cstheme="minorHAnsi"/>
          <w:iCs/>
          <w:sz w:val="20"/>
          <w:szCs w:val="20"/>
        </w:rPr>
        <w:t>, which</w:t>
      </w:r>
      <w:r w:rsidR="000427A4" w:rsidRPr="00A24267">
        <w:rPr>
          <w:rFonts w:cstheme="minorHAnsi"/>
          <w:iCs/>
          <w:sz w:val="20"/>
          <w:szCs w:val="20"/>
        </w:rPr>
        <w:t xml:space="preserve"> scores and ranks countries and </w:t>
      </w:r>
      <w:r w:rsidR="002B3676" w:rsidRPr="00A24267">
        <w:rPr>
          <w:rFonts w:cstheme="minorHAnsi"/>
          <w:iCs/>
          <w:sz w:val="20"/>
          <w:szCs w:val="20"/>
        </w:rPr>
        <w:t>ter</w:t>
      </w:r>
      <w:r w:rsidRPr="00A24267">
        <w:rPr>
          <w:rFonts w:cstheme="minorHAnsi"/>
          <w:iCs/>
          <w:sz w:val="20"/>
          <w:szCs w:val="20"/>
        </w:rPr>
        <w:t xml:space="preserve">ritories based on how corrupt their public sectors are </w:t>
      </w:r>
      <w:r w:rsidR="002B3676" w:rsidRPr="00A24267">
        <w:rPr>
          <w:rFonts w:cstheme="minorHAnsi"/>
          <w:iCs/>
          <w:sz w:val="20"/>
          <w:szCs w:val="20"/>
        </w:rPr>
        <w:t xml:space="preserve">perceived to be by experts and business executives. </w:t>
      </w:r>
      <w:r w:rsidRPr="00A24267">
        <w:rPr>
          <w:rFonts w:cstheme="minorHAnsi"/>
          <w:iCs/>
          <w:sz w:val="20"/>
          <w:szCs w:val="20"/>
        </w:rPr>
        <w:t>The Corruption Perceptions Index</w:t>
      </w:r>
      <w:r w:rsidR="002B3676" w:rsidRPr="00A24267">
        <w:rPr>
          <w:rFonts w:cstheme="minorHAnsi"/>
          <w:iCs/>
          <w:sz w:val="20"/>
          <w:szCs w:val="20"/>
        </w:rPr>
        <w:t xml:space="preserve"> is a composite index, a combination of 13 surveys and assessments of corruption, collected by a variety of reputable institutions.</w:t>
      </w:r>
      <w:r w:rsidR="002B3676" w:rsidRPr="00A24267">
        <w:rPr>
          <w:rStyle w:val="FootnoteReference"/>
          <w:rFonts w:cstheme="minorHAnsi"/>
          <w:iCs/>
          <w:sz w:val="20"/>
          <w:szCs w:val="20"/>
        </w:rPr>
        <w:footnoteReference w:id="4"/>
      </w:r>
    </w:p>
    <w:p w14:paraId="6FE147A9" w14:textId="77777777" w:rsidR="00EE5A70" w:rsidRPr="00A24267" w:rsidRDefault="00EE5A70" w:rsidP="00977CA3">
      <w:pPr>
        <w:spacing w:after="0" w:line="240" w:lineRule="auto"/>
        <w:jc w:val="both"/>
        <w:rPr>
          <w:rFonts w:cstheme="minorHAnsi"/>
          <w:iCs/>
          <w:sz w:val="20"/>
          <w:szCs w:val="20"/>
        </w:rPr>
      </w:pPr>
    </w:p>
    <w:p w14:paraId="70D65ACF" w14:textId="77777777" w:rsidR="0042381C" w:rsidRPr="00A24267" w:rsidRDefault="0042381C" w:rsidP="00977CA3">
      <w:pPr>
        <w:spacing w:after="0" w:line="240" w:lineRule="auto"/>
        <w:jc w:val="both"/>
        <w:rPr>
          <w:rFonts w:cstheme="minorHAnsi"/>
          <w:i/>
          <w:iCs/>
          <w:sz w:val="20"/>
          <w:szCs w:val="20"/>
        </w:rPr>
      </w:pPr>
    </w:p>
    <w:p w14:paraId="6A66AC76" w14:textId="1AA2DEF9" w:rsidR="0042381C" w:rsidRPr="00A24267" w:rsidRDefault="00FD6E64" w:rsidP="00977CA3">
      <w:pPr>
        <w:pStyle w:val="Heading3"/>
        <w:spacing w:before="0" w:line="240" w:lineRule="auto"/>
        <w:jc w:val="both"/>
        <w:rPr>
          <w:rFonts w:asciiTheme="minorHAnsi" w:hAnsiTheme="minorHAnsi" w:cstheme="minorHAnsi"/>
          <w:sz w:val="20"/>
          <w:szCs w:val="20"/>
        </w:rPr>
      </w:pPr>
      <w:bookmarkStart w:id="10" w:name="_Toc75438753"/>
      <w:r>
        <w:rPr>
          <w:rFonts w:asciiTheme="minorHAnsi" w:hAnsiTheme="minorHAnsi" w:cstheme="minorHAnsi"/>
          <w:sz w:val="20"/>
          <w:szCs w:val="20"/>
        </w:rPr>
        <w:t xml:space="preserve">Economic </w:t>
      </w:r>
      <w:r w:rsidR="003A3F8A" w:rsidRPr="00A24267">
        <w:rPr>
          <w:rFonts w:asciiTheme="minorHAnsi" w:hAnsiTheme="minorHAnsi" w:cstheme="minorHAnsi"/>
          <w:sz w:val="20"/>
          <w:szCs w:val="20"/>
        </w:rPr>
        <w:t>Inequality</w:t>
      </w:r>
      <w:bookmarkEnd w:id="10"/>
    </w:p>
    <w:p w14:paraId="522A9793" w14:textId="3FF75BA1" w:rsidR="00651DEA" w:rsidRPr="00A24267" w:rsidRDefault="00651DEA" w:rsidP="00977CA3">
      <w:pPr>
        <w:spacing w:after="0" w:line="240" w:lineRule="auto"/>
        <w:jc w:val="both"/>
        <w:rPr>
          <w:rFonts w:cstheme="minorHAnsi"/>
          <w:sz w:val="20"/>
          <w:szCs w:val="20"/>
        </w:rPr>
      </w:pPr>
      <w:r w:rsidRPr="00A24267">
        <w:rPr>
          <w:rFonts w:cstheme="minorHAnsi"/>
          <w:sz w:val="20"/>
          <w:szCs w:val="20"/>
        </w:rPr>
        <w:t xml:space="preserve">The Inequality concept aims to capture the unequal distribution of income </w:t>
      </w:r>
      <w:r w:rsidR="0067534D" w:rsidRPr="00A24267">
        <w:rPr>
          <w:rFonts w:cstheme="minorHAnsi"/>
          <w:sz w:val="20"/>
          <w:szCs w:val="20"/>
        </w:rPr>
        <w:t xml:space="preserve">across a </w:t>
      </w:r>
      <w:r w:rsidRPr="00A24267">
        <w:rPr>
          <w:rFonts w:cstheme="minorHAnsi"/>
          <w:sz w:val="20"/>
          <w:szCs w:val="20"/>
        </w:rPr>
        <w:t>national community. It does this through the following indicator.</w:t>
      </w:r>
    </w:p>
    <w:p w14:paraId="18E7A2C9" w14:textId="77777777" w:rsidR="00E11A13" w:rsidRPr="00A24267" w:rsidRDefault="00E11A13" w:rsidP="00977CA3">
      <w:pPr>
        <w:spacing w:after="0" w:line="240" w:lineRule="auto"/>
        <w:jc w:val="both"/>
        <w:rPr>
          <w:rFonts w:cstheme="minorHAnsi"/>
          <w:sz w:val="20"/>
          <w:szCs w:val="20"/>
        </w:rPr>
      </w:pPr>
    </w:p>
    <w:p w14:paraId="6F986D14" w14:textId="76D8315A" w:rsidR="00E11A13" w:rsidRPr="00091001" w:rsidRDefault="00E11A13" w:rsidP="00977CA3">
      <w:pPr>
        <w:spacing w:after="0" w:line="240" w:lineRule="auto"/>
        <w:jc w:val="both"/>
        <w:rPr>
          <w:rFonts w:cstheme="minorHAnsi"/>
          <w:b/>
          <w:i/>
          <w:iCs/>
          <w:sz w:val="20"/>
          <w:szCs w:val="20"/>
        </w:rPr>
      </w:pPr>
      <w:r w:rsidRPr="00091001">
        <w:rPr>
          <w:rFonts w:cstheme="minorHAnsi"/>
          <w:b/>
          <w:i/>
          <w:iCs/>
          <w:sz w:val="20"/>
          <w:szCs w:val="20"/>
        </w:rPr>
        <w:t>Pre-</w:t>
      </w:r>
      <w:r w:rsidR="00043F21">
        <w:rPr>
          <w:rFonts w:cstheme="minorHAnsi"/>
          <w:b/>
          <w:i/>
          <w:iCs/>
          <w:sz w:val="20"/>
          <w:szCs w:val="20"/>
        </w:rPr>
        <w:t>T</w:t>
      </w:r>
      <w:r w:rsidRPr="00091001">
        <w:rPr>
          <w:rFonts w:cstheme="minorHAnsi"/>
          <w:b/>
          <w:i/>
          <w:iCs/>
          <w:sz w:val="20"/>
          <w:szCs w:val="20"/>
        </w:rPr>
        <w:t xml:space="preserve">ax </w:t>
      </w:r>
      <w:r w:rsidR="00043F21">
        <w:rPr>
          <w:rFonts w:cstheme="minorHAnsi"/>
          <w:b/>
          <w:i/>
          <w:iCs/>
          <w:sz w:val="20"/>
          <w:szCs w:val="20"/>
        </w:rPr>
        <w:t>N</w:t>
      </w:r>
      <w:r w:rsidRPr="00091001">
        <w:rPr>
          <w:rFonts w:cstheme="minorHAnsi"/>
          <w:b/>
          <w:i/>
          <w:iCs/>
          <w:sz w:val="20"/>
          <w:szCs w:val="20"/>
        </w:rPr>
        <w:t xml:space="preserve">ational </w:t>
      </w:r>
      <w:r w:rsidR="00043F21">
        <w:rPr>
          <w:rFonts w:cstheme="minorHAnsi"/>
          <w:b/>
          <w:i/>
          <w:iCs/>
          <w:sz w:val="20"/>
          <w:szCs w:val="20"/>
        </w:rPr>
        <w:t>I</w:t>
      </w:r>
      <w:r w:rsidRPr="00091001">
        <w:rPr>
          <w:rFonts w:cstheme="minorHAnsi"/>
          <w:b/>
          <w:i/>
          <w:iCs/>
          <w:sz w:val="20"/>
          <w:szCs w:val="20"/>
        </w:rPr>
        <w:t xml:space="preserve">ncome (Top 10%): </w:t>
      </w:r>
    </w:p>
    <w:p w14:paraId="21DE7E1A" w14:textId="0DCD1DA8" w:rsidR="00E11A13" w:rsidRDefault="000427A4" w:rsidP="00977CA3">
      <w:pPr>
        <w:spacing w:after="0" w:line="240" w:lineRule="auto"/>
        <w:jc w:val="both"/>
        <w:rPr>
          <w:rFonts w:cstheme="minorHAnsi"/>
          <w:sz w:val="20"/>
          <w:szCs w:val="20"/>
        </w:rPr>
      </w:pPr>
      <w:r w:rsidRPr="00A24267">
        <w:rPr>
          <w:rFonts w:cstheme="minorHAnsi"/>
          <w:sz w:val="20"/>
          <w:szCs w:val="20"/>
        </w:rPr>
        <w:t xml:space="preserve">Using figures from the World Inequality Database, this indicator </w:t>
      </w:r>
      <w:r w:rsidR="00392556" w:rsidRPr="00A24267">
        <w:rPr>
          <w:rFonts w:cstheme="minorHAnsi"/>
          <w:sz w:val="20"/>
          <w:szCs w:val="20"/>
        </w:rPr>
        <w:t>expresses</w:t>
      </w:r>
      <w:r w:rsidRPr="00A24267">
        <w:rPr>
          <w:rFonts w:cstheme="minorHAnsi"/>
          <w:sz w:val="20"/>
          <w:szCs w:val="20"/>
        </w:rPr>
        <w:t xml:space="preserve"> the share of the national pre-tax income that goes to the top 10 per cent of earners in a country.</w:t>
      </w:r>
    </w:p>
    <w:p w14:paraId="10F7769F" w14:textId="7BE562EF" w:rsidR="00E01618" w:rsidRDefault="00E01618" w:rsidP="00977CA3">
      <w:pPr>
        <w:spacing w:after="0" w:line="240" w:lineRule="auto"/>
        <w:jc w:val="both"/>
        <w:rPr>
          <w:rFonts w:cstheme="minorHAnsi"/>
          <w:sz w:val="20"/>
          <w:szCs w:val="20"/>
        </w:rPr>
      </w:pPr>
    </w:p>
    <w:p w14:paraId="79B6B81D" w14:textId="77777777" w:rsidR="00E01618" w:rsidRPr="00A24267" w:rsidRDefault="00E01618" w:rsidP="00E01618">
      <w:pPr>
        <w:spacing w:after="0" w:line="240" w:lineRule="auto"/>
        <w:jc w:val="both"/>
        <w:rPr>
          <w:rFonts w:cstheme="minorHAnsi"/>
          <w:i/>
          <w:iCs/>
          <w:sz w:val="20"/>
          <w:szCs w:val="20"/>
        </w:rPr>
      </w:pPr>
    </w:p>
    <w:p w14:paraId="71C22BDD" w14:textId="72C45715" w:rsidR="00E01618" w:rsidRPr="00A24267" w:rsidRDefault="00E01618" w:rsidP="00E01618">
      <w:pPr>
        <w:pStyle w:val="Heading3"/>
        <w:spacing w:before="0" w:line="240" w:lineRule="auto"/>
        <w:jc w:val="both"/>
        <w:rPr>
          <w:rFonts w:asciiTheme="minorHAnsi" w:hAnsiTheme="minorHAnsi" w:cstheme="minorHAnsi"/>
          <w:sz w:val="20"/>
          <w:szCs w:val="20"/>
        </w:rPr>
      </w:pPr>
      <w:bookmarkStart w:id="11" w:name="_Toc75438754"/>
      <w:r>
        <w:rPr>
          <w:rFonts w:asciiTheme="minorHAnsi" w:hAnsiTheme="minorHAnsi" w:cstheme="minorHAnsi"/>
          <w:sz w:val="20"/>
          <w:szCs w:val="20"/>
        </w:rPr>
        <w:t>Gender</w:t>
      </w:r>
      <w:bookmarkEnd w:id="11"/>
    </w:p>
    <w:p w14:paraId="228D978C" w14:textId="38ED06B7" w:rsidR="00E01618" w:rsidRPr="00A24267" w:rsidRDefault="00E01618" w:rsidP="00E01618">
      <w:pPr>
        <w:spacing w:after="0" w:line="240" w:lineRule="auto"/>
        <w:jc w:val="both"/>
        <w:rPr>
          <w:rFonts w:cstheme="minorHAnsi"/>
          <w:sz w:val="20"/>
          <w:szCs w:val="20"/>
        </w:rPr>
      </w:pPr>
      <w:r w:rsidRPr="00A24267">
        <w:rPr>
          <w:rFonts w:cstheme="minorHAnsi"/>
          <w:sz w:val="20"/>
          <w:szCs w:val="20"/>
        </w:rPr>
        <w:t xml:space="preserve">The </w:t>
      </w:r>
      <w:r>
        <w:rPr>
          <w:rFonts w:cstheme="minorHAnsi"/>
          <w:sz w:val="20"/>
          <w:szCs w:val="20"/>
        </w:rPr>
        <w:t>Gender</w:t>
      </w:r>
      <w:r w:rsidRPr="00A24267">
        <w:rPr>
          <w:rFonts w:cstheme="minorHAnsi"/>
          <w:sz w:val="20"/>
          <w:szCs w:val="20"/>
        </w:rPr>
        <w:t xml:space="preserve"> concept aim</w:t>
      </w:r>
      <w:r w:rsidR="00FD6E64">
        <w:rPr>
          <w:rFonts w:cstheme="minorHAnsi"/>
          <w:sz w:val="20"/>
          <w:szCs w:val="20"/>
        </w:rPr>
        <w:t>s</w:t>
      </w:r>
      <w:r w:rsidRPr="00A24267">
        <w:rPr>
          <w:rFonts w:cstheme="minorHAnsi"/>
          <w:sz w:val="20"/>
          <w:szCs w:val="20"/>
        </w:rPr>
        <w:t xml:space="preserve"> to capture the </w:t>
      </w:r>
      <w:r w:rsidR="00611483">
        <w:rPr>
          <w:rFonts w:cstheme="minorHAnsi"/>
          <w:sz w:val="20"/>
          <w:szCs w:val="20"/>
        </w:rPr>
        <w:t xml:space="preserve">participation, </w:t>
      </w:r>
      <w:r>
        <w:rPr>
          <w:rFonts w:cstheme="minorHAnsi"/>
          <w:sz w:val="20"/>
          <w:szCs w:val="20"/>
        </w:rPr>
        <w:t xml:space="preserve">inequality </w:t>
      </w:r>
      <w:r w:rsidR="00611483">
        <w:rPr>
          <w:rFonts w:cstheme="minorHAnsi"/>
          <w:sz w:val="20"/>
          <w:szCs w:val="20"/>
        </w:rPr>
        <w:t xml:space="preserve">and interpersonal violence </w:t>
      </w:r>
      <w:r>
        <w:rPr>
          <w:rFonts w:cstheme="minorHAnsi"/>
          <w:sz w:val="20"/>
          <w:szCs w:val="20"/>
        </w:rPr>
        <w:t xml:space="preserve">that exists </w:t>
      </w:r>
      <w:r w:rsidR="00611483">
        <w:rPr>
          <w:rFonts w:cstheme="minorHAnsi"/>
          <w:sz w:val="20"/>
          <w:szCs w:val="20"/>
        </w:rPr>
        <w:t xml:space="preserve">for women </w:t>
      </w:r>
      <w:r>
        <w:rPr>
          <w:rFonts w:cstheme="minorHAnsi"/>
          <w:sz w:val="20"/>
          <w:szCs w:val="20"/>
        </w:rPr>
        <w:t xml:space="preserve">in a national community. </w:t>
      </w:r>
      <w:r w:rsidRPr="00A24267">
        <w:rPr>
          <w:rFonts w:cstheme="minorHAnsi"/>
          <w:sz w:val="20"/>
          <w:szCs w:val="20"/>
        </w:rPr>
        <w:t>It does this through the following indicator</w:t>
      </w:r>
      <w:r w:rsidR="00C51142">
        <w:rPr>
          <w:rFonts w:cstheme="minorHAnsi"/>
          <w:sz w:val="20"/>
          <w:szCs w:val="20"/>
        </w:rPr>
        <w:t>s</w:t>
      </w:r>
      <w:r w:rsidRPr="00A24267">
        <w:rPr>
          <w:rFonts w:cstheme="minorHAnsi"/>
          <w:sz w:val="20"/>
          <w:szCs w:val="20"/>
        </w:rPr>
        <w:t>.</w:t>
      </w:r>
    </w:p>
    <w:p w14:paraId="2A116E06" w14:textId="77777777" w:rsidR="00E01618" w:rsidRDefault="00E01618" w:rsidP="00977CA3">
      <w:pPr>
        <w:spacing w:after="0" w:line="240" w:lineRule="auto"/>
        <w:jc w:val="both"/>
        <w:rPr>
          <w:rFonts w:cstheme="minorHAnsi"/>
          <w:sz w:val="20"/>
          <w:szCs w:val="20"/>
        </w:rPr>
      </w:pPr>
    </w:p>
    <w:p w14:paraId="58CCB8C9" w14:textId="42FF8D37" w:rsidR="00E01618" w:rsidRPr="00091001" w:rsidRDefault="00E01618" w:rsidP="00E01618">
      <w:pPr>
        <w:spacing w:after="0" w:line="240" w:lineRule="auto"/>
        <w:jc w:val="both"/>
        <w:rPr>
          <w:rFonts w:cstheme="minorHAnsi"/>
          <w:b/>
          <w:i/>
          <w:iCs/>
          <w:sz w:val="20"/>
          <w:szCs w:val="20"/>
        </w:rPr>
      </w:pPr>
      <w:r>
        <w:rPr>
          <w:rFonts w:cstheme="minorHAnsi"/>
          <w:b/>
          <w:i/>
          <w:iCs/>
          <w:sz w:val="20"/>
          <w:szCs w:val="20"/>
        </w:rPr>
        <w:t>Women, Business and Law</w:t>
      </w:r>
      <w:r w:rsidR="009044D4">
        <w:rPr>
          <w:rFonts w:cstheme="minorHAnsi"/>
          <w:b/>
          <w:i/>
          <w:iCs/>
          <w:sz w:val="20"/>
          <w:szCs w:val="20"/>
        </w:rPr>
        <w:t xml:space="preserve"> Index Score</w:t>
      </w:r>
      <w:r w:rsidRPr="00091001">
        <w:rPr>
          <w:rFonts w:cstheme="minorHAnsi"/>
          <w:b/>
          <w:i/>
          <w:iCs/>
          <w:sz w:val="20"/>
          <w:szCs w:val="20"/>
        </w:rPr>
        <w:t xml:space="preserve">: </w:t>
      </w:r>
    </w:p>
    <w:p w14:paraId="4E40600B" w14:textId="0AF5CD9E" w:rsidR="00E01618" w:rsidRDefault="00E01618" w:rsidP="00977CA3">
      <w:pPr>
        <w:spacing w:after="0" w:line="240" w:lineRule="auto"/>
        <w:jc w:val="both"/>
        <w:rPr>
          <w:rFonts w:cstheme="minorHAnsi"/>
          <w:sz w:val="20"/>
          <w:szCs w:val="20"/>
        </w:rPr>
      </w:pPr>
      <w:r>
        <w:rPr>
          <w:rFonts w:cstheme="minorHAnsi"/>
          <w:sz w:val="20"/>
          <w:szCs w:val="20"/>
        </w:rPr>
        <w:t xml:space="preserve">Taken from the World Bank’s Women, Business and Law </w:t>
      </w:r>
      <w:r w:rsidR="00043F21">
        <w:rPr>
          <w:rFonts w:cstheme="minorHAnsi"/>
          <w:sz w:val="20"/>
          <w:szCs w:val="20"/>
        </w:rPr>
        <w:t>database</w:t>
      </w:r>
      <w:r>
        <w:rPr>
          <w:rFonts w:cstheme="minorHAnsi"/>
          <w:sz w:val="20"/>
          <w:szCs w:val="20"/>
        </w:rPr>
        <w:t xml:space="preserve">, this </w:t>
      </w:r>
      <w:r w:rsidR="009044D4" w:rsidRPr="009044D4">
        <w:rPr>
          <w:rFonts w:cstheme="minorHAnsi"/>
          <w:sz w:val="20"/>
          <w:szCs w:val="20"/>
        </w:rPr>
        <w:t>index measures how laws and regulations affect women</w:t>
      </w:r>
      <w:r w:rsidR="00682D8F">
        <w:rPr>
          <w:rFonts w:cstheme="minorHAnsi"/>
          <w:sz w:val="20"/>
          <w:szCs w:val="20"/>
        </w:rPr>
        <w:t>’</w:t>
      </w:r>
      <w:r w:rsidR="009044D4" w:rsidRPr="009044D4">
        <w:rPr>
          <w:rFonts w:cstheme="minorHAnsi"/>
          <w:sz w:val="20"/>
          <w:szCs w:val="20"/>
        </w:rPr>
        <w:t xml:space="preserve">s economic opportunity.  Overall scores are calculated by taking the average score of each of the </w:t>
      </w:r>
      <w:r w:rsidR="009044D4" w:rsidRPr="009044D4">
        <w:rPr>
          <w:rFonts w:cstheme="minorHAnsi"/>
          <w:sz w:val="20"/>
          <w:szCs w:val="20"/>
        </w:rPr>
        <w:lastRenderedPageBreak/>
        <w:t>eight areas (Going Places, Starting a Job, Getting Paid, Getting Married, Having Children, Running a Business, Managing Assets and Getting a Pension), with 100 representing the highest possible score.</w:t>
      </w:r>
    </w:p>
    <w:p w14:paraId="152E3715" w14:textId="2903EFE8" w:rsidR="00E01618" w:rsidRDefault="00E01618" w:rsidP="00977CA3">
      <w:pPr>
        <w:spacing w:after="0" w:line="240" w:lineRule="auto"/>
        <w:jc w:val="both"/>
        <w:rPr>
          <w:rFonts w:cstheme="minorHAnsi"/>
          <w:sz w:val="20"/>
          <w:szCs w:val="20"/>
        </w:rPr>
      </w:pPr>
    </w:p>
    <w:p w14:paraId="17175181" w14:textId="4A62ED13" w:rsidR="00E01618" w:rsidRDefault="00E01618" w:rsidP="00977CA3">
      <w:pPr>
        <w:spacing w:after="0" w:line="240" w:lineRule="auto"/>
        <w:jc w:val="both"/>
        <w:rPr>
          <w:rFonts w:cstheme="minorHAnsi"/>
          <w:b/>
          <w:i/>
          <w:iCs/>
          <w:sz w:val="20"/>
          <w:szCs w:val="20"/>
        </w:rPr>
      </w:pPr>
      <w:r w:rsidRPr="00E01618">
        <w:rPr>
          <w:rFonts w:cstheme="minorHAnsi"/>
          <w:b/>
          <w:i/>
          <w:iCs/>
          <w:sz w:val="20"/>
          <w:szCs w:val="20"/>
        </w:rPr>
        <w:t xml:space="preserve">Gender </w:t>
      </w:r>
      <w:r w:rsidR="00AD79B7">
        <w:rPr>
          <w:rFonts w:cstheme="minorHAnsi"/>
          <w:b/>
          <w:i/>
          <w:iCs/>
          <w:sz w:val="20"/>
          <w:szCs w:val="20"/>
        </w:rPr>
        <w:t xml:space="preserve">Disparities in </w:t>
      </w:r>
      <w:r w:rsidRPr="00E01618">
        <w:rPr>
          <w:rFonts w:cstheme="minorHAnsi"/>
          <w:b/>
          <w:i/>
          <w:iCs/>
          <w:sz w:val="20"/>
          <w:szCs w:val="20"/>
        </w:rPr>
        <w:t>Development</w:t>
      </w:r>
      <w:r>
        <w:rPr>
          <w:rFonts w:cstheme="minorHAnsi"/>
          <w:b/>
          <w:i/>
          <w:iCs/>
          <w:sz w:val="20"/>
          <w:szCs w:val="20"/>
        </w:rPr>
        <w:t>:</w:t>
      </w:r>
    </w:p>
    <w:p w14:paraId="75B831FD" w14:textId="33CC9690" w:rsidR="00771088" w:rsidRPr="00771088" w:rsidRDefault="00771088" w:rsidP="00977CA3">
      <w:pPr>
        <w:spacing w:after="0" w:line="240" w:lineRule="auto"/>
        <w:jc w:val="both"/>
        <w:rPr>
          <w:rFonts w:cstheme="minorHAnsi"/>
          <w:sz w:val="20"/>
          <w:szCs w:val="20"/>
        </w:rPr>
      </w:pPr>
      <w:r w:rsidRPr="00771088">
        <w:rPr>
          <w:rFonts w:cstheme="minorHAnsi"/>
          <w:sz w:val="20"/>
          <w:szCs w:val="20"/>
        </w:rPr>
        <w:t xml:space="preserve">Drawing on </w:t>
      </w:r>
      <w:r w:rsidR="00C51142">
        <w:rPr>
          <w:rFonts w:cstheme="minorHAnsi"/>
          <w:sz w:val="20"/>
          <w:szCs w:val="20"/>
        </w:rPr>
        <w:t>UNDP’s Gender Development I</w:t>
      </w:r>
      <w:r w:rsidRPr="00771088">
        <w:rPr>
          <w:rFonts w:cstheme="minorHAnsi"/>
          <w:sz w:val="20"/>
          <w:szCs w:val="20"/>
        </w:rPr>
        <w:t xml:space="preserve">ndex, this indicator measures gender gaps in human development achievements by accounting for disparities between women and men in three basic </w:t>
      </w:r>
      <w:r w:rsidR="00C51142">
        <w:rPr>
          <w:rFonts w:cstheme="minorHAnsi"/>
          <w:sz w:val="20"/>
          <w:szCs w:val="20"/>
        </w:rPr>
        <w:t xml:space="preserve">dimensions of human development – </w:t>
      </w:r>
      <w:r w:rsidRPr="00771088">
        <w:rPr>
          <w:rFonts w:cstheme="minorHAnsi"/>
          <w:sz w:val="20"/>
          <w:szCs w:val="20"/>
        </w:rPr>
        <w:t xml:space="preserve">health, knowledge and living standards </w:t>
      </w:r>
      <w:r w:rsidR="00EC13AF">
        <w:rPr>
          <w:rFonts w:cstheme="minorHAnsi"/>
          <w:sz w:val="20"/>
          <w:szCs w:val="20"/>
        </w:rPr>
        <w:t xml:space="preserve">– </w:t>
      </w:r>
      <w:r w:rsidRPr="00771088">
        <w:rPr>
          <w:rFonts w:cstheme="minorHAnsi"/>
          <w:sz w:val="20"/>
          <w:szCs w:val="20"/>
        </w:rPr>
        <w:t xml:space="preserve">using the same component indicators as in the Human Development Index. </w:t>
      </w:r>
    </w:p>
    <w:p w14:paraId="041D6507" w14:textId="77777777" w:rsidR="00771088" w:rsidRDefault="00771088" w:rsidP="00977CA3">
      <w:pPr>
        <w:spacing w:after="0" w:line="240" w:lineRule="auto"/>
        <w:jc w:val="both"/>
        <w:rPr>
          <w:rFonts w:cstheme="minorHAnsi"/>
          <w:b/>
          <w:i/>
          <w:iCs/>
          <w:sz w:val="20"/>
          <w:szCs w:val="20"/>
        </w:rPr>
      </w:pPr>
    </w:p>
    <w:p w14:paraId="30A91655" w14:textId="4AB8CF87" w:rsidR="00771088" w:rsidRDefault="00980FE8" w:rsidP="00977CA3">
      <w:pPr>
        <w:spacing w:after="0" w:line="240" w:lineRule="auto"/>
        <w:jc w:val="both"/>
        <w:rPr>
          <w:rFonts w:cstheme="minorHAnsi"/>
          <w:b/>
          <w:i/>
          <w:iCs/>
          <w:sz w:val="20"/>
          <w:szCs w:val="20"/>
        </w:rPr>
      </w:pPr>
      <w:r>
        <w:rPr>
          <w:rFonts w:cstheme="minorHAnsi"/>
          <w:b/>
          <w:i/>
          <w:iCs/>
          <w:sz w:val="20"/>
          <w:szCs w:val="20"/>
        </w:rPr>
        <w:t>Prevalence of V</w:t>
      </w:r>
      <w:r w:rsidR="00771088">
        <w:rPr>
          <w:rFonts w:cstheme="minorHAnsi"/>
          <w:b/>
          <w:i/>
          <w:iCs/>
          <w:sz w:val="20"/>
          <w:szCs w:val="20"/>
        </w:rPr>
        <w:t xml:space="preserve">iolence against Women and Girls: </w:t>
      </w:r>
    </w:p>
    <w:p w14:paraId="2E6E5E23" w14:textId="3C7468DB" w:rsidR="00E01618" w:rsidRPr="00771088" w:rsidRDefault="00771088" w:rsidP="00977CA3">
      <w:pPr>
        <w:spacing w:after="0" w:line="240" w:lineRule="auto"/>
        <w:jc w:val="both"/>
        <w:rPr>
          <w:rFonts w:cstheme="minorHAnsi"/>
          <w:b/>
          <w:i/>
          <w:iCs/>
          <w:sz w:val="20"/>
          <w:szCs w:val="20"/>
        </w:rPr>
      </w:pPr>
      <w:r w:rsidRPr="00771088">
        <w:rPr>
          <w:rFonts w:cstheme="minorHAnsi"/>
          <w:sz w:val="20"/>
          <w:szCs w:val="20"/>
        </w:rPr>
        <w:t xml:space="preserve">Using UN data from SDG 5.2, this indicator measures the </w:t>
      </w:r>
      <w:r w:rsidR="00C51142">
        <w:rPr>
          <w:rFonts w:cstheme="minorHAnsi"/>
          <w:sz w:val="20"/>
          <w:szCs w:val="20"/>
        </w:rPr>
        <w:t xml:space="preserve">proportion of </w:t>
      </w:r>
      <w:r w:rsidRPr="00771088">
        <w:rPr>
          <w:rFonts w:cstheme="minorHAnsi"/>
          <w:sz w:val="20"/>
          <w:szCs w:val="20"/>
        </w:rPr>
        <w:t xml:space="preserve">women and girls aged 15 years and older </w:t>
      </w:r>
      <w:r w:rsidR="007941FB">
        <w:rPr>
          <w:rFonts w:cstheme="minorHAnsi"/>
          <w:sz w:val="20"/>
          <w:szCs w:val="20"/>
        </w:rPr>
        <w:t xml:space="preserve">that have been </w:t>
      </w:r>
      <w:r w:rsidRPr="00771088">
        <w:rPr>
          <w:rFonts w:cstheme="minorHAnsi"/>
          <w:sz w:val="20"/>
          <w:szCs w:val="20"/>
        </w:rPr>
        <w:t>subjected to physical, sexual or psychological violence by a current or former intimate partner in the previous 12 months, by form of violence and age</w:t>
      </w:r>
      <w:r>
        <w:rPr>
          <w:rFonts w:cstheme="minorHAnsi"/>
          <w:sz w:val="20"/>
          <w:szCs w:val="20"/>
        </w:rPr>
        <w:t>.</w:t>
      </w:r>
      <w:r w:rsidR="00747B53">
        <w:rPr>
          <w:rFonts w:cstheme="minorHAnsi"/>
          <w:sz w:val="20"/>
          <w:szCs w:val="20"/>
        </w:rPr>
        <w:t xml:space="preserve"> The data for SDG 5.2 has categorisations for age with different countries reporting on different age brackets. To maximise the number of countries, IEP has averaged these age brackets within countries to provide a dataset of 107 nations. The remaining countries have been assigned the regional average.</w:t>
      </w:r>
    </w:p>
    <w:p w14:paraId="2B44FF25" w14:textId="6973DF02" w:rsidR="00EE5A70" w:rsidRDefault="00EE5A70" w:rsidP="00977CA3">
      <w:pPr>
        <w:spacing w:after="0" w:line="240" w:lineRule="auto"/>
        <w:jc w:val="both"/>
        <w:rPr>
          <w:rFonts w:cstheme="minorHAnsi"/>
          <w:color w:val="FF0000"/>
          <w:sz w:val="20"/>
          <w:szCs w:val="20"/>
        </w:rPr>
      </w:pPr>
    </w:p>
    <w:p w14:paraId="1D3F3542" w14:textId="213F144D" w:rsidR="00695A42" w:rsidRDefault="00695A42" w:rsidP="00977CA3">
      <w:pPr>
        <w:spacing w:after="0" w:line="240" w:lineRule="auto"/>
        <w:jc w:val="both"/>
        <w:rPr>
          <w:rFonts w:cstheme="minorHAnsi"/>
          <w:b/>
          <w:i/>
          <w:iCs/>
          <w:sz w:val="20"/>
          <w:szCs w:val="20"/>
        </w:rPr>
      </w:pPr>
      <w:r w:rsidRPr="00611483">
        <w:rPr>
          <w:rFonts w:cstheme="minorHAnsi"/>
          <w:b/>
          <w:i/>
          <w:iCs/>
          <w:sz w:val="20"/>
          <w:szCs w:val="20"/>
        </w:rPr>
        <w:t>Proportion of Women in Parliament</w:t>
      </w:r>
      <w:r>
        <w:rPr>
          <w:rFonts w:cstheme="minorHAnsi"/>
          <w:b/>
          <w:i/>
          <w:iCs/>
          <w:sz w:val="20"/>
          <w:szCs w:val="20"/>
        </w:rPr>
        <w:t>:</w:t>
      </w:r>
    </w:p>
    <w:p w14:paraId="0BFA8C64" w14:textId="16EC2BB0" w:rsidR="00695A42" w:rsidRPr="00611483" w:rsidRDefault="00695A42" w:rsidP="00977CA3">
      <w:pPr>
        <w:spacing w:after="0" w:line="240" w:lineRule="auto"/>
        <w:jc w:val="both"/>
        <w:rPr>
          <w:rFonts w:cstheme="minorHAnsi"/>
          <w:iCs/>
          <w:sz w:val="20"/>
          <w:szCs w:val="20"/>
        </w:rPr>
      </w:pPr>
      <w:r w:rsidRPr="00611483">
        <w:rPr>
          <w:rFonts w:cstheme="minorHAnsi"/>
          <w:iCs/>
          <w:sz w:val="20"/>
          <w:szCs w:val="20"/>
        </w:rPr>
        <w:t>Using data from the Inter-Parliamentary Union, this indicator takes the average of the proportion of women who hold seats in either the Upper or Lower Houses of parliament.</w:t>
      </w:r>
      <w:r>
        <w:rPr>
          <w:rStyle w:val="FootnoteReference"/>
          <w:rFonts w:cstheme="minorHAnsi"/>
          <w:iCs/>
          <w:sz w:val="20"/>
          <w:szCs w:val="20"/>
        </w:rPr>
        <w:footnoteReference w:id="5"/>
      </w:r>
    </w:p>
    <w:p w14:paraId="3CE75E9E" w14:textId="77777777" w:rsidR="00695A42" w:rsidRDefault="00695A42" w:rsidP="00977CA3">
      <w:pPr>
        <w:spacing w:after="0" w:line="240" w:lineRule="auto"/>
        <w:jc w:val="both"/>
        <w:rPr>
          <w:rFonts w:cstheme="minorHAnsi"/>
          <w:color w:val="FF0000"/>
          <w:sz w:val="20"/>
          <w:szCs w:val="20"/>
        </w:rPr>
      </w:pPr>
    </w:p>
    <w:p w14:paraId="720497CB" w14:textId="14FEC9D7" w:rsidR="00BD313C" w:rsidRPr="00806FF9" w:rsidRDefault="00BD313C" w:rsidP="00806FF9">
      <w:pPr>
        <w:spacing w:after="0" w:line="240" w:lineRule="auto"/>
        <w:jc w:val="both"/>
        <w:rPr>
          <w:rFonts w:cstheme="minorHAnsi"/>
          <w:b/>
          <w:i/>
          <w:iCs/>
          <w:sz w:val="20"/>
          <w:szCs w:val="20"/>
        </w:rPr>
      </w:pPr>
      <w:r w:rsidRPr="00806FF9">
        <w:rPr>
          <w:rFonts w:cstheme="minorHAnsi"/>
          <w:b/>
          <w:i/>
          <w:iCs/>
          <w:sz w:val="20"/>
          <w:szCs w:val="20"/>
        </w:rPr>
        <w:t>Gender Disaggregation in Other Indicators</w:t>
      </w:r>
      <w:r w:rsidR="00806FF9" w:rsidRPr="00806FF9">
        <w:rPr>
          <w:rFonts w:cstheme="minorHAnsi"/>
          <w:b/>
          <w:i/>
          <w:iCs/>
          <w:sz w:val="20"/>
          <w:szCs w:val="20"/>
        </w:rPr>
        <w:t>:</w:t>
      </w:r>
      <w:r w:rsidR="00806FF9">
        <w:rPr>
          <w:rFonts w:cstheme="minorHAnsi"/>
          <w:b/>
          <w:i/>
          <w:iCs/>
          <w:sz w:val="20"/>
          <w:szCs w:val="20"/>
        </w:rPr>
        <w:t xml:space="preserve"> </w:t>
      </w:r>
      <w:r w:rsidR="00806FF9" w:rsidRPr="00806FF9">
        <w:rPr>
          <w:rFonts w:cstheme="minorHAnsi"/>
          <w:i/>
          <w:iCs/>
          <w:sz w:val="20"/>
          <w:szCs w:val="20"/>
        </w:rPr>
        <w:t>In addition to the gender specific indicators included in the UNDP-FM, three additional indicators can also be disaggregated by gender for future analysis:</w:t>
      </w:r>
      <w:r w:rsidR="00806FF9">
        <w:rPr>
          <w:rFonts w:cstheme="minorHAnsi"/>
          <w:b/>
          <w:i/>
          <w:iCs/>
          <w:sz w:val="20"/>
          <w:szCs w:val="20"/>
        </w:rPr>
        <w:t xml:space="preserve"> </w:t>
      </w:r>
    </w:p>
    <w:p w14:paraId="3B643858" w14:textId="3E697078" w:rsidR="00806FF9" w:rsidRPr="00806FF9" w:rsidRDefault="00806FF9" w:rsidP="00806FF9">
      <w:pPr>
        <w:pStyle w:val="ListParagraph"/>
        <w:numPr>
          <w:ilvl w:val="0"/>
          <w:numId w:val="12"/>
        </w:numPr>
      </w:pPr>
      <w:r w:rsidRPr="00CE1F92">
        <w:rPr>
          <w:rFonts w:cstheme="minorHAnsi"/>
          <w:sz w:val="18"/>
          <w:szCs w:val="18"/>
        </w:rPr>
        <w:t>Pre-Tax National Income (Top 10%)</w:t>
      </w:r>
    </w:p>
    <w:p w14:paraId="6E0C868E" w14:textId="2152CF9E" w:rsidR="00806FF9" w:rsidRPr="00806FF9" w:rsidRDefault="00806FF9" w:rsidP="00806FF9">
      <w:pPr>
        <w:pStyle w:val="ListParagraph"/>
        <w:numPr>
          <w:ilvl w:val="0"/>
          <w:numId w:val="12"/>
        </w:numPr>
      </w:pPr>
      <w:r w:rsidRPr="00CE1F92">
        <w:rPr>
          <w:rFonts w:cstheme="minorHAnsi"/>
          <w:sz w:val="18"/>
          <w:szCs w:val="18"/>
        </w:rPr>
        <w:t>Confidence in National Government – Yes (15-24 yo)</w:t>
      </w:r>
    </w:p>
    <w:p w14:paraId="00F3A676" w14:textId="3A03DCC3" w:rsidR="00806FF9" w:rsidRPr="00806FF9" w:rsidRDefault="00806FF9" w:rsidP="00806FF9">
      <w:pPr>
        <w:pStyle w:val="ListParagraph"/>
        <w:numPr>
          <w:ilvl w:val="0"/>
          <w:numId w:val="12"/>
        </w:numPr>
      </w:pPr>
      <w:r w:rsidRPr="00CE1F92">
        <w:rPr>
          <w:rFonts w:cstheme="minorHAnsi"/>
          <w:sz w:val="18"/>
          <w:szCs w:val="18"/>
        </w:rPr>
        <w:t>Youth Not in School or Employment</w:t>
      </w:r>
    </w:p>
    <w:p w14:paraId="1B786917" w14:textId="0D0E7276" w:rsidR="00BD313C" w:rsidRPr="00A24267" w:rsidRDefault="00BD313C" w:rsidP="00977CA3">
      <w:pPr>
        <w:spacing w:after="0" w:line="240" w:lineRule="auto"/>
        <w:jc w:val="both"/>
        <w:rPr>
          <w:rFonts w:cstheme="minorHAnsi"/>
          <w:color w:val="FF0000"/>
          <w:sz w:val="20"/>
          <w:szCs w:val="20"/>
        </w:rPr>
      </w:pPr>
    </w:p>
    <w:p w14:paraId="2A951395" w14:textId="77777777" w:rsidR="0042381C" w:rsidRPr="00A24267" w:rsidRDefault="003A3F8A" w:rsidP="00977CA3">
      <w:pPr>
        <w:pStyle w:val="Heading3"/>
        <w:spacing w:before="0" w:line="240" w:lineRule="auto"/>
        <w:jc w:val="both"/>
        <w:rPr>
          <w:rFonts w:asciiTheme="minorHAnsi" w:hAnsiTheme="minorHAnsi" w:cstheme="minorHAnsi"/>
          <w:sz w:val="20"/>
          <w:szCs w:val="20"/>
        </w:rPr>
      </w:pPr>
      <w:bookmarkStart w:id="12" w:name="_Toc75438755"/>
      <w:r w:rsidRPr="00A24267">
        <w:rPr>
          <w:rFonts w:asciiTheme="minorHAnsi" w:hAnsiTheme="minorHAnsi" w:cstheme="minorHAnsi"/>
          <w:sz w:val="20"/>
          <w:szCs w:val="20"/>
        </w:rPr>
        <w:t>Youth</w:t>
      </w:r>
      <w:bookmarkEnd w:id="12"/>
    </w:p>
    <w:p w14:paraId="341CF4E6" w14:textId="0A5841E2" w:rsidR="0042381C" w:rsidRPr="00A24267" w:rsidRDefault="00651DEA" w:rsidP="00977CA3">
      <w:pPr>
        <w:spacing w:after="0" w:line="240" w:lineRule="auto"/>
        <w:jc w:val="both"/>
        <w:rPr>
          <w:rFonts w:cstheme="minorHAnsi"/>
          <w:sz w:val="20"/>
          <w:szCs w:val="20"/>
        </w:rPr>
      </w:pPr>
      <w:r w:rsidRPr="00A24267">
        <w:rPr>
          <w:rFonts w:cstheme="minorHAnsi"/>
          <w:sz w:val="20"/>
          <w:szCs w:val="20"/>
        </w:rPr>
        <w:t xml:space="preserve">The Youth concept aims to capture social challenges and fragilities </w:t>
      </w:r>
      <w:r w:rsidR="007164BC" w:rsidRPr="00A24267">
        <w:rPr>
          <w:rFonts w:cstheme="minorHAnsi"/>
          <w:sz w:val="20"/>
          <w:szCs w:val="20"/>
        </w:rPr>
        <w:t xml:space="preserve">strongly </w:t>
      </w:r>
      <w:r w:rsidRPr="00A24267">
        <w:rPr>
          <w:rFonts w:cstheme="minorHAnsi"/>
          <w:sz w:val="20"/>
          <w:szCs w:val="20"/>
        </w:rPr>
        <w:t xml:space="preserve">associated with </w:t>
      </w:r>
      <w:r w:rsidR="00923994" w:rsidRPr="00A24267">
        <w:rPr>
          <w:rFonts w:cstheme="minorHAnsi"/>
          <w:sz w:val="20"/>
          <w:szCs w:val="20"/>
        </w:rPr>
        <w:t>young people</w:t>
      </w:r>
      <w:r w:rsidRPr="00A24267">
        <w:rPr>
          <w:rFonts w:cstheme="minorHAnsi"/>
          <w:sz w:val="20"/>
          <w:szCs w:val="20"/>
        </w:rPr>
        <w:t>. It does this through the following indicators.</w:t>
      </w:r>
    </w:p>
    <w:p w14:paraId="033A56AB" w14:textId="77777777" w:rsidR="00942E01" w:rsidRPr="00A24267" w:rsidRDefault="00942E01" w:rsidP="00977CA3">
      <w:pPr>
        <w:spacing w:after="0" w:line="240" w:lineRule="auto"/>
        <w:jc w:val="both"/>
        <w:rPr>
          <w:rFonts w:cstheme="minorHAnsi"/>
          <w:i/>
          <w:iCs/>
          <w:sz w:val="20"/>
          <w:szCs w:val="20"/>
        </w:rPr>
      </w:pPr>
    </w:p>
    <w:p w14:paraId="30ABBDDD" w14:textId="77777777" w:rsidR="00942E01" w:rsidRPr="00091001" w:rsidRDefault="00942E01" w:rsidP="00977CA3">
      <w:pPr>
        <w:spacing w:after="0" w:line="240" w:lineRule="auto"/>
        <w:jc w:val="both"/>
        <w:rPr>
          <w:rFonts w:cstheme="minorHAnsi"/>
          <w:b/>
          <w:i/>
          <w:iCs/>
          <w:sz w:val="20"/>
          <w:szCs w:val="20"/>
        </w:rPr>
      </w:pPr>
      <w:r w:rsidRPr="00091001">
        <w:rPr>
          <w:rFonts w:cstheme="minorHAnsi"/>
          <w:b/>
          <w:i/>
          <w:iCs/>
          <w:sz w:val="20"/>
          <w:szCs w:val="20"/>
        </w:rPr>
        <w:t>Confidence in National Government</w:t>
      </w:r>
    </w:p>
    <w:p w14:paraId="6CB32BFF" w14:textId="6460F7AD" w:rsidR="00942E01" w:rsidRPr="00A24267" w:rsidRDefault="00392556" w:rsidP="00977CA3">
      <w:pPr>
        <w:spacing w:after="0" w:line="240" w:lineRule="auto"/>
        <w:jc w:val="both"/>
        <w:rPr>
          <w:rFonts w:cstheme="minorHAnsi"/>
          <w:sz w:val="20"/>
          <w:szCs w:val="20"/>
        </w:rPr>
      </w:pPr>
      <w:r w:rsidRPr="00A24267">
        <w:rPr>
          <w:rFonts w:cstheme="minorHAnsi"/>
          <w:sz w:val="20"/>
          <w:szCs w:val="20"/>
        </w:rPr>
        <w:t xml:space="preserve">Drawing on data from the Gallup World Poll, this indicator expresses the percentage of respondents that answered “yes” to the question “Do you have confidence in </w:t>
      </w:r>
      <w:r w:rsidR="007164BC" w:rsidRPr="00A24267">
        <w:rPr>
          <w:rFonts w:cstheme="minorHAnsi"/>
          <w:sz w:val="20"/>
          <w:szCs w:val="20"/>
        </w:rPr>
        <w:t xml:space="preserve">the </w:t>
      </w:r>
      <w:r w:rsidRPr="00A24267">
        <w:rPr>
          <w:rFonts w:cstheme="minorHAnsi"/>
          <w:sz w:val="20"/>
          <w:szCs w:val="20"/>
        </w:rPr>
        <w:t>national government?”</w:t>
      </w:r>
      <w:r w:rsidRPr="00A24267">
        <w:rPr>
          <w:rStyle w:val="FootnoteReference"/>
          <w:rFonts w:cstheme="minorHAnsi"/>
          <w:sz w:val="20"/>
          <w:szCs w:val="20"/>
        </w:rPr>
        <w:footnoteReference w:id="6"/>
      </w:r>
    </w:p>
    <w:p w14:paraId="690B87A5" w14:textId="77777777" w:rsidR="00392556" w:rsidRPr="00A24267" w:rsidRDefault="00392556" w:rsidP="00977CA3">
      <w:pPr>
        <w:spacing w:after="0" w:line="240" w:lineRule="auto"/>
        <w:jc w:val="both"/>
        <w:rPr>
          <w:rFonts w:cstheme="minorHAnsi"/>
          <w:i/>
          <w:iCs/>
          <w:sz w:val="20"/>
          <w:szCs w:val="20"/>
        </w:rPr>
      </w:pPr>
    </w:p>
    <w:p w14:paraId="580168E7" w14:textId="1FA911C5" w:rsidR="00BF26DA" w:rsidRPr="00091001" w:rsidRDefault="00BF26DA" w:rsidP="00977CA3">
      <w:pPr>
        <w:spacing w:after="0" w:line="240" w:lineRule="auto"/>
        <w:jc w:val="both"/>
        <w:rPr>
          <w:rFonts w:cstheme="minorHAnsi"/>
          <w:b/>
          <w:i/>
          <w:iCs/>
          <w:sz w:val="20"/>
          <w:szCs w:val="20"/>
        </w:rPr>
      </w:pPr>
      <w:r w:rsidRPr="00091001">
        <w:rPr>
          <w:rFonts w:cstheme="minorHAnsi"/>
          <w:b/>
          <w:i/>
          <w:iCs/>
          <w:sz w:val="20"/>
          <w:szCs w:val="20"/>
        </w:rPr>
        <w:t xml:space="preserve">Youth </w:t>
      </w:r>
      <w:r w:rsidR="007941FB">
        <w:rPr>
          <w:rFonts w:cstheme="minorHAnsi"/>
          <w:b/>
          <w:i/>
          <w:iCs/>
          <w:sz w:val="20"/>
          <w:szCs w:val="20"/>
        </w:rPr>
        <w:t>N</w:t>
      </w:r>
      <w:r w:rsidRPr="00091001">
        <w:rPr>
          <w:rFonts w:cstheme="minorHAnsi"/>
          <w:b/>
          <w:i/>
          <w:iCs/>
          <w:sz w:val="20"/>
          <w:szCs w:val="20"/>
        </w:rPr>
        <w:t xml:space="preserve">ot in </w:t>
      </w:r>
      <w:r w:rsidR="007941FB">
        <w:rPr>
          <w:rFonts w:cstheme="minorHAnsi"/>
          <w:b/>
          <w:i/>
          <w:iCs/>
          <w:sz w:val="20"/>
          <w:szCs w:val="20"/>
        </w:rPr>
        <w:t>S</w:t>
      </w:r>
      <w:r w:rsidRPr="00091001">
        <w:rPr>
          <w:rFonts w:cstheme="minorHAnsi"/>
          <w:b/>
          <w:i/>
          <w:iCs/>
          <w:sz w:val="20"/>
          <w:szCs w:val="20"/>
        </w:rPr>
        <w:t xml:space="preserve">chool or </w:t>
      </w:r>
      <w:r w:rsidR="007941FB">
        <w:rPr>
          <w:rFonts w:cstheme="minorHAnsi"/>
          <w:b/>
          <w:i/>
          <w:iCs/>
          <w:sz w:val="20"/>
          <w:szCs w:val="20"/>
        </w:rPr>
        <w:t>E</w:t>
      </w:r>
      <w:r w:rsidRPr="00091001">
        <w:rPr>
          <w:rFonts w:cstheme="minorHAnsi"/>
          <w:b/>
          <w:i/>
          <w:iCs/>
          <w:sz w:val="20"/>
          <w:szCs w:val="20"/>
        </w:rPr>
        <w:t>mployment</w:t>
      </w:r>
    </w:p>
    <w:p w14:paraId="36E74B40" w14:textId="437A8EAA" w:rsidR="00BF26DA" w:rsidRPr="00A24267" w:rsidRDefault="00590F31" w:rsidP="00977CA3">
      <w:pPr>
        <w:spacing w:after="0" w:line="240" w:lineRule="auto"/>
        <w:jc w:val="both"/>
        <w:rPr>
          <w:rFonts w:cstheme="minorHAnsi"/>
          <w:sz w:val="20"/>
          <w:szCs w:val="20"/>
        </w:rPr>
      </w:pPr>
      <w:r w:rsidRPr="00A24267">
        <w:rPr>
          <w:rFonts w:cstheme="minorHAnsi"/>
          <w:sz w:val="20"/>
          <w:szCs w:val="20"/>
        </w:rPr>
        <w:t xml:space="preserve">This </w:t>
      </w:r>
      <w:r w:rsidR="009E341D" w:rsidRPr="00A24267">
        <w:rPr>
          <w:rFonts w:cstheme="minorHAnsi"/>
          <w:sz w:val="20"/>
          <w:szCs w:val="20"/>
        </w:rPr>
        <w:t>indicator</w:t>
      </w:r>
      <w:r w:rsidRPr="00A24267">
        <w:rPr>
          <w:rFonts w:cstheme="minorHAnsi"/>
          <w:sz w:val="20"/>
          <w:szCs w:val="20"/>
        </w:rPr>
        <w:t xml:space="preserve"> </w:t>
      </w:r>
      <w:r w:rsidR="009E341D" w:rsidRPr="00A24267">
        <w:rPr>
          <w:rFonts w:cstheme="minorHAnsi"/>
          <w:sz w:val="20"/>
          <w:szCs w:val="20"/>
        </w:rPr>
        <w:t>measures</w:t>
      </w:r>
      <w:r w:rsidRPr="00A24267">
        <w:rPr>
          <w:rFonts w:cstheme="minorHAnsi"/>
          <w:sz w:val="20"/>
          <w:szCs w:val="20"/>
        </w:rPr>
        <w:t xml:space="preserve"> the percentage</w:t>
      </w:r>
      <w:r w:rsidR="00BF26DA" w:rsidRPr="00A24267">
        <w:rPr>
          <w:rFonts w:cstheme="minorHAnsi"/>
          <w:sz w:val="20"/>
          <w:szCs w:val="20"/>
        </w:rPr>
        <w:t xml:space="preserve"> of young people </w:t>
      </w:r>
      <w:r w:rsidR="007941FB">
        <w:rPr>
          <w:rFonts w:cstheme="minorHAnsi"/>
          <w:sz w:val="20"/>
          <w:szCs w:val="20"/>
        </w:rPr>
        <w:t>(by most definitions between the ages of</w:t>
      </w:r>
      <w:r w:rsidR="00BF26DA" w:rsidRPr="00A24267">
        <w:rPr>
          <w:rFonts w:cstheme="minorHAnsi"/>
          <w:sz w:val="20"/>
          <w:szCs w:val="20"/>
        </w:rPr>
        <w:t xml:space="preserve"> 15</w:t>
      </w:r>
      <w:r w:rsidR="007941FB">
        <w:rPr>
          <w:rFonts w:cstheme="minorHAnsi"/>
          <w:sz w:val="20"/>
          <w:szCs w:val="20"/>
        </w:rPr>
        <w:t xml:space="preserve"> and </w:t>
      </w:r>
      <w:r w:rsidR="00BF26DA" w:rsidRPr="00A24267">
        <w:rPr>
          <w:rFonts w:cstheme="minorHAnsi"/>
          <w:sz w:val="20"/>
          <w:szCs w:val="20"/>
        </w:rPr>
        <w:t>24</w:t>
      </w:r>
      <w:r w:rsidR="007941FB">
        <w:rPr>
          <w:rFonts w:cstheme="minorHAnsi"/>
          <w:sz w:val="20"/>
          <w:szCs w:val="20"/>
        </w:rPr>
        <w:t>)</w:t>
      </w:r>
      <w:r w:rsidR="00BF26DA" w:rsidRPr="00A24267">
        <w:rPr>
          <w:rFonts w:cstheme="minorHAnsi"/>
          <w:sz w:val="20"/>
          <w:szCs w:val="20"/>
        </w:rPr>
        <w:t xml:space="preserve"> who are not integrated into any form of employment, education or training.</w:t>
      </w:r>
      <w:r w:rsidR="00BF26DA" w:rsidRPr="00A24267">
        <w:rPr>
          <w:rStyle w:val="FootnoteReference"/>
          <w:rFonts w:cstheme="minorHAnsi"/>
          <w:sz w:val="20"/>
          <w:szCs w:val="20"/>
        </w:rPr>
        <w:footnoteReference w:id="7"/>
      </w:r>
    </w:p>
    <w:p w14:paraId="530EA80A" w14:textId="77777777" w:rsidR="00EE5A70" w:rsidRPr="00852641" w:rsidRDefault="00EE5A70" w:rsidP="00977CA3">
      <w:pPr>
        <w:spacing w:after="0" w:line="240" w:lineRule="auto"/>
        <w:jc w:val="both"/>
        <w:rPr>
          <w:rFonts w:cstheme="minorHAnsi"/>
        </w:rPr>
      </w:pPr>
    </w:p>
    <w:p w14:paraId="1894A3F0" w14:textId="77777777" w:rsidR="00BF26DA" w:rsidRPr="00852641" w:rsidRDefault="00BF26DA" w:rsidP="00977CA3">
      <w:pPr>
        <w:spacing w:after="0" w:line="240" w:lineRule="auto"/>
        <w:jc w:val="both"/>
        <w:rPr>
          <w:rFonts w:cstheme="minorHAnsi"/>
        </w:rPr>
      </w:pPr>
    </w:p>
    <w:p w14:paraId="55EBF71E" w14:textId="77777777" w:rsidR="0042381C" w:rsidRPr="00091001" w:rsidRDefault="003A3F8A" w:rsidP="00977CA3">
      <w:pPr>
        <w:pStyle w:val="Heading3"/>
        <w:spacing w:before="0" w:line="240" w:lineRule="auto"/>
        <w:jc w:val="both"/>
        <w:rPr>
          <w:rFonts w:asciiTheme="minorHAnsi" w:hAnsiTheme="minorHAnsi" w:cstheme="minorHAnsi"/>
          <w:sz w:val="20"/>
        </w:rPr>
      </w:pPr>
      <w:bookmarkStart w:id="13" w:name="_Toc75438756"/>
      <w:r w:rsidRPr="00091001">
        <w:rPr>
          <w:rFonts w:asciiTheme="minorHAnsi" w:hAnsiTheme="minorHAnsi" w:cstheme="minorHAnsi"/>
          <w:sz w:val="20"/>
        </w:rPr>
        <w:t>Crisis Recovery</w:t>
      </w:r>
      <w:bookmarkEnd w:id="13"/>
    </w:p>
    <w:p w14:paraId="58741263" w14:textId="3A43D309" w:rsidR="0042381C" w:rsidRPr="00A24267" w:rsidRDefault="00923994" w:rsidP="00977CA3">
      <w:pPr>
        <w:spacing w:after="0" w:line="240" w:lineRule="auto"/>
        <w:jc w:val="both"/>
        <w:rPr>
          <w:rFonts w:cstheme="minorHAnsi"/>
          <w:sz w:val="20"/>
          <w:szCs w:val="20"/>
        </w:rPr>
      </w:pPr>
      <w:r w:rsidRPr="00A24267">
        <w:rPr>
          <w:rFonts w:cstheme="minorHAnsi"/>
          <w:sz w:val="20"/>
          <w:szCs w:val="20"/>
        </w:rPr>
        <w:t xml:space="preserve">The Crisis Recovery concept aims to </w:t>
      </w:r>
      <w:r w:rsidR="006F24CB" w:rsidRPr="00A24267">
        <w:rPr>
          <w:rFonts w:cstheme="minorHAnsi"/>
          <w:sz w:val="20"/>
          <w:szCs w:val="20"/>
        </w:rPr>
        <w:t xml:space="preserve">capture </w:t>
      </w:r>
      <w:r w:rsidR="00392556" w:rsidRPr="00A24267">
        <w:rPr>
          <w:rFonts w:cstheme="minorHAnsi"/>
          <w:sz w:val="20"/>
          <w:szCs w:val="20"/>
        </w:rPr>
        <w:t xml:space="preserve">the capacity of a society </w:t>
      </w:r>
      <w:r w:rsidR="006F24CB" w:rsidRPr="00A24267">
        <w:rPr>
          <w:rFonts w:cstheme="minorHAnsi"/>
          <w:sz w:val="20"/>
          <w:szCs w:val="20"/>
        </w:rPr>
        <w:t>to recover from crises of different kinds</w:t>
      </w:r>
      <w:r w:rsidR="00487263" w:rsidRPr="00A24267">
        <w:rPr>
          <w:rFonts w:cstheme="minorHAnsi"/>
          <w:sz w:val="20"/>
          <w:szCs w:val="20"/>
        </w:rPr>
        <w:t xml:space="preserve">. It does </w:t>
      </w:r>
      <w:r w:rsidRPr="00A24267">
        <w:rPr>
          <w:rFonts w:cstheme="minorHAnsi"/>
          <w:sz w:val="20"/>
          <w:szCs w:val="20"/>
        </w:rPr>
        <w:t>this through the following indicator.</w:t>
      </w:r>
    </w:p>
    <w:p w14:paraId="6582ABB8" w14:textId="2F17B453" w:rsidR="00942E01" w:rsidRPr="00A24267" w:rsidRDefault="00942E01" w:rsidP="00977CA3">
      <w:pPr>
        <w:spacing w:after="0" w:line="240" w:lineRule="auto"/>
        <w:jc w:val="both"/>
        <w:rPr>
          <w:rFonts w:cstheme="minorHAnsi"/>
          <w:sz w:val="20"/>
          <w:szCs w:val="20"/>
        </w:rPr>
      </w:pPr>
    </w:p>
    <w:p w14:paraId="3B6D9F88" w14:textId="3836792E" w:rsidR="00942E01" w:rsidRPr="00091001" w:rsidRDefault="006A0DBC" w:rsidP="00977CA3">
      <w:pPr>
        <w:spacing w:after="0" w:line="240" w:lineRule="auto"/>
        <w:jc w:val="both"/>
        <w:rPr>
          <w:rFonts w:cstheme="minorHAnsi"/>
          <w:b/>
          <w:i/>
          <w:iCs/>
          <w:sz w:val="20"/>
          <w:szCs w:val="20"/>
        </w:rPr>
      </w:pPr>
      <w:r w:rsidRPr="00091001">
        <w:rPr>
          <w:rFonts w:cstheme="minorHAnsi"/>
          <w:b/>
          <w:i/>
          <w:iCs/>
          <w:sz w:val="20"/>
          <w:szCs w:val="20"/>
        </w:rPr>
        <w:t>Lack of Coping Capacity</w:t>
      </w:r>
    </w:p>
    <w:p w14:paraId="08467E5A" w14:textId="04D869DD" w:rsidR="00942E01" w:rsidRPr="00A24267" w:rsidRDefault="006A0DBC" w:rsidP="00977CA3">
      <w:pPr>
        <w:spacing w:after="0" w:line="240" w:lineRule="auto"/>
        <w:jc w:val="both"/>
        <w:rPr>
          <w:rFonts w:cstheme="minorHAnsi"/>
          <w:sz w:val="20"/>
          <w:szCs w:val="20"/>
        </w:rPr>
      </w:pPr>
      <w:r w:rsidRPr="00A24267">
        <w:rPr>
          <w:rFonts w:cstheme="minorHAnsi"/>
          <w:sz w:val="20"/>
          <w:szCs w:val="20"/>
        </w:rPr>
        <w:t xml:space="preserve">Taken from the INFORM Risk Index produced by the European Commission, this indicator expresses the capacity </w:t>
      </w:r>
      <w:r w:rsidR="00942E01" w:rsidRPr="00A24267">
        <w:rPr>
          <w:rFonts w:cstheme="minorHAnsi"/>
          <w:sz w:val="20"/>
          <w:szCs w:val="20"/>
        </w:rPr>
        <w:t>of a country to cope with disasters in terms of formal, organized activities and the effort of the country’s government as well as the existing infrastructure which contribute to the reduction of disaster risk.</w:t>
      </w:r>
      <w:r w:rsidR="00942E01" w:rsidRPr="00A24267">
        <w:rPr>
          <w:rStyle w:val="FootnoteReference"/>
          <w:rFonts w:cstheme="minorHAnsi"/>
          <w:sz w:val="20"/>
          <w:szCs w:val="20"/>
        </w:rPr>
        <w:footnoteReference w:id="8"/>
      </w:r>
    </w:p>
    <w:p w14:paraId="7176EC3B" w14:textId="77777777" w:rsidR="00EE5A70" w:rsidRPr="00A24267" w:rsidRDefault="00EE5A70" w:rsidP="00977CA3">
      <w:pPr>
        <w:spacing w:after="0" w:line="240" w:lineRule="auto"/>
        <w:jc w:val="both"/>
        <w:rPr>
          <w:rFonts w:cstheme="minorHAnsi"/>
          <w:sz w:val="20"/>
          <w:szCs w:val="20"/>
        </w:rPr>
      </w:pPr>
    </w:p>
    <w:p w14:paraId="77F24DA8" w14:textId="77777777" w:rsidR="0042381C" w:rsidRPr="00A24267" w:rsidRDefault="003A3F8A" w:rsidP="00977CA3">
      <w:pPr>
        <w:pStyle w:val="Heading3"/>
        <w:spacing w:before="0" w:line="240" w:lineRule="auto"/>
        <w:jc w:val="both"/>
        <w:rPr>
          <w:rFonts w:asciiTheme="minorHAnsi" w:hAnsiTheme="minorHAnsi" w:cstheme="minorHAnsi"/>
          <w:sz w:val="20"/>
          <w:szCs w:val="20"/>
        </w:rPr>
      </w:pPr>
      <w:bookmarkStart w:id="14" w:name="_Toc75438757"/>
      <w:r w:rsidRPr="00A24267">
        <w:rPr>
          <w:rFonts w:asciiTheme="minorHAnsi" w:hAnsiTheme="minorHAnsi" w:cstheme="minorHAnsi"/>
          <w:sz w:val="20"/>
          <w:szCs w:val="20"/>
        </w:rPr>
        <w:lastRenderedPageBreak/>
        <w:t>Violence</w:t>
      </w:r>
      <w:bookmarkEnd w:id="14"/>
    </w:p>
    <w:p w14:paraId="22C851EF" w14:textId="20A2C5A5" w:rsidR="00EE5A70" w:rsidRPr="00A24267" w:rsidRDefault="00EE5A70" w:rsidP="00977CA3">
      <w:pPr>
        <w:spacing w:after="0" w:line="240" w:lineRule="auto"/>
        <w:jc w:val="both"/>
        <w:rPr>
          <w:rFonts w:cstheme="minorHAnsi"/>
          <w:sz w:val="20"/>
          <w:szCs w:val="20"/>
        </w:rPr>
      </w:pPr>
      <w:r w:rsidRPr="00A24267">
        <w:rPr>
          <w:rFonts w:cstheme="minorHAnsi"/>
          <w:sz w:val="20"/>
          <w:szCs w:val="20"/>
        </w:rPr>
        <w:t xml:space="preserve">The Violence concept aims to </w:t>
      </w:r>
      <w:r w:rsidR="00487263" w:rsidRPr="00A24267">
        <w:rPr>
          <w:rFonts w:cstheme="minorHAnsi"/>
          <w:sz w:val="20"/>
          <w:szCs w:val="20"/>
        </w:rPr>
        <w:t xml:space="preserve">capture </w:t>
      </w:r>
      <w:r w:rsidR="006F24CB" w:rsidRPr="00A24267">
        <w:rPr>
          <w:rFonts w:cstheme="minorHAnsi"/>
          <w:sz w:val="20"/>
          <w:szCs w:val="20"/>
        </w:rPr>
        <w:t xml:space="preserve">the prevalence of </w:t>
      </w:r>
      <w:r w:rsidR="003E4A21" w:rsidRPr="00A24267">
        <w:rPr>
          <w:rFonts w:cstheme="minorHAnsi"/>
          <w:sz w:val="20"/>
          <w:szCs w:val="20"/>
        </w:rPr>
        <w:t xml:space="preserve">violence </w:t>
      </w:r>
      <w:r w:rsidR="00CA03BE" w:rsidRPr="00A24267">
        <w:rPr>
          <w:rFonts w:cstheme="minorHAnsi"/>
          <w:sz w:val="20"/>
          <w:szCs w:val="20"/>
        </w:rPr>
        <w:t>and</w:t>
      </w:r>
      <w:r w:rsidR="003E4A21" w:rsidRPr="00A24267">
        <w:rPr>
          <w:rFonts w:cstheme="minorHAnsi"/>
          <w:sz w:val="20"/>
          <w:szCs w:val="20"/>
        </w:rPr>
        <w:t xml:space="preserve"> the fear of violence within a society</w:t>
      </w:r>
      <w:r w:rsidR="00487263" w:rsidRPr="00A24267">
        <w:rPr>
          <w:rFonts w:cstheme="minorHAnsi"/>
          <w:sz w:val="20"/>
          <w:szCs w:val="20"/>
        </w:rPr>
        <w:t xml:space="preserve">. It does </w:t>
      </w:r>
      <w:r w:rsidRPr="00A24267">
        <w:rPr>
          <w:rFonts w:cstheme="minorHAnsi"/>
          <w:sz w:val="20"/>
          <w:szCs w:val="20"/>
        </w:rPr>
        <w:t>this through the following indicator.</w:t>
      </w:r>
    </w:p>
    <w:p w14:paraId="01636374" w14:textId="7E49DE06" w:rsidR="00EE5A70" w:rsidRDefault="00EE5A70" w:rsidP="00977CA3">
      <w:pPr>
        <w:spacing w:after="0" w:line="240" w:lineRule="auto"/>
        <w:jc w:val="both"/>
        <w:rPr>
          <w:rFonts w:cstheme="minorHAnsi"/>
          <w:sz w:val="20"/>
          <w:szCs w:val="20"/>
        </w:rPr>
      </w:pPr>
    </w:p>
    <w:p w14:paraId="7DF59D9D" w14:textId="32966B5C" w:rsidR="00942E01" w:rsidRPr="00091001" w:rsidRDefault="00CA03BE" w:rsidP="00977CA3">
      <w:pPr>
        <w:spacing w:after="0" w:line="240" w:lineRule="auto"/>
        <w:jc w:val="both"/>
        <w:rPr>
          <w:rFonts w:cstheme="minorHAnsi"/>
          <w:b/>
          <w:i/>
          <w:iCs/>
          <w:sz w:val="20"/>
          <w:szCs w:val="20"/>
        </w:rPr>
      </w:pPr>
      <w:r w:rsidRPr="00091001">
        <w:rPr>
          <w:rFonts w:cstheme="minorHAnsi"/>
          <w:b/>
          <w:i/>
          <w:iCs/>
          <w:sz w:val="20"/>
          <w:szCs w:val="20"/>
        </w:rPr>
        <w:t>Safety and Security</w:t>
      </w:r>
    </w:p>
    <w:p w14:paraId="3EEA3F91" w14:textId="6F002FDE" w:rsidR="00942E01" w:rsidRDefault="003E4A21" w:rsidP="00977CA3">
      <w:pPr>
        <w:spacing w:after="0" w:line="240" w:lineRule="auto"/>
        <w:jc w:val="both"/>
        <w:rPr>
          <w:rFonts w:cstheme="minorHAnsi"/>
          <w:sz w:val="20"/>
          <w:szCs w:val="20"/>
        </w:rPr>
      </w:pPr>
      <w:r w:rsidRPr="00A24267">
        <w:rPr>
          <w:rFonts w:cstheme="minorHAnsi"/>
          <w:sz w:val="20"/>
          <w:szCs w:val="20"/>
        </w:rPr>
        <w:t xml:space="preserve">Taken from the Global Peace Index of the Institute for Economics and Peace, this indicator expresses levels of safety </w:t>
      </w:r>
      <w:r w:rsidR="006A0DBC" w:rsidRPr="00A24267">
        <w:rPr>
          <w:rFonts w:cstheme="minorHAnsi"/>
          <w:sz w:val="20"/>
          <w:szCs w:val="20"/>
        </w:rPr>
        <w:t xml:space="preserve">and security </w:t>
      </w:r>
      <w:r w:rsidRPr="00A24267">
        <w:rPr>
          <w:rFonts w:cstheme="minorHAnsi"/>
          <w:sz w:val="20"/>
          <w:szCs w:val="20"/>
        </w:rPr>
        <w:t xml:space="preserve">within a society. A composite of ten metrics, it includes rates of homicide, violent crime and incarceration, as well as qualitative measures such as levels of perceived criminality and </w:t>
      </w:r>
      <w:r w:rsidR="00CA03BE" w:rsidRPr="00A24267">
        <w:rPr>
          <w:rFonts w:cstheme="minorHAnsi"/>
          <w:sz w:val="20"/>
          <w:szCs w:val="20"/>
        </w:rPr>
        <w:t>political instability.</w:t>
      </w:r>
      <w:r w:rsidR="00CA03BE" w:rsidRPr="00A24267">
        <w:rPr>
          <w:rStyle w:val="FootnoteReference"/>
          <w:rFonts w:cstheme="minorHAnsi"/>
          <w:sz w:val="20"/>
          <w:szCs w:val="20"/>
        </w:rPr>
        <w:footnoteReference w:id="9"/>
      </w:r>
    </w:p>
    <w:p w14:paraId="7539378E" w14:textId="77777777" w:rsidR="007941FB" w:rsidRPr="00A24267" w:rsidRDefault="007941FB" w:rsidP="00977CA3">
      <w:pPr>
        <w:spacing w:after="0" w:line="240" w:lineRule="auto"/>
        <w:jc w:val="both"/>
        <w:rPr>
          <w:rFonts w:cstheme="minorHAnsi"/>
          <w:sz w:val="20"/>
          <w:szCs w:val="20"/>
        </w:rPr>
      </w:pPr>
    </w:p>
    <w:p w14:paraId="2546A2B8" w14:textId="77777777" w:rsidR="0042381C" w:rsidRPr="00A24267" w:rsidRDefault="003A3F8A" w:rsidP="00977CA3">
      <w:pPr>
        <w:pStyle w:val="Heading3"/>
        <w:spacing w:before="0" w:line="240" w:lineRule="auto"/>
        <w:jc w:val="both"/>
        <w:rPr>
          <w:rFonts w:asciiTheme="minorHAnsi" w:hAnsiTheme="minorHAnsi" w:cstheme="minorHAnsi"/>
          <w:sz w:val="20"/>
          <w:szCs w:val="20"/>
        </w:rPr>
      </w:pPr>
      <w:bookmarkStart w:id="15" w:name="_Toc75438758"/>
      <w:r w:rsidRPr="00A24267">
        <w:rPr>
          <w:rFonts w:asciiTheme="minorHAnsi" w:hAnsiTheme="minorHAnsi" w:cstheme="minorHAnsi"/>
          <w:sz w:val="20"/>
          <w:szCs w:val="20"/>
        </w:rPr>
        <w:t>Health</w:t>
      </w:r>
      <w:bookmarkEnd w:id="15"/>
    </w:p>
    <w:p w14:paraId="0BBD13D1" w14:textId="130ABDAF" w:rsidR="00923994" w:rsidRPr="00A24267" w:rsidRDefault="00923994" w:rsidP="00977CA3">
      <w:pPr>
        <w:spacing w:after="0" w:line="240" w:lineRule="auto"/>
        <w:jc w:val="both"/>
        <w:rPr>
          <w:rFonts w:cstheme="minorHAnsi"/>
          <w:sz w:val="20"/>
          <w:szCs w:val="20"/>
        </w:rPr>
      </w:pPr>
      <w:r w:rsidRPr="00A24267">
        <w:rPr>
          <w:rFonts w:cstheme="minorHAnsi"/>
          <w:sz w:val="20"/>
          <w:szCs w:val="20"/>
        </w:rPr>
        <w:t>The Health concept aims to capture</w:t>
      </w:r>
      <w:r w:rsidR="00CA03BE" w:rsidRPr="00A24267">
        <w:rPr>
          <w:rFonts w:cstheme="minorHAnsi"/>
          <w:sz w:val="20"/>
          <w:szCs w:val="20"/>
        </w:rPr>
        <w:t xml:space="preserve"> the health status and outcomes of different national communities</w:t>
      </w:r>
      <w:r w:rsidRPr="00A24267">
        <w:rPr>
          <w:rFonts w:cstheme="minorHAnsi"/>
          <w:sz w:val="20"/>
          <w:szCs w:val="20"/>
        </w:rPr>
        <w:t>. It does this through the following indicator</w:t>
      </w:r>
      <w:r w:rsidR="007941FB">
        <w:rPr>
          <w:rFonts w:cstheme="minorHAnsi"/>
          <w:sz w:val="20"/>
          <w:szCs w:val="20"/>
        </w:rPr>
        <w:t>s</w:t>
      </w:r>
      <w:r w:rsidRPr="00A24267">
        <w:rPr>
          <w:rFonts w:cstheme="minorHAnsi"/>
          <w:sz w:val="20"/>
          <w:szCs w:val="20"/>
        </w:rPr>
        <w:t>.</w:t>
      </w:r>
    </w:p>
    <w:p w14:paraId="2FB2AB4B" w14:textId="77777777" w:rsidR="00923994" w:rsidRPr="00A24267" w:rsidRDefault="00923994" w:rsidP="00977CA3">
      <w:pPr>
        <w:spacing w:after="0" w:line="240" w:lineRule="auto"/>
        <w:jc w:val="both"/>
        <w:rPr>
          <w:rFonts w:cstheme="minorHAnsi"/>
          <w:color w:val="FF0000"/>
          <w:sz w:val="20"/>
          <w:szCs w:val="20"/>
        </w:rPr>
      </w:pPr>
    </w:p>
    <w:p w14:paraId="61EA979C" w14:textId="6623ECB9" w:rsidR="00651DEA" w:rsidRPr="00091001" w:rsidRDefault="00651DEA" w:rsidP="00977CA3">
      <w:pPr>
        <w:spacing w:after="0" w:line="240" w:lineRule="auto"/>
        <w:jc w:val="both"/>
        <w:rPr>
          <w:rFonts w:cstheme="minorHAnsi"/>
          <w:b/>
          <w:i/>
          <w:iCs/>
          <w:sz w:val="20"/>
          <w:szCs w:val="20"/>
        </w:rPr>
      </w:pPr>
      <w:r w:rsidRPr="00091001">
        <w:rPr>
          <w:rFonts w:cstheme="minorHAnsi"/>
          <w:b/>
          <w:i/>
          <w:iCs/>
          <w:sz w:val="20"/>
          <w:szCs w:val="20"/>
        </w:rPr>
        <w:t>Infant Mortality Rates per 1000</w:t>
      </w:r>
    </w:p>
    <w:p w14:paraId="3EE69C37" w14:textId="44F6B7B1" w:rsidR="00651DEA" w:rsidRDefault="00FF5927" w:rsidP="00977CA3">
      <w:pPr>
        <w:spacing w:after="0" w:line="240" w:lineRule="auto"/>
        <w:jc w:val="both"/>
        <w:rPr>
          <w:rFonts w:cstheme="minorHAnsi"/>
          <w:sz w:val="20"/>
          <w:szCs w:val="20"/>
        </w:rPr>
      </w:pPr>
      <w:r w:rsidRPr="00A24267">
        <w:rPr>
          <w:rFonts w:cstheme="minorHAnsi"/>
          <w:sz w:val="20"/>
          <w:szCs w:val="20"/>
        </w:rPr>
        <w:t>Drawing on UNDP data, this indicator represents t</w:t>
      </w:r>
      <w:r w:rsidR="00651DEA" w:rsidRPr="00A24267">
        <w:rPr>
          <w:rFonts w:cstheme="minorHAnsi"/>
          <w:sz w:val="20"/>
          <w:szCs w:val="20"/>
        </w:rPr>
        <w:t xml:space="preserve">he probability </w:t>
      </w:r>
      <w:r w:rsidRPr="00A24267">
        <w:rPr>
          <w:rFonts w:cstheme="minorHAnsi"/>
          <w:sz w:val="20"/>
          <w:szCs w:val="20"/>
        </w:rPr>
        <w:t xml:space="preserve">in a country </w:t>
      </w:r>
      <w:r w:rsidR="00651DEA" w:rsidRPr="00A24267">
        <w:rPr>
          <w:rFonts w:cstheme="minorHAnsi"/>
          <w:sz w:val="20"/>
          <w:szCs w:val="20"/>
        </w:rPr>
        <w:t>of</w:t>
      </w:r>
      <w:r w:rsidRPr="00A24267">
        <w:rPr>
          <w:rFonts w:cstheme="minorHAnsi"/>
          <w:sz w:val="20"/>
          <w:szCs w:val="20"/>
        </w:rPr>
        <w:t xml:space="preserve"> a child</w:t>
      </w:r>
      <w:r w:rsidR="00651DEA" w:rsidRPr="00A24267">
        <w:rPr>
          <w:rFonts w:cstheme="minorHAnsi"/>
          <w:sz w:val="20"/>
          <w:szCs w:val="20"/>
        </w:rPr>
        <w:t xml:space="preserve"> dying</w:t>
      </w:r>
      <w:r w:rsidRPr="00A24267">
        <w:rPr>
          <w:rFonts w:cstheme="minorHAnsi"/>
          <w:sz w:val="20"/>
          <w:szCs w:val="20"/>
        </w:rPr>
        <w:t xml:space="preserve"> between birth and exactly age five</w:t>
      </w:r>
      <w:r w:rsidR="00651DEA" w:rsidRPr="00A24267">
        <w:rPr>
          <w:rFonts w:cstheme="minorHAnsi"/>
          <w:sz w:val="20"/>
          <w:szCs w:val="20"/>
        </w:rPr>
        <w:t>, expressed per 1,000 live births.</w:t>
      </w:r>
      <w:r w:rsidR="00651DEA" w:rsidRPr="00A24267">
        <w:rPr>
          <w:rStyle w:val="FootnoteReference"/>
          <w:rFonts w:cstheme="minorHAnsi"/>
          <w:sz w:val="20"/>
          <w:szCs w:val="20"/>
        </w:rPr>
        <w:footnoteReference w:id="10"/>
      </w:r>
    </w:p>
    <w:p w14:paraId="47F1DCF0" w14:textId="38058A4D" w:rsidR="00771088" w:rsidRDefault="00771088" w:rsidP="00977CA3">
      <w:pPr>
        <w:spacing w:after="0" w:line="240" w:lineRule="auto"/>
        <w:jc w:val="both"/>
        <w:rPr>
          <w:rFonts w:cstheme="minorHAnsi"/>
          <w:sz w:val="20"/>
          <w:szCs w:val="20"/>
        </w:rPr>
      </w:pPr>
    </w:p>
    <w:p w14:paraId="1BBBA550" w14:textId="23563420" w:rsidR="00771088" w:rsidRPr="00091001" w:rsidRDefault="00771088" w:rsidP="00771088">
      <w:pPr>
        <w:spacing w:after="0" w:line="240" w:lineRule="auto"/>
        <w:jc w:val="both"/>
        <w:rPr>
          <w:rFonts w:cstheme="minorHAnsi"/>
          <w:b/>
          <w:i/>
          <w:iCs/>
          <w:sz w:val="20"/>
          <w:szCs w:val="20"/>
        </w:rPr>
      </w:pPr>
      <w:r>
        <w:rPr>
          <w:rFonts w:cstheme="minorHAnsi"/>
          <w:b/>
          <w:i/>
          <w:iCs/>
          <w:sz w:val="20"/>
          <w:szCs w:val="20"/>
        </w:rPr>
        <w:t>Maternal</w:t>
      </w:r>
      <w:r w:rsidRPr="00091001">
        <w:rPr>
          <w:rFonts w:cstheme="minorHAnsi"/>
          <w:b/>
          <w:i/>
          <w:iCs/>
          <w:sz w:val="20"/>
          <w:szCs w:val="20"/>
        </w:rPr>
        <w:t xml:space="preserve"> Mortality </w:t>
      </w:r>
      <w:r w:rsidR="001411A6">
        <w:rPr>
          <w:rFonts w:cstheme="minorHAnsi"/>
          <w:b/>
          <w:i/>
          <w:iCs/>
          <w:sz w:val="20"/>
          <w:szCs w:val="20"/>
        </w:rPr>
        <w:t xml:space="preserve">Rates </w:t>
      </w:r>
      <w:r w:rsidRPr="00091001">
        <w:rPr>
          <w:rFonts w:cstheme="minorHAnsi"/>
          <w:b/>
          <w:i/>
          <w:iCs/>
          <w:sz w:val="20"/>
          <w:szCs w:val="20"/>
        </w:rPr>
        <w:t>per 1000</w:t>
      </w:r>
    </w:p>
    <w:p w14:paraId="47978AFB" w14:textId="12DDCF16" w:rsidR="00771088" w:rsidRDefault="00771088" w:rsidP="00977CA3">
      <w:pPr>
        <w:spacing w:after="0" w:line="240" w:lineRule="auto"/>
        <w:jc w:val="both"/>
        <w:rPr>
          <w:rFonts w:cstheme="minorHAnsi"/>
          <w:sz w:val="20"/>
          <w:szCs w:val="20"/>
        </w:rPr>
      </w:pPr>
      <w:r w:rsidRPr="00A24267">
        <w:rPr>
          <w:rFonts w:cstheme="minorHAnsi"/>
          <w:sz w:val="20"/>
          <w:szCs w:val="20"/>
        </w:rPr>
        <w:t>Drawing on d</w:t>
      </w:r>
      <w:r w:rsidR="001411A6">
        <w:rPr>
          <w:rFonts w:cstheme="minorHAnsi"/>
          <w:sz w:val="20"/>
          <w:szCs w:val="20"/>
        </w:rPr>
        <w:t>ata</w:t>
      </w:r>
      <w:r w:rsidR="00AD79B7">
        <w:rPr>
          <w:rFonts w:cstheme="minorHAnsi"/>
          <w:sz w:val="20"/>
          <w:szCs w:val="20"/>
        </w:rPr>
        <w:t xml:space="preserve"> collected UNDP for the Human Development Index</w:t>
      </w:r>
      <w:bookmarkStart w:id="16" w:name="_GoBack"/>
      <w:bookmarkEnd w:id="16"/>
      <w:r w:rsidR="001411A6">
        <w:rPr>
          <w:rFonts w:cstheme="minorHAnsi"/>
          <w:sz w:val="20"/>
          <w:szCs w:val="20"/>
        </w:rPr>
        <w:t>, this indicator consists of the rates by country of death due complications from pregnancy or childbirth</w:t>
      </w:r>
      <w:r w:rsidRPr="00A24267">
        <w:rPr>
          <w:rFonts w:cstheme="minorHAnsi"/>
          <w:sz w:val="20"/>
          <w:szCs w:val="20"/>
        </w:rPr>
        <w:t>, expressed per 1,000 live births.</w:t>
      </w:r>
    </w:p>
    <w:p w14:paraId="2692126A" w14:textId="77777777" w:rsidR="00771088" w:rsidRPr="00A24267" w:rsidRDefault="00771088" w:rsidP="00977CA3">
      <w:pPr>
        <w:spacing w:after="0" w:line="240" w:lineRule="auto"/>
        <w:jc w:val="both"/>
        <w:rPr>
          <w:rFonts w:cstheme="minorHAnsi"/>
          <w:sz w:val="20"/>
          <w:szCs w:val="20"/>
        </w:rPr>
      </w:pPr>
    </w:p>
    <w:p w14:paraId="5093CDAA" w14:textId="77777777" w:rsidR="0042381C" w:rsidRPr="00852641" w:rsidRDefault="003A3F8A" w:rsidP="00977CA3">
      <w:pPr>
        <w:pStyle w:val="Heading2"/>
        <w:spacing w:before="0" w:line="240" w:lineRule="auto"/>
        <w:jc w:val="both"/>
        <w:rPr>
          <w:rFonts w:asciiTheme="minorHAnsi" w:hAnsiTheme="minorHAnsi" w:cstheme="minorHAnsi"/>
        </w:rPr>
      </w:pPr>
      <w:bookmarkStart w:id="17" w:name="_Toc75438759"/>
      <w:r w:rsidRPr="00852641">
        <w:rPr>
          <w:rFonts w:asciiTheme="minorHAnsi" w:hAnsiTheme="minorHAnsi" w:cstheme="minorHAnsi"/>
        </w:rPr>
        <w:t>Planet Domain</w:t>
      </w:r>
      <w:bookmarkEnd w:id="17"/>
    </w:p>
    <w:p w14:paraId="5145C0D5" w14:textId="4A9BDF23" w:rsidR="0042381C" w:rsidRPr="00852641" w:rsidRDefault="0042381C" w:rsidP="00977CA3">
      <w:pPr>
        <w:spacing w:after="0" w:line="240" w:lineRule="auto"/>
        <w:jc w:val="both"/>
        <w:rPr>
          <w:rFonts w:eastAsiaTheme="majorEastAsia" w:cstheme="minorHAnsi"/>
          <w:sz w:val="20"/>
          <w:szCs w:val="20"/>
        </w:rPr>
      </w:pPr>
    </w:p>
    <w:p w14:paraId="2C43A5FD" w14:textId="1C4EE1E7" w:rsidR="00EE5A70" w:rsidRPr="00A24267" w:rsidRDefault="000427A4" w:rsidP="00977CA3">
      <w:pPr>
        <w:jc w:val="both"/>
        <w:rPr>
          <w:rFonts w:cstheme="minorHAnsi"/>
          <w:sz w:val="20"/>
          <w:szCs w:val="20"/>
        </w:rPr>
      </w:pPr>
      <w:r w:rsidRPr="00A24267">
        <w:rPr>
          <w:rFonts w:cstheme="minorHAnsi"/>
          <w:sz w:val="20"/>
          <w:szCs w:val="20"/>
        </w:rPr>
        <w:t xml:space="preserve">The Planet domain </w:t>
      </w:r>
      <w:r w:rsidR="00EE5A70" w:rsidRPr="00A24267">
        <w:rPr>
          <w:rFonts w:cstheme="minorHAnsi"/>
          <w:sz w:val="20"/>
          <w:szCs w:val="20"/>
        </w:rPr>
        <w:t>capture</w:t>
      </w:r>
      <w:r w:rsidRPr="00A24267">
        <w:rPr>
          <w:rFonts w:cstheme="minorHAnsi"/>
          <w:sz w:val="20"/>
          <w:szCs w:val="20"/>
        </w:rPr>
        <w:t>s</w:t>
      </w:r>
      <w:r w:rsidR="00EE5A70" w:rsidRPr="00A24267">
        <w:rPr>
          <w:rFonts w:cstheme="minorHAnsi"/>
          <w:sz w:val="20"/>
          <w:szCs w:val="20"/>
        </w:rPr>
        <w:t xml:space="preserve"> the following concepts:</w:t>
      </w:r>
    </w:p>
    <w:p w14:paraId="7A4BCC7A" w14:textId="4442A7B3" w:rsidR="00EE5A70" w:rsidRPr="00A24267" w:rsidRDefault="00BA6079" w:rsidP="00977CA3">
      <w:pPr>
        <w:numPr>
          <w:ilvl w:val="0"/>
          <w:numId w:val="4"/>
        </w:numPr>
        <w:jc w:val="both"/>
        <w:rPr>
          <w:rFonts w:cstheme="minorHAnsi"/>
          <w:sz w:val="20"/>
          <w:szCs w:val="20"/>
        </w:rPr>
      </w:pPr>
      <w:r w:rsidRPr="00A24267">
        <w:rPr>
          <w:rFonts w:cstheme="minorHAnsi"/>
          <w:sz w:val="20"/>
          <w:szCs w:val="20"/>
        </w:rPr>
        <w:t>Climate C</w:t>
      </w:r>
      <w:r w:rsidR="00EE5A70" w:rsidRPr="00A24267">
        <w:rPr>
          <w:rFonts w:cstheme="minorHAnsi"/>
          <w:sz w:val="20"/>
          <w:szCs w:val="20"/>
        </w:rPr>
        <w:t>hange</w:t>
      </w:r>
    </w:p>
    <w:p w14:paraId="48F06665" w14:textId="4543945A" w:rsidR="00EE5A70" w:rsidRPr="00A24267" w:rsidRDefault="00EE5A70" w:rsidP="00977CA3">
      <w:pPr>
        <w:numPr>
          <w:ilvl w:val="0"/>
          <w:numId w:val="4"/>
        </w:numPr>
        <w:jc w:val="both"/>
        <w:rPr>
          <w:rFonts w:cstheme="minorHAnsi"/>
          <w:sz w:val="20"/>
          <w:szCs w:val="20"/>
        </w:rPr>
      </w:pPr>
      <w:r w:rsidRPr="00A24267">
        <w:rPr>
          <w:rFonts w:cstheme="minorHAnsi"/>
          <w:sz w:val="20"/>
          <w:szCs w:val="20"/>
        </w:rPr>
        <w:t xml:space="preserve">Natural </w:t>
      </w:r>
      <w:r w:rsidR="00BA6079" w:rsidRPr="00A24267">
        <w:rPr>
          <w:rFonts w:cstheme="minorHAnsi"/>
          <w:sz w:val="20"/>
          <w:szCs w:val="20"/>
        </w:rPr>
        <w:t>H</w:t>
      </w:r>
      <w:r w:rsidRPr="00A24267">
        <w:rPr>
          <w:rFonts w:cstheme="minorHAnsi"/>
          <w:sz w:val="20"/>
          <w:szCs w:val="20"/>
        </w:rPr>
        <w:t>azards</w:t>
      </w:r>
    </w:p>
    <w:p w14:paraId="4995171E" w14:textId="37143378" w:rsidR="00EE5A70" w:rsidRPr="00A24267" w:rsidRDefault="00BA6079" w:rsidP="00977CA3">
      <w:pPr>
        <w:numPr>
          <w:ilvl w:val="0"/>
          <w:numId w:val="4"/>
        </w:numPr>
        <w:jc w:val="both"/>
        <w:rPr>
          <w:rFonts w:cstheme="minorHAnsi"/>
          <w:sz w:val="20"/>
          <w:szCs w:val="20"/>
        </w:rPr>
      </w:pPr>
      <w:r w:rsidRPr="00A24267">
        <w:rPr>
          <w:rFonts w:cstheme="minorHAnsi"/>
          <w:sz w:val="20"/>
          <w:szCs w:val="20"/>
        </w:rPr>
        <w:t>Natural Resource D</w:t>
      </w:r>
      <w:r w:rsidR="00EE5A70" w:rsidRPr="00A24267">
        <w:rPr>
          <w:rFonts w:cstheme="minorHAnsi"/>
          <w:sz w:val="20"/>
          <w:szCs w:val="20"/>
        </w:rPr>
        <w:t>egradation</w:t>
      </w:r>
    </w:p>
    <w:p w14:paraId="58CC2F69" w14:textId="59A7352D" w:rsidR="00EE5A70" w:rsidRPr="00852641" w:rsidRDefault="00EE5A70" w:rsidP="00977CA3">
      <w:pPr>
        <w:spacing w:after="0" w:line="240" w:lineRule="auto"/>
        <w:jc w:val="both"/>
        <w:rPr>
          <w:rFonts w:eastAsiaTheme="majorEastAsia" w:cstheme="minorHAnsi"/>
          <w:sz w:val="20"/>
          <w:szCs w:val="20"/>
        </w:rPr>
      </w:pPr>
    </w:p>
    <w:p w14:paraId="3F8CE5AC" w14:textId="23F8216B" w:rsidR="00BA6079" w:rsidRPr="00091001" w:rsidRDefault="00BA6079" w:rsidP="00977CA3">
      <w:pPr>
        <w:pStyle w:val="Heading3"/>
        <w:spacing w:before="0" w:line="240" w:lineRule="auto"/>
        <w:jc w:val="both"/>
        <w:rPr>
          <w:rFonts w:asciiTheme="minorHAnsi" w:hAnsiTheme="minorHAnsi" w:cstheme="minorHAnsi"/>
          <w:sz w:val="20"/>
        </w:rPr>
      </w:pPr>
      <w:bookmarkStart w:id="18" w:name="_Toc75438760"/>
      <w:r w:rsidRPr="00091001">
        <w:rPr>
          <w:rFonts w:asciiTheme="minorHAnsi" w:hAnsiTheme="minorHAnsi" w:cstheme="minorHAnsi"/>
          <w:sz w:val="20"/>
        </w:rPr>
        <w:t>Climate Change</w:t>
      </w:r>
      <w:bookmarkEnd w:id="18"/>
    </w:p>
    <w:p w14:paraId="3BA06075" w14:textId="532F57DC" w:rsidR="00BA6079" w:rsidRPr="00A24267" w:rsidRDefault="00BA6079" w:rsidP="00977CA3">
      <w:pPr>
        <w:spacing w:after="0" w:line="240" w:lineRule="auto"/>
        <w:jc w:val="both"/>
        <w:rPr>
          <w:rFonts w:cstheme="minorHAnsi"/>
          <w:sz w:val="20"/>
          <w:szCs w:val="20"/>
        </w:rPr>
      </w:pPr>
      <w:r w:rsidRPr="00A24267">
        <w:rPr>
          <w:rFonts w:cstheme="minorHAnsi"/>
          <w:sz w:val="20"/>
          <w:szCs w:val="20"/>
        </w:rPr>
        <w:t>The Climate Change concept aims to capture</w:t>
      </w:r>
      <w:r w:rsidR="00CA03BE" w:rsidRPr="00A24267">
        <w:rPr>
          <w:rFonts w:cstheme="minorHAnsi"/>
          <w:sz w:val="20"/>
          <w:szCs w:val="20"/>
        </w:rPr>
        <w:t xml:space="preserve"> the threats associated with changes in the climate</w:t>
      </w:r>
      <w:r w:rsidRPr="00A24267">
        <w:rPr>
          <w:rFonts w:cstheme="minorHAnsi"/>
          <w:sz w:val="20"/>
          <w:szCs w:val="20"/>
        </w:rPr>
        <w:t>. It does this through the following indicator.</w:t>
      </w:r>
    </w:p>
    <w:p w14:paraId="7EAFF668" w14:textId="2D9B4F71" w:rsidR="00BA6079" w:rsidRPr="00A24267" w:rsidRDefault="00BA6079" w:rsidP="00977CA3">
      <w:pPr>
        <w:spacing w:after="0" w:line="240" w:lineRule="auto"/>
        <w:jc w:val="both"/>
        <w:rPr>
          <w:rFonts w:eastAsiaTheme="majorEastAsia" w:cstheme="minorHAnsi"/>
          <w:sz w:val="20"/>
          <w:szCs w:val="20"/>
        </w:rPr>
      </w:pPr>
    </w:p>
    <w:p w14:paraId="54C066F5" w14:textId="31BA6EB8" w:rsidR="00BA6079" w:rsidRPr="00091001" w:rsidRDefault="00BA6079" w:rsidP="00977CA3">
      <w:pPr>
        <w:spacing w:after="0" w:line="240" w:lineRule="auto"/>
        <w:jc w:val="both"/>
        <w:rPr>
          <w:rFonts w:cstheme="minorHAnsi"/>
          <w:b/>
          <w:i/>
          <w:sz w:val="20"/>
          <w:szCs w:val="20"/>
        </w:rPr>
      </w:pPr>
      <w:r w:rsidRPr="00091001">
        <w:rPr>
          <w:rFonts w:cstheme="minorHAnsi"/>
          <w:b/>
          <w:i/>
          <w:sz w:val="20"/>
          <w:szCs w:val="20"/>
        </w:rPr>
        <w:t xml:space="preserve">Climate </w:t>
      </w:r>
      <w:r w:rsidR="00DC5554">
        <w:rPr>
          <w:rFonts w:cstheme="minorHAnsi"/>
          <w:b/>
          <w:i/>
          <w:sz w:val="20"/>
          <w:szCs w:val="20"/>
        </w:rPr>
        <w:t xml:space="preserve">Risk and </w:t>
      </w:r>
      <w:r w:rsidR="001411A6">
        <w:rPr>
          <w:rFonts w:cstheme="minorHAnsi"/>
          <w:b/>
          <w:i/>
          <w:sz w:val="20"/>
          <w:szCs w:val="20"/>
        </w:rPr>
        <w:t>Adaptation Capacity</w:t>
      </w:r>
    </w:p>
    <w:p w14:paraId="2B31B87A" w14:textId="58E7629D" w:rsidR="00BA6079" w:rsidRDefault="001411A6" w:rsidP="00977CA3">
      <w:pPr>
        <w:spacing w:after="0" w:line="240" w:lineRule="auto"/>
        <w:jc w:val="both"/>
        <w:rPr>
          <w:rFonts w:cstheme="minorHAnsi"/>
          <w:sz w:val="20"/>
          <w:szCs w:val="20"/>
        </w:rPr>
      </w:pPr>
      <w:r>
        <w:rPr>
          <w:rFonts w:cstheme="minorHAnsi"/>
          <w:sz w:val="20"/>
          <w:szCs w:val="20"/>
        </w:rPr>
        <w:t>Taken from the Notre Dame Global Adaptation Initiative’s Country Index, this indicator</w:t>
      </w:r>
      <w:r>
        <w:t xml:space="preserve"> </w:t>
      </w:r>
      <w:r w:rsidRPr="001411A6">
        <w:rPr>
          <w:rFonts w:cstheme="minorHAnsi"/>
          <w:sz w:val="20"/>
          <w:szCs w:val="20"/>
        </w:rPr>
        <w:t>summari</w:t>
      </w:r>
      <w:r>
        <w:rPr>
          <w:rFonts w:cstheme="minorHAnsi"/>
          <w:sz w:val="20"/>
          <w:szCs w:val="20"/>
        </w:rPr>
        <w:t>s</w:t>
      </w:r>
      <w:r w:rsidR="007941FB">
        <w:rPr>
          <w:rFonts w:cstheme="minorHAnsi"/>
          <w:sz w:val="20"/>
          <w:szCs w:val="20"/>
        </w:rPr>
        <w:t>es a countries’ vulnerabilities</w:t>
      </w:r>
      <w:r w:rsidRPr="001411A6">
        <w:rPr>
          <w:rFonts w:cstheme="minorHAnsi"/>
          <w:sz w:val="20"/>
          <w:szCs w:val="20"/>
        </w:rPr>
        <w:t xml:space="preserve"> to climate change and other global challenges in combination with </w:t>
      </w:r>
      <w:r w:rsidR="007941FB">
        <w:rPr>
          <w:rFonts w:cstheme="minorHAnsi"/>
          <w:sz w:val="20"/>
          <w:szCs w:val="20"/>
        </w:rPr>
        <w:t>their</w:t>
      </w:r>
      <w:r w:rsidRPr="001411A6">
        <w:rPr>
          <w:rFonts w:cstheme="minorHAnsi"/>
          <w:sz w:val="20"/>
          <w:szCs w:val="20"/>
        </w:rPr>
        <w:t xml:space="preserve"> readiness to improve resilience.</w:t>
      </w:r>
      <w:r w:rsidRPr="00A24267" w:rsidDel="001411A6">
        <w:rPr>
          <w:rFonts w:cstheme="minorHAnsi"/>
          <w:sz w:val="20"/>
          <w:szCs w:val="20"/>
        </w:rPr>
        <w:t xml:space="preserve"> </w:t>
      </w:r>
    </w:p>
    <w:p w14:paraId="3FBEFEB2" w14:textId="77777777" w:rsidR="00747B53" w:rsidRPr="00A24267" w:rsidRDefault="00747B53" w:rsidP="00977CA3">
      <w:pPr>
        <w:spacing w:after="0" w:line="240" w:lineRule="auto"/>
        <w:jc w:val="both"/>
        <w:rPr>
          <w:rFonts w:eastAsiaTheme="majorEastAsia" w:cstheme="minorHAnsi"/>
          <w:sz w:val="20"/>
          <w:szCs w:val="20"/>
        </w:rPr>
      </w:pPr>
    </w:p>
    <w:p w14:paraId="4602E812" w14:textId="77777777" w:rsidR="00747B53" w:rsidRPr="006E1098" w:rsidRDefault="00747B53" w:rsidP="00747B53">
      <w:pPr>
        <w:pStyle w:val="Heading3"/>
        <w:spacing w:before="0" w:line="240" w:lineRule="auto"/>
        <w:jc w:val="both"/>
        <w:rPr>
          <w:rFonts w:asciiTheme="minorHAnsi" w:hAnsiTheme="minorHAnsi" w:cstheme="minorHAnsi"/>
          <w:sz w:val="20"/>
          <w:szCs w:val="20"/>
        </w:rPr>
      </w:pPr>
      <w:bookmarkStart w:id="19" w:name="_Toc75438761"/>
      <w:r w:rsidRPr="006E1098">
        <w:rPr>
          <w:rFonts w:asciiTheme="minorHAnsi" w:hAnsiTheme="minorHAnsi" w:cstheme="minorHAnsi"/>
          <w:sz w:val="20"/>
          <w:szCs w:val="20"/>
        </w:rPr>
        <w:t>Considered Indicators</w:t>
      </w:r>
      <w:bookmarkEnd w:id="19"/>
    </w:p>
    <w:p w14:paraId="03074730" w14:textId="65634BF7" w:rsidR="00747B53" w:rsidRPr="00A24267" w:rsidRDefault="00747B53" w:rsidP="00747B53">
      <w:pPr>
        <w:spacing w:after="0" w:line="240" w:lineRule="auto"/>
        <w:jc w:val="both"/>
        <w:rPr>
          <w:rFonts w:cstheme="minorHAnsi"/>
          <w:sz w:val="20"/>
          <w:szCs w:val="20"/>
        </w:rPr>
      </w:pPr>
      <w:r>
        <w:rPr>
          <w:rFonts w:eastAsiaTheme="majorEastAsia" w:cstheme="minorHAnsi"/>
          <w:b/>
          <w:sz w:val="20"/>
          <w:szCs w:val="20"/>
        </w:rPr>
        <w:t>Germanwatch Climate Risk Index</w:t>
      </w:r>
      <w:r w:rsidRPr="00287EEF">
        <w:rPr>
          <w:rFonts w:eastAsiaTheme="majorEastAsia" w:cstheme="minorHAnsi"/>
          <w:b/>
          <w:sz w:val="20"/>
          <w:szCs w:val="20"/>
        </w:rPr>
        <w:t>:</w:t>
      </w:r>
      <w:r>
        <w:rPr>
          <w:rFonts w:eastAsiaTheme="majorEastAsia" w:cstheme="minorHAnsi"/>
          <w:sz w:val="20"/>
          <w:szCs w:val="20"/>
        </w:rPr>
        <w:t xml:space="preserve"> </w:t>
      </w:r>
      <w:r w:rsidRPr="00A24267">
        <w:rPr>
          <w:rFonts w:cstheme="minorHAnsi"/>
          <w:sz w:val="20"/>
          <w:szCs w:val="20"/>
        </w:rPr>
        <w:t>This indicator consists of Germanwatch’s Global Climate Risk Index, which measures the extent to which countries have been affected to extreme weather events. These measures should be understood by countries as warnings about their exposure and vulnerability in order to be prepared for more frequent and/or more severe events in the future.</w:t>
      </w:r>
      <w:r w:rsidRPr="00A24267">
        <w:rPr>
          <w:rStyle w:val="FootnoteReference"/>
          <w:rFonts w:cstheme="minorHAnsi"/>
          <w:sz w:val="20"/>
          <w:szCs w:val="20"/>
        </w:rPr>
        <w:footnoteReference w:id="11"/>
      </w:r>
      <w:r>
        <w:rPr>
          <w:rFonts w:cstheme="minorHAnsi"/>
          <w:sz w:val="20"/>
          <w:szCs w:val="20"/>
        </w:rPr>
        <w:t xml:space="preserve"> This was dropped on recommendation of UNDP in favour of the Notre Dame indicator.</w:t>
      </w:r>
    </w:p>
    <w:p w14:paraId="788DDD24" w14:textId="10861604" w:rsidR="00747B53" w:rsidRDefault="00747B53" w:rsidP="00747B53">
      <w:pPr>
        <w:spacing w:after="0" w:line="240" w:lineRule="auto"/>
        <w:jc w:val="both"/>
        <w:rPr>
          <w:rFonts w:eastAsiaTheme="majorEastAsia" w:cstheme="minorHAnsi"/>
          <w:sz w:val="20"/>
          <w:szCs w:val="20"/>
        </w:rPr>
      </w:pPr>
    </w:p>
    <w:p w14:paraId="33F57280" w14:textId="38D5C91E" w:rsidR="00BA6079" w:rsidRPr="00A24267" w:rsidRDefault="00BA6079" w:rsidP="00977CA3">
      <w:pPr>
        <w:pStyle w:val="Heading3"/>
        <w:spacing w:before="0" w:line="240" w:lineRule="auto"/>
        <w:jc w:val="both"/>
        <w:rPr>
          <w:rFonts w:asciiTheme="minorHAnsi" w:hAnsiTheme="minorHAnsi" w:cstheme="minorHAnsi"/>
          <w:sz w:val="20"/>
          <w:szCs w:val="20"/>
        </w:rPr>
      </w:pPr>
      <w:bookmarkStart w:id="20" w:name="_Toc75438762"/>
      <w:r w:rsidRPr="00A24267">
        <w:rPr>
          <w:rFonts w:asciiTheme="minorHAnsi" w:hAnsiTheme="minorHAnsi" w:cstheme="minorHAnsi"/>
          <w:sz w:val="20"/>
          <w:szCs w:val="20"/>
        </w:rPr>
        <w:t>Natural Hazards</w:t>
      </w:r>
      <w:bookmarkEnd w:id="20"/>
    </w:p>
    <w:p w14:paraId="6F24F492" w14:textId="093E7685" w:rsidR="00BA6079" w:rsidRPr="00A24267" w:rsidRDefault="00BA6079" w:rsidP="00977CA3">
      <w:pPr>
        <w:spacing w:after="0" w:line="240" w:lineRule="auto"/>
        <w:jc w:val="both"/>
        <w:rPr>
          <w:rFonts w:cstheme="minorHAnsi"/>
          <w:sz w:val="20"/>
          <w:szCs w:val="20"/>
        </w:rPr>
      </w:pPr>
      <w:r w:rsidRPr="00A24267">
        <w:rPr>
          <w:rFonts w:cstheme="minorHAnsi"/>
          <w:sz w:val="20"/>
          <w:szCs w:val="20"/>
        </w:rPr>
        <w:t>The Natural Hazards concept aims to capture</w:t>
      </w:r>
      <w:r w:rsidR="00684C58" w:rsidRPr="00A24267">
        <w:rPr>
          <w:rFonts w:cstheme="minorHAnsi"/>
          <w:sz w:val="20"/>
          <w:szCs w:val="20"/>
        </w:rPr>
        <w:t xml:space="preserve"> the risk of hazard events affecting a society</w:t>
      </w:r>
      <w:r w:rsidRPr="00A24267">
        <w:rPr>
          <w:rFonts w:cstheme="minorHAnsi"/>
          <w:sz w:val="20"/>
          <w:szCs w:val="20"/>
        </w:rPr>
        <w:t>. It does this through the following indicator.</w:t>
      </w:r>
    </w:p>
    <w:p w14:paraId="34DD96F8" w14:textId="4A61D187" w:rsidR="00BA6079" w:rsidRPr="00A24267" w:rsidRDefault="00BA6079" w:rsidP="00977CA3">
      <w:pPr>
        <w:spacing w:after="0" w:line="240" w:lineRule="auto"/>
        <w:jc w:val="both"/>
        <w:rPr>
          <w:rFonts w:eastAsiaTheme="majorEastAsia" w:cstheme="minorHAnsi"/>
          <w:sz w:val="20"/>
          <w:szCs w:val="20"/>
        </w:rPr>
      </w:pPr>
    </w:p>
    <w:p w14:paraId="25B00A6D" w14:textId="7EF8B29D" w:rsidR="00BA6079" w:rsidRPr="00091001" w:rsidRDefault="00CA03BE" w:rsidP="00977CA3">
      <w:pPr>
        <w:spacing w:after="0" w:line="240" w:lineRule="auto"/>
        <w:jc w:val="both"/>
        <w:rPr>
          <w:rFonts w:cstheme="minorHAnsi"/>
          <w:b/>
          <w:i/>
          <w:sz w:val="20"/>
          <w:szCs w:val="20"/>
        </w:rPr>
      </w:pPr>
      <w:r w:rsidRPr="00091001">
        <w:rPr>
          <w:rFonts w:cstheme="minorHAnsi"/>
          <w:b/>
          <w:i/>
          <w:sz w:val="20"/>
          <w:szCs w:val="20"/>
        </w:rPr>
        <w:lastRenderedPageBreak/>
        <w:t>Hazard and Exposure</w:t>
      </w:r>
    </w:p>
    <w:p w14:paraId="4B6308DB" w14:textId="45DC6362" w:rsidR="00BA6079" w:rsidRPr="00A24267" w:rsidRDefault="00CA03BE" w:rsidP="00977CA3">
      <w:pPr>
        <w:spacing w:after="0" w:line="240" w:lineRule="auto"/>
        <w:jc w:val="both"/>
        <w:rPr>
          <w:rFonts w:cstheme="minorHAnsi"/>
          <w:sz w:val="20"/>
          <w:szCs w:val="20"/>
        </w:rPr>
      </w:pPr>
      <w:r w:rsidRPr="00A24267">
        <w:rPr>
          <w:rFonts w:cstheme="minorHAnsi"/>
          <w:sz w:val="20"/>
          <w:szCs w:val="20"/>
        </w:rPr>
        <w:t>Taken from the INFORM Risk Index produced by the European Commission</w:t>
      </w:r>
      <w:r w:rsidR="006A0DBC" w:rsidRPr="00A24267">
        <w:rPr>
          <w:rFonts w:cstheme="minorHAnsi"/>
          <w:sz w:val="20"/>
          <w:szCs w:val="20"/>
        </w:rPr>
        <w:t xml:space="preserve">, this </w:t>
      </w:r>
      <w:r w:rsidRPr="00A24267">
        <w:rPr>
          <w:rFonts w:cstheme="minorHAnsi"/>
          <w:sz w:val="20"/>
          <w:szCs w:val="20"/>
        </w:rPr>
        <w:t>indicator</w:t>
      </w:r>
      <w:r w:rsidR="00BA6079" w:rsidRPr="00A24267">
        <w:rPr>
          <w:rFonts w:cstheme="minorHAnsi"/>
          <w:sz w:val="20"/>
          <w:szCs w:val="20"/>
        </w:rPr>
        <w:t xml:space="preserve"> reflects the probability of physical exposure associated with specific hazards. There is no risk if there is no physical exposure, no matter how severe the hazard event is. Therefore, the hazard and exposure dim</w:t>
      </w:r>
      <w:r w:rsidR="00684C58" w:rsidRPr="00A24267">
        <w:rPr>
          <w:rFonts w:cstheme="minorHAnsi"/>
          <w:sz w:val="20"/>
          <w:szCs w:val="20"/>
        </w:rPr>
        <w:t>ensions are merged into hazard and</w:t>
      </w:r>
      <w:r w:rsidR="00BA6079" w:rsidRPr="00A24267">
        <w:rPr>
          <w:rFonts w:cstheme="minorHAnsi"/>
          <w:sz w:val="20"/>
          <w:szCs w:val="20"/>
        </w:rPr>
        <w:t xml:space="preserve"> exposure dimension.</w:t>
      </w:r>
      <w:r w:rsidR="00487263" w:rsidRPr="00A24267">
        <w:rPr>
          <w:rStyle w:val="FootnoteReference"/>
          <w:rFonts w:cstheme="minorHAnsi"/>
          <w:sz w:val="20"/>
          <w:szCs w:val="20"/>
        </w:rPr>
        <w:footnoteReference w:id="12"/>
      </w:r>
    </w:p>
    <w:p w14:paraId="1006188F" w14:textId="54E8D7A0" w:rsidR="00487263" w:rsidRPr="00A24267" w:rsidRDefault="00487263" w:rsidP="00977CA3">
      <w:pPr>
        <w:spacing w:after="0" w:line="240" w:lineRule="auto"/>
        <w:jc w:val="both"/>
        <w:rPr>
          <w:rFonts w:eastAsiaTheme="majorEastAsia" w:cstheme="minorHAnsi"/>
          <w:sz w:val="20"/>
          <w:szCs w:val="20"/>
        </w:rPr>
      </w:pPr>
    </w:p>
    <w:p w14:paraId="53A46C98" w14:textId="717E462E" w:rsidR="00487263" w:rsidRPr="00A24267" w:rsidRDefault="00487263" w:rsidP="00977CA3">
      <w:pPr>
        <w:pStyle w:val="Heading3"/>
        <w:spacing w:before="0" w:line="240" w:lineRule="auto"/>
        <w:jc w:val="both"/>
        <w:rPr>
          <w:rFonts w:asciiTheme="minorHAnsi" w:hAnsiTheme="minorHAnsi" w:cstheme="minorHAnsi"/>
          <w:sz w:val="20"/>
          <w:szCs w:val="20"/>
        </w:rPr>
      </w:pPr>
      <w:bookmarkStart w:id="21" w:name="_Toc75438763"/>
      <w:r w:rsidRPr="00A24267">
        <w:rPr>
          <w:rFonts w:asciiTheme="minorHAnsi" w:hAnsiTheme="minorHAnsi" w:cstheme="minorHAnsi"/>
          <w:sz w:val="20"/>
          <w:szCs w:val="20"/>
        </w:rPr>
        <w:t>Natural Resource Degradation</w:t>
      </w:r>
      <w:bookmarkEnd w:id="21"/>
    </w:p>
    <w:p w14:paraId="730C643C" w14:textId="1A2C714D" w:rsidR="00487263" w:rsidRPr="00A24267" w:rsidRDefault="00487263" w:rsidP="00977CA3">
      <w:pPr>
        <w:spacing w:after="0" w:line="240" w:lineRule="auto"/>
        <w:jc w:val="both"/>
        <w:rPr>
          <w:rFonts w:cstheme="minorHAnsi"/>
          <w:sz w:val="20"/>
          <w:szCs w:val="20"/>
        </w:rPr>
      </w:pPr>
      <w:r w:rsidRPr="00A24267">
        <w:rPr>
          <w:rFonts w:cstheme="minorHAnsi"/>
          <w:sz w:val="20"/>
          <w:szCs w:val="20"/>
        </w:rPr>
        <w:t>The Natural Resource Degradation concept aims to capture</w:t>
      </w:r>
      <w:r w:rsidR="00684C58" w:rsidRPr="00A24267">
        <w:rPr>
          <w:rFonts w:cstheme="minorHAnsi"/>
          <w:sz w:val="20"/>
          <w:szCs w:val="20"/>
        </w:rPr>
        <w:t xml:space="preserve"> the degree to which environmental systems have been harmed, disrupted or destroyed in different countries</w:t>
      </w:r>
      <w:r w:rsidRPr="00A24267">
        <w:rPr>
          <w:rFonts w:cstheme="minorHAnsi"/>
          <w:sz w:val="20"/>
          <w:szCs w:val="20"/>
        </w:rPr>
        <w:t>. It does this through the following indicators.</w:t>
      </w:r>
    </w:p>
    <w:p w14:paraId="7575D3FF" w14:textId="4452CF74" w:rsidR="00487263" w:rsidRPr="00A24267" w:rsidRDefault="00487263" w:rsidP="00977CA3">
      <w:pPr>
        <w:spacing w:after="0" w:line="240" w:lineRule="auto"/>
        <w:jc w:val="both"/>
        <w:rPr>
          <w:rFonts w:cstheme="minorHAnsi"/>
          <w:sz w:val="20"/>
          <w:szCs w:val="20"/>
        </w:rPr>
      </w:pPr>
    </w:p>
    <w:p w14:paraId="37ED6BAF" w14:textId="2E72CDF7" w:rsidR="00487263" w:rsidRPr="00091001" w:rsidRDefault="00487263" w:rsidP="00977CA3">
      <w:pPr>
        <w:spacing w:after="0" w:line="240" w:lineRule="auto"/>
        <w:jc w:val="both"/>
        <w:rPr>
          <w:rFonts w:cstheme="minorHAnsi"/>
          <w:b/>
          <w:i/>
          <w:sz w:val="20"/>
          <w:szCs w:val="20"/>
        </w:rPr>
      </w:pPr>
      <w:r w:rsidRPr="00091001">
        <w:rPr>
          <w:rFonts w:cstheme="minorHAnsi"/>
          <w:b/>
          <w:i/>
          <w:sz w:val="20"/>
          <w:szCs w:val="20"/>
        </w:rPr>
        <w:t>Environmental Performance Index</w:t>
      </w:r>
    </w:p>
    <w:p w14:paraId="03A4FF61" w14:textId="04D9547E" w:rsidR="00487263" w:rsidRPr="00A24267" w:rsidRDefault="00684C58" w:rsidP="00977CA3">
      <w:pPr>
        <w:spacing w:after="0" w:line="240" w:lineRule="auto"/>
        <w:jc w:val="both"/>
        <w:rPr>
          <w:rFonts w:cstheme="minorHAnsi"/>
          <w:sz w:val="20"/>
          <w:szCs w:val="20"/>
        </w:rPr>
      </w:pPr>
      <w:r w:rsidRPr="00A24267">
        <w:rPr>
          <w:rFonts w:cstheme="minorHAnsi"/>
          <w:sz w:val="20"/>
          <w:szCs w:val="20"/>
        </w:rPr>
        <w:t>This indicator is taken from Yale University’s</w:t>
      </w:r>
      <w:r w:rsidR="00487263" w:rsidRPr="00A24267">
        <w:rPr>
          <w:rFonts w:cstheme="minorHAnsi"/>
          <w:sz w:val="20"/>
          <w:szCs w:val="20"/>
        </w:rPr>
        <w:t xml:space="preserve"> Environmental Performance Index (EPI)</w:t>
      </w:r>
      <w:r w:rsidRPr="00A24267">
        <w:rPr>
          <w:rFonts w:cstheme="minorHAnsi"/>
          <w:sz w:val="20"/>
          <w:szCs w:val="20"/>
        </w:rPr>
        <w:t>, which</w:t>
      </w:r>
      <w:r w:rsidR="00487263" w:rsidRPr="00A24267">
        <w:rPr>
          <w:rFonts w:cstheme="minorHAnsi"/>
          <w:sz w:val="20"/>
          <w:szCs w:val="20"/>
        </w:rPr>
        <w:t xml:space="preserve"> provides a data-driven summary of the state of sustainability around the world. Using 32 performance indicators across 11 issue categories, the EPI ranks 180 countries on environmental health and ecosystem vitality.</w:t>
      </w:r>
      <w:r w:rsidR="00590F31" w:rsidRPr="00A24267">
        <w:rPr>
          <w:rStyle w:val="FootnoteReference"/>
          <w:rFonts w:cstheme="minorHAnsi"/>
          <w:sz w:val="20"/>
          <w:szCs w:val="20"/>
        </w:rPr>
        <w:footnoteReference w:id="13"/>
      </w:r>
    </w:p>
    <w:p w14:paraId="7F780460" w14:textId="3A4CD92D" w:rsidR="00487263" w:rsidRPr="00A24267" w:rsidRDefault="00487263" w:rsidP="00977CA3">
      <w:pPr>
        <w:spacing w:after="0" w:line="240" w:lineRule="auto"/>
        <w:jc w:val="both"/>
        <w:rPr>
          <w:rFonts w:eastAsiaTheme="majorEastAsia" w:cstheme="minorHAnsi"/>
          <w:sz w:val="20"/>
          <w:szCs w:val="20"/>
        </w:rPr>
      </w:pPr>
    </w:p>
    <w:p w14:paraId="31346864" w14:textId="15ECD6E1" w:rsidR="00487263" w:rsidRPr="007941FB" w:rsidRDefault="00487263" w:rsidP="00977CA3">
      <w:pPr>
        <w:spacing w:after="0" w:line="240" w:lineRule="auto"/>
        <w:jc w:val="both"/>
        <w:rPr>
          <w:rFonts w:cstheme="minorHAnsi"/>
          <w:b/>
          <w:i/>
          <w:sz w:val="20"/>
          <w:szCs w:val="20"/>
        </w:rPr>
      </w:pPr>
      <w:r w:rsidRPr="007941FB">
        <w:rPr>
          <w:rFonts w:cstheme="minorHAnsi"/>
          <w:b/>
          <w:i/>
          <w:sz w:val="20"/>
          <w:szCs w:val="20"/>
        </w:rPr>
        <w:t xml:space="preserve">Adjusted </w:t>
      </w:r>
      <w:r w:rsidR="007941FB">
        <w:rPr>
          <w:rFonts w:cstheme="minorHAnsi"/>
          <w:b/>
          <w:i/>
          <w:sz w:val="20"/>
          <w:szCs w:val="20"/>
        </w:rPr>
        <w:t>S</w:t>
      </w:r>
      <w:r w:rsidRPr="007941FB">
        <w:rPr>
          <w:rFonts w:cstheme="minorHAnsi"/>
          <w:b/>
          <w:i/>
          <w:sz w:val="20"/>
          <w:szCs w:val="20"/>
        </w:rPr>
        <w:t xml:space="preserve">avings: </w:t>
      </w:r>
      <w:r w:rsidR="007941FB">
        <w:rPr>
          <w:rFonts w:cstheme="minorHAnsi"/>
          <w:b/>
          <w:i/>
          <w:sz w:val="20"/>
          <w:szCs w:val="20"/>
        </w:rPr>
        <w:t>N</w:t>
      </w:r>
      <w:r w:rsidRPr="007941FB">
        <w:rPr>
          <w:rFonts w:cstheme="minorHAnsi"/>
          <w:b/>
          <w:i/>
          <w:sz w:val="20"/>
          <w:szCs w:val="20"/>
        </w:rPr>
        <w:t xml:space="preserve">atural </w:t>
      </w:r>
      <w:r w:rsidR="007941FB">
        <w:rPr>
          <w:rFonts w:cstheme="minorHAnsi"/>
          <w:b/>
          <w:i/>
          <w:sz w:val="20"/>
          <w:szCs w:val="20"/>
        </w:rPr>
        <w:t>R</w:t>
      </w:r>
      <w:r w:rsidRPr="007941FB">
        <w:rPr>
          <w:rFonts w:cstheme="minorHAnsi"/>
          <w:b/>
          <w:i/>
          <w:sz w:val="20"/>
          <w:szCs w:val="20"/>
        </w:rPr>
        <w:t xml:space="preserve">esources </w:t>
      </w:r>
      <w:r w:rsidR="007941FB">
        <w:rPr>
          <w:rFonts w:cstheme="minorHAnsi"/>
          <w:b/>
          <w:i/>
          <w:sz w:val="20"/>
          <w:szCs w:val="20"/>
        </w:rPr>
        <w:t>D</w:t>
      </w:r>
      <w:r w:rsidRPr="007941FB">
        <w:rPr>
          <w:rFonts w:cstheme="minorHAnsi"/>
          <w:b/>
          <w:i/>
          <w:sz w:val="20"/>
          <w:szCs w:val="20"/>
        </w:rPr>
        <w:t>epletion (% of GNI)</w:t>
      </w:r>
    </w:p>
    <w:p w14:paraId="3823A76F" w14:textId="401891F2" w:rsidR="00487263" w:rsidRPr="00A24267" w:rsidRDefault="00684C58" w:rsidP="00977CA3">
      <w:pPr>
        <w:spacing w:after="0" w:line="240" w:lineRule="auto"/>
        <w:jc w:val="both"/>
        <w:rPr>
          <w:rFonts w:cstheme="minorHAnsi"/>
          <w:sz w:val="20"/>
          <w:szCs w:val="20"/>
        </w:rPr>
      </w:pPr>
      <w:r w:rsidRPr="00A24267">
        <w:rPr>
          <w:rFonts w:cstheme="minorHAnsi"/>
          <w:sz w:val="20"/>
          <w:szCs w:val="20"/>
        </w:rPr>
        <w:t>Calculated by the World Bank, this indicator expresses natural resource depletion a</w:t>
      </w:r>
      <w:r w:rsidR="00590F31" w:rsidRPr="00A24267">
        <w:rPr>
          <w:rFonts w:cstheme="minorHAnsi"/>
          <w:sz w:val="20"/>
          <w:szCs w:val="20"/>
        </w:rPr>
        <w:t>s the sum of net forest depletion, energy dep</w:t>
      </w:r>
      <w:r w:rsidR="009F5D62" w:rsidRPr="00A24267">
        <w:rPr>
          <w:rFonts w:cstheme="minorHAnsi"/>
          <w:sz w:val="20"/>
          <w:szCs w:val="20"/>
        </w:rPr>
        <w:t>letion</w:t>
      </w:r>
      <w:r w:rsidR="00590F31" w:rsidRPr="00A24267">
        <w:rPr>
          <w:rFonts w:cstheme="minorHAnsi"/>
          <w:sz w:val="20"/>
          <w:szCs w:val="20"/>
        </w:rPr>
        <w:t xml:space="preserve"> and mineral depletion.</w:t>
      </w:r>
      <w:r w:rsidR="00590F31" w:rsidRPr="00A24267">
        <w:rPr>
          <w:rStyle w:val="FootnoteReference"/>
          <w:rFonts w:cstheme="minorHAnsi"/>
          <w:sz w:val="20"/>
          <w:szCs w:val="20"/>
        </w:rPr>
        <w:footnoteReference w:id="14"/>
      </w:r>
    </w:p>
    <w:p w14:paraId="72375413" w14:textId="2E829C97" w:rsidR="00BA6079" w:rsidRPr="00852641" w:rsidRDefault="00BA6079" w:rsidP="00977CA3">
      <w:pPr>
        <w:spacing w:after="0" w:line="240" w:lineRule="auto"/>
        <w:jc w:val="both"/>
        <w:rPr>
          <w:rFonts w:eastAsiaTheme="majorEastAsia" w:cstheme="minorHAnsi"/>
          <w:sz w:val="20"/>
          <w:szCs w:val="20"/>
        </w:rPr>
      </w:pPr>
    </w:p>
    <w:p w14:paraId="60542335" w14:textId="0D75CB66" w:rsidR="00115E69" w:rsidRPr="006E1098" w:rsidRDefault="00287EEF" w:rsidP="006E1098">
      <w:pPr>
        <w:pStyle w:val="Heading3"/>
        <w:spacing w:before="0" w:line="240" w:lineRule="auto"/>
        <w:jc w:val="both"/>
        <w:rPr>
          <w:rFonts w:asciiTheme="minorHAnsi" w:hAnsiTheme="minorHAnsi" w:cstheme="minorHAnsi"/>
          <w:sz w:val="20"/>
          <w:szCs w:val="20"/>
        </w:rPr>
      </w:pPr>
      <w:bookmarkStart w:id="22" w:name="_Toc75438764"/>
      <w:r w:rsidRPr="006E1098">
        <w:rPr>
          <w:rFonts w:asciiTheme="minorHAnsi" w:hAnsiTheme="minorHAnsi" w:cstheme="minorHAnsi"/>
          <w:sz w:val="20"/>
          <w:szCs w:val="20"/>
        </w:rPr>
        <w:t>Considered Indicators</w:t>
      </w:r>
      <w:bookmarkEnd w:id="22"/>
    </w:p>
    <w:p w14:paraId="7B08CF02" w14:textId="373F7884" w:rsidR="00287EEF" w:rsidRDefault="00287EEF" w:rsidP="00977CA3">
      <w:pPr>
        <w:spacing w:after="0" w:line="240" w:lineRule="auto"/>
        <w:jc w:val="both"/>
        <w:rPr>
          <w:rFonts w:eastAsiaTheme="majorEastAsia" w:cstheme="minorHAnsi"/>
          <w:sz w:val="20"/>
          <w:szCs w:val="20"/>
        </w:rPr>
      </w:pPr>
      <w:r w:rsidRPr="00287EEF">
        <w:rPr>
          <w:rFonts w:eastAsiaTheme="majorEastAsia" w:cstheme="minorHAnsi"/>
          <w:b/>
          <w:sz w:val="20"/>
          <w:szCs w:val="20"/>
        </w:rPr>
        <w:t>Planetary Human Development Index:</w:t>
      </w:r>
      <w:r>
        <w:rPr>
          <w:rFonts w:eastAsiaTheme="majorEastAsia" w:cstheme="minorHAnsi"/>
          <w:sz w:val="20"/>
          <w:szCs w:val="20"/>
        </w:rPr>
        <w:t xml:space="preserve"> A measure of the level of development compared to burden on the planet. While important, the fact that more developed countries place a larger burden on the planet is not a traditional measure of domestic fragility.</w:t>
      </w:r>
    </w:p>
    <w:p w14:paraId="741EBE60" w14:textId="38E38B9F" w:rsidR="00287EEF" w:rsidRDefault="00287EEF" w:rsidP="00977CA3">
      <w:pPr>
        <w:spacing w:after="0" w:line="240" w:lineRule="auto"/>
        <w:jc w:val="both"/>
        <w:rPr>
          <w:rFonts w:eastAsiaTheme="majorEastAsia" w:cstheme="minorHAnsi"/>
          <w:sz w:val="20"/>
          <w:szCs w:val="20"/>
        </w:rPr>
      </w:pPr>
    </w:p>
    <w:p w14:paraId="0C70233D" w14:textId="0379772E" w:rsidR="00287EEF" w:rsidRDefault="00287EEF" w:rsidP="00977CA3">
      <w:pPr>
        <w:spacing w:after="0" w:line="240" w:lineRule="auto"/>
        <w:jc w:val="both"/>
        <w:rPr>
          <w:rFonts w:eastAsiaTheme="majorEastAsia" w:cstheme="minorHAnsi"/>
          <w:sz w:val="20"/>
          <w:szCs w:val="20"/>
        </w:rPr>
      </w:pPr>
      <w:r w:rsidRPr="00287EEF">
        <w:rPr>
          <w:rFonts w:eastAsiaTheme="majorEastAsia" w:cstheme="minorHAnsi"/>
          <w:b/>
          <w:sz w:val="20"/>
          <w:szCs w:val="20"/>
        </w:rPr>
        <w:t>Connectivity Indicators (Internet Access etc</w:t>
      </w:r>
      <w:r>
        <w:rPr>
          <w:rFonts w:eastAsiaTheme="majorEastAsia" w:cstheme="minorHAnsi"/>
          <w:sz w:val="20"/>
          <w:szCs w:val="20"/>
        </w:rPr>
        <w:t>): Considered but not included as these are included implicitly in the indicators selected in the UNDP-FM.</w:t>
      </w:r>
    </w:p>
    <w:p w14:paraId="29D9A2BA" w14:textId="77777777" w:rsidR="00091001" w:rsidRPr="00852641" w:rsidRDefault="00091001" w:rsidP="00977CA3">
      <w:pPr>
        <w:spacing w:after="0" w:line="240" w:lineRule="auto"/>
        <w:jc w:val="both"/>
        <w:rPr>
          <w:rFonts w:eastAsiaTheme="majorEastAsia" w:cstheme="minorHAnsi"/>
          <w:sz w:val="20"/>
          <w:szCs w:val="20"/>
        </w:rPr>
      </w:pPr>
    </w:p>
    <w:p w14:paraId="7C038F8E" w14:textId="77777777" w:rsidR="0042381C" w:rsidRPr="00852641" w:rsidRDefault="003A3F8A" w:rsidP="00977CA3">
      <w:pPr>
        <w:pStyle w:val="Heading2"/>
        <w:spacing w:before="0" w:line="240" w:lineRule="auto"/>
        <w:jc w:val="both"/>
        <w:rPr>
          <w:rFonts w:asciiTheme="minorHAnsi" w:hAnsiTheme="minorHAnsi" w:cstheme="minorHAnsi"/>
        </w:rPr>
      </w:pPr>
      <w:bookmarkStart w:id="23" w:name="_Toc75438765"/>
      <w:r w:rsidRPr="00852641">
        <w:rPr>
          <w:rFonts w:asciiTheme="minorHAnsi" w:hAnsiTheme="minorHAnsi" w:cstheme="minorHAnsi"/>
        </w:rPr>
        <w:t>Prosperity Domain</w:t>
      </w:r>
      <w:bookmarkEnd w:id="23"/>
    </w:p>
    <w:p w14:paraId="2FA7352C" w14:textId="01242BE1" w:rsidR="0042381C" w:rsidRPr="00852641" w:rsidRDefault="0042381C" w:rsidP="00977CA3">
      <w:pPr>
        <w:spacing w:after="0" w:line="240" w:lineRule="auto"/>
        <w:jc w:val="both"/>
        <w:rPr>
          <w:rFonts w:eastAsiaTheme="majorEastAsia" w:cstheme="minorHAnsi"/>
          <w:sz w:val="20"/>
          <w:szCs w:val="20"/>
        </w:rPr>
      </w:pPr>
    </w:p>
    <w:p w14:paraId="50E94986" w14:textId="1443B334" w:rsidR="00590F31" w:rsidRPr="00A24267" w:rsidRDefault="000427A4" w:rsidP="00977CA3">
      <w:pPr>
        <w:jc w:val="both"/>
        <w:rPr>
          <w:rFonts w:cstheme="minorHAnsi"/>
          <w:sz w:val="20"/>
          <w:szCs w:val="20"/>
        </w:rPr>
      </w:pPr>
      <w:r w:rsidRPr="00A24267">
        <w:rPr>
          <w:rFonts w:cstheme="minorHAnsi"/>
          <w:sz w:val="20"/>
          <w:szCs w:val="20"/>
        </w:rPr>
        <w:t xml:space="preserve">The Prosperity domain </w:t>
      </w:r>
      <w:r w:rsidR="00590F31" w:rsidRPr="00A24267">
        <w:rPr>
          <w:rFonts w:cstheme="minorHAnsi"/>
          <w:sz w:val="20"/>
          <w:szCs w:val="20"/>
        </w:rPr>
        <w:t>capture</w:t>
      </w:r>
      <w:r w:rsidRPr="00A24267">
        <w:rPr>
          <w:rFonts w:cstheme="minorHAnsi"/>
          <w:sz w:val="20"/>
          <w:szCs w:val="20"/>
        </w:rPr>
        <w:t>s</w:t>
      </w:r>
      <w:r w:rsidR="00590F31" w:rsidRPr="00A24267">
        <w:rPr>
          <w:rFonts w:cstheme="minorHAnsi"/>
          <w:sz w:val="20"/>
          <w:szCs w:val="20"/>
        </w:rPr>
        <w:t xml:space="preserve"> the following concepts:</w:t>
      </w:r>
    </w:p>
    <w:p w14:paraId="4B9C4513" w14:textId="0D9CE0E7" w:rsidR="00590F31" w:rsidRPr="00A24267" w:rsidRDefault="00590F31" w:rsidP="00977CA3">
      <w:pPr>
        <w:numPr>
          <w:ilvl w:val="0"/>
          <w:numId w:val="4"/>
        </w:numPr>
        <w:jc w:val="both"/>
        <w:rPr>
          <w:rFonts w:cstheme="minorHAnsi"/>
          <w:sz w:val="20"/>
          <w:szCs w:val="20"/>
        </w:rPr>
      </w:pPr>
      <w:r w:rsidRPr="00A24267">
        <w:rPr>
          <w:rFonts w:cstheme="minorHAnsi"/>
          <w:sz w:val="20"/>
          <w:szCs w:val="20"/>
        </w:rPr>
        <w:t>Govern</w:t>
      </w:r>
      <w:r w:rsidR="00814A62" w:rsidRPr="00A24267">
        <w:rPr>
          <w:rFonts w:cstheme="minorHAnsi"/>
          <w:sz w:val="20"/>
          <w:szCs w:val="20"/>
        </w:rPr>
        <w:t>ance D</w:t>
      </w:r>
      <w:r w:rsidRPr="00A24267">
        <w:rPr>
          <w:rFonts w:cstheme="minorHAnsi"/>
          <w:sz w:val="20"/>
          <w:szCs w:val="20"/>
        </w:rPr>
        <w:t>eficit</w:t>
      </w:r>
    </w:p>
    <w:p w14:paraId="4512B5E1" w14:textId="77777777" w:rsidR="00590F31" w:rsidRPr="00A24267" w:rsidRDefault="00590F31" w:rsidP="00977CA3">
      <w:pPr>
        <w:numPr>
          <w:ilvl w:val="0"/>
          <w:numId w:val="4"/>
        </w:numPr>
        <w:jc w:val="both"/>
        <w:rPr>
          <w:rFonts w:cstheme="minorHAnsi"/>
          <w:sz w:val="20"/>
          <w:szCs w:val="20"/>
        </w:rPr>
      </w:pPr>
      <w:r w:rsidRPr="00A24267">
        <w:rPr>
          <w:rFonts w:cstheme="minorHAnsi"/>
          <w:sz w:val="20"/>
          <w:szCs w:val="20"/>
        </w:rPr>
        <w:t>Fragile Cities</w:t>
      </w:r>
    </w:p>
    <w:p w14:paraId="7BF2FD47" w14:textId="77777777" w:rsidR="00590F31" w:rsidRPr="00A24267" w:rsidRDefault="00590F31" w:rsidP="00977CA3">
      <w:pPr>
        <w:numPr>
          <w:ilvl w:val="0"/>
          <w:numId w:val="4"/>
        </w:numPr>
        <w:jc w:val="both"/>
        <w:rPr>
          <w:rFonts w:cstheme="minorHAnsi"/>
          <w:sz w:val="20"/>
          <w:szCs w:val="20"/>
        </w:rPr>
      </w:pPr>
      <w:r w:rsidRPr="00A24267">
        <w:rPr>
          <w:rFonts w:cstheme="minorHAnsi"/>
          <w:sz w:val="20"/>
          <w:szCs w:val="20"/>
        </w:rPr>
        <w:t>Economic Stability</w:t>
      </w:r>
    </w:p>
    <w:p w14:paraId="7B755D1D" w14:textId="77777777" w:rsidR="00814A62" w:rsidRPr="00A24267" w:rsidRDefault="00590F31" w:rsidP="00977CA3">
      <w:pPr>
        <w:numPr>
          <w:ilvl w:val="0"/>
          <w:numId w:val="4"/>
        </w:numPr>
        <w:jc w:val="both"/>
        <w:rPr>
          <w:rFonts w:cstheme="minorHAnsi"/>
          <w:sz w:val="20"/>
          <w:szCs w:val="20"/>
        </w:rPr>
      </w:pPr>
      <w:r w:rsidRPr="00A24267">
        <w:rPr>
          <w:rFonts w:cstheme="minorHAnsi"/>
          <w:sz w:val="20"/>
          <w:szCs w:val="20"/>
        </w:rPr>
        <w:t>Digitalisation</w:t>
      </w:r>
    </w:p>
    <w:p w14:paraId="63B3FAED" w14:textId="566CB896" w:rsidR="00590F31" w:rsidRPr="00A24267" w:rsidRDefault="00590F31" w:rsidP="00977CA3">
      <w:pPr>
        <w:spacing w:after="0" w:line="240" w:lineRule="auto"/>
        <w:jc w:val="both"/>
        <w:rPr>
          <w:rFonts w:eastAsiaTheme="majorEastAsia" w:cstheme="minorHAnsi"/>
          <w:sz w:val="20"/>
          <w:szCs w:val="20"/>
        </w:rPr>
      </w:pPr>
    </w:p>
    <w:p w14:paraId="1FC0AE0A" w14:textId="219DD139" w:rsidR="00814A62" w:rsidRPr="00A24267" w:rsidRDefault="00814A62" w:rsidP="00977CA3">
      <w:pPr>
        <w:pStyle w:val="Heading3"/>
        <w:spacing w:before="0" w:line="240" w:lineRule="auto"/>
        <w:jc w:val="both"/>
        <w:rPr>
          <w:rFonts w:asciiTheme="minorHAnsi" w:hAnsiTheme="minorHAnsi" w:cstheme="minorHAnsi"/>
          <w:sz w:val="20"/>
          <w:szCs w:val="20"/>
        </w:rPr>
      </w:pPr>
      <w:bookmarkStart w:id="24" w:name="_Toc75438766"/>
      <w:r w:rsidRPr="00A24267">
        <w:rPr>
          <w:rFonts w:asciiTheme="minorHAnsi" w:hAnsiTheme="minorHAnsi" w:cstheme="minorHAnsi"/>
          <w:sz w:val="20"/>
          <w:szCs w:val="20"/>
        </w:rPr>
        <w:t>Governance Deficit</w:t>
      </w:r>
      <w:bookmarkEnd w:id="24"/>
    </w:p>
    <w:p w14:paraId="78FC2977" w14:textId="57C11E5C" w:rsidR="00814A62" w:rsidRPr="00A24267" w:rsidRDefault="00814A62" w:rsidP="00977CA3">
      <w:pPr>
        <w:spacing w:after="0" w:line="240" w:lineRule="auto"/>
        <w:jc w:val="both"/>
        <w:rPr>
          <w:rFonts w:cstheme="minorHAnsi"/>
          <w:sz w:val="20"/>
          <w:szCs w:val="20"/>
        </w:rPr>
      </w:pPr>
      <w:r w:rsidRPr="00A24267">
        <w:rPr>
          <w:rFonts w:cstheme="minorHAnsi"/>
          <w:sz w:val="20"/>
          <w:szCs w:val="20"/>
        </w:rPr>
        <w:t>The Governance Deficit concept aims to capture</w:t>
      </w:r>
      <w:r w:rsidR="006A0DBC" w:rsidRPr="00A24267">
        <w:rPr>
          <w:rFonts w:cstheme="minorHAnsi"/>
          <w:sz w:val="20"/>
          <w:szCs w:val="20"/>
        </w:rPr>
        <w:t xml:space="preserve"> the degree to which countries’</w:t>
      </w:r>
      <w:r w:rsidR="009F5D62" w:rsidRPr="00A24267">
        <w:rPr>
          <w:rFonts w:cstheme="minorHAnsi"/>
          <w:sz w:val="20"/>
          <w:szCs w:val="20"/>
        </w:rPr>
        <w:t xml:space="preserve"> public institutions fulfil – or fail to fulfil – their obligations to citizens.</w:t>
      </w:r>
      <w:r w:rsidRPr="00A24267">
        <w:rPr>
          <w:rFonts w:cstheme="minorHAnsi"/>
          <w:sz w:val="20"/>
          <w:szCs w:val="20"/>
        </w:rPr>
        <w:t xml:space="preserve"> It does this through the following indicator.</w:t>
      </w:r>
    </w:p>
    <w:p w14:paraId="729312E4" w14:textId="0F48A23A" w:rsidR="00814A62" w:rsidRPr="00A24267" w:rsidRDefault="00814A62" w:rsidP="00977CA3">
      <w:pPr>
        <w:spacing w:after="0" w:line="240" w:lineRule="auto"/>
        <w:jc w:val="both"/>
        <w:rPr>
          <w:rFonts w:eastAsiaTheme="majorEastAsia" w:cstheme="minorHAnsi"/>
          <w:sz w:val="20"/>
          <w:szCs w:val="20"/>
        </w:rPr>
      </w:pPr>
    </w:p>
    <w:p w14:paraId="70844609" w14:textId="6B5A3C60" w:rsidR="00814A62" w:rsidRPr="00091001" w:rsidRDefault="00814A62" w:rsidP="00977CA3">
      <w:pPr>
        <w:spacing w:after="0" w:line="240" w:lineRule="auto"/>
        <w:jc w:val="both"/>
        <w:rPr>
          <w:rFonts w:eastAsiaTheme="majorEastAsia" w:cstheme="minorHAnsi"/>
          <w:b/>
          <w:i/>
          <w:sz w:val="20"/>
          <w:szCs w:val="20"/>
        </w:rPr>
      </w:pPr>
      <w:r w:rsidRPr="00091001">
        <w:rPr>
          <w:rFonts w:eastAsiaTheme="majorEastAsia" w:cstheme="minorHAnsi"/>
          <w:b/>
          <w:i/>
          <w:sz w:val="20"/>
          <w:szCs w:val="20"/>
        </w:rPr>
        <w:t>Well-Functioning Government</w:t>
      </w:r>
    </w:p>
    <w:p w14:paraId="7FCB234F" w14:textId="33437516" w:rsidR="00814A62" w:rsidRPr="00A24267" w:rsidRDefault="00FF5927" w:rsidP="00977CA3">
      <w:pPr>
        <w:spacing w:after="0" w:line="240" w:lineRule="auto"/>
        <w:jc w:val="both"/>
        <w:rPr>
          <w:rFonts w:cstheme="minorHAnsi"/>
          <w:sz w:val="20"/>
          <w:szCs w:val="20"/>
        </w:rPr>
      </w:pPr>
      <w:r w:rsidRPr="00A24267">
        <w:rPr>
          <w:rFonts w:cstheme="minorHAnsi"/>
          <w:sz w:val="20"/>
          <w:szCs w:val="20"/>
        </w:rPr>
        <w:t xml:space="preserve">Taken from the Positive Peace framework of the </w:t>
      </w:r>
      <w:r w:rsidR="009F5D62" w:rsidRPr="00A24267">
        <w:rPr>
          <w:rFonts w:cstheme="minorHAnsi"/>
          <w:sz w:val="20"/>
          <w:szCs w:val="20"/>
        </w:rPr>
        <w:t>Institute for Economics and</w:t>
      </w:r>
      <w:r w:rsidRPr="00A24267">
        <w:rPr>
          <w:rFonts w:cstheme="minorHAnsi"/>
          <w:sz w:val="20"/>
          <w:szCs w:val="20"/>
        </w:rPr>
        <w:t xml:space="preserve"> Peace, this indicator </w:t>
      </w:r>
      <w:r w:rsidR="006A0DBC" w:rsidRPr="00A24267">
        <w:rPr>
          <w:rFonts w:cstheme="minorHAnsi"/>
          <w:sz w:val="20"/>
          <w:szCs w:val="20"/>
        </w:rPr>
        <w:t>measures</w:t>
      </w:r>
      <w:r w:rsidRPr="00A24267">
        <w:rPr>
          <w:rFonts w:cstheme="minorHAnsi"/>
          <w:sz w:val="20"/>
          <w:szCs w:val="20"/>
        </w:rPr>
        <w:t xml:space="preserve"> the degree to which a </w:t>
      </w:r>
      <w:r w:rsidR="00814A62" w:rsidRPr="00A24267">
        <w:rPr>
          <w:rFonts w:cstheme="minorHAnsi"/>
          <w:sz w:val="20"/>
          <w:szCs w:val="20"/>
        </w:rPr>
        <w:t>government delivers high-quality public and civil services, engenders trust and participation, demonstrates political stability and upholds the rule of law.</w:t>
      </w:r>
      <w:r w:rsidRPr="00A24267">
        <w:rPr>
          <w:rFonts w:cstheme="minorHAnsi"/>
          <w:sz w:val="20"/>
          <w:szCs w:val="20"/>
        </w:rPr>
        <w:t xml:space="preserve"> It is calculated based on three sources: the Political Democracy Index of the Economist Intelligence Unit</w:t>
      </w:r>
      <w:r w:rsidR="009F5D62" w:rsidRPr="00A24267">
        <w:rPr>
          <w:rFonts w:cstheme="minorHAnsi"/>
          <w:sz w:val="20"/>
          <w:szCs w:val="20"/>
        </w:rPr>
        <w:t xml:space="preserve">, </w:t>
      </w:r>
      <w:r w:rsidRPr="00A24267">
        <w:rPr>
          <w:rFonts w:cstheme="minorHAnsi"/>
          <w:sz w:val="20"/>
          <w:szCs w:val="20"/>
        </w:rPr>
        <w:t xml:space="preserve">World Bank estimates of Government Effectiveness and </w:t>
      </w:r>
      <w:r w:rsidR="009F5D62" w:rsidRPr="00A24267">
        <w:rPr>
          <w:rFonts w:cstheme="minorHAnsi"/>
          <w:sz w:val="20"/>
          <w:szCs w:val="20"/>
        </w:rPr>
        <w:t xml:space="preserve">World Bank estimates of </w:t>
      </w:r>
      <w:r w:rsidRPr="00A24267">
        <w:rPr>
          <w:rFonts w:cstheme="minorHAnsi"/>
          <w:sz w:val="20"/>
          <w:szCs w:val="20"/>
        </w:rPr>
        <w:t>the Rule of Law.</w:t>
      </w:r>
      <w:r w:rsidR="00814A62" w:rsidRPr="00A24267">
        <w:rPr>
          <w:rStyle w:val="FootnoteReference"/>
          <w:rFonts w:cstheme="minorHAnsi"/>
          <w:sz w:val="20"/>
          <w:szCs w:val="20"/>
        </w:rPr>
        <w:footnoteReference w:id="15"/>
      </w:r>
    </w:p>
    <w:p w14:paraId="5E320BFE" w14:textId="27407A09" w:rsidR="00814A62" w:rsidRPr="00A24267" w:rsidRDefault="00814A62" w:rsidP="00977CA3">
      <w:pPr>
        <w:spacing w:after="0" w:line="240" w:lineRule="auto"/>
        <w:jc w:val="both"/>
        <w:rPr>
          <w:rFonts w:eastAsiaTheme="majorEastAsia" w:cstheme="minorHAnsi"/>
          <w:sz w:val="20"/>
          <w:szCs w:val="20"/>
        </w:rPr>
      </w:pPr>
    </w:p>
    <w:p w14:paraId="6F966AA8" w14:textId="7886A27E" w:rsidR="00814A62" w:rsidRPr="00A24267" w:rsidRDefault="00814A62" w:rsidP="00977CA3">
      <w:pPr>
        <w:spacing w:after="0" w:line="240" w:lineRule="auto"/>
        <w:jc w:val="both"/>
        <w:rPr>
          <w:rFonts w:eastAsiaTheme="majorEastAsia" w:cstheme="minorHAnsi"/>
          <w:sz w:val="20"/>
          <w:szCs w:val="20"/>
        </w:rPr>
      </w:pPr>
    </w:p>
    <w:p w14:paraId="15F7FD85" w14:textId="0C90247F" w:rsidR="00814A62" w:rsidRPr="00A24267" w:rsidRDefault="00814A62" w:rsidP="00977CA3">
      <w:pPr>
        <w:pStyle w:val="Heading3"/>
        <w:spacing w:before="0" w:line="240" w:lineRule="auto"/>
        <w:jc w:val="both"/>
        <w:rPr>
          <w:rFonts w:asciiTheme="minorHAnsi" w:hAnsiTheme="minorHAnsi" w:cstheme="minorHAnsi"/>
          <w:sz w:val="20"/>
          <w:szCs w:val="20"/>
        </w:rPr>
      </w:pPr>
      <w:bookmarkStart w:id="25" w:name="_Toc75438767"/>
      <w:r w:rsidRPr="00A24267">
        <w:rPr>
          <w:rFonts w:asciiTheme="minorHAnsi" w:hAnsiTheme="minorHAnsi" w:cstheme="minorHAnsi"/>
          <w:sz w:val="20"/>
          <w:szCs w:val="20"/>
        </w:rPr>
        <w:t>Fragile Cities</w:t>
      </w:r>
      <w:bookmarkEnd w:id="25"/>
    </w:p>
    <w:p w14:paraId="65C58F10" w14:textId="2ECE813A" w:rsidR="00814A62" w:rsidRPr="00A24267" w:rsidRDefault="00814A62" w:rsidP="00977CA3">
      <w:pPr>
        <w:spacing w:after="0" w:line="240" w:lineRule="auto"/>
        <w:jc w:val="both"/>
        <w:rPr>
          <w:rFonts w:cstheme="minorHAnsi"/>
          <w:sz w:val="20"/>
          <w:szCs w:val="20"/>
        </w:rPr>
      </w:pPr>
      <w:r w:rsidRPr="00A24267">
        <w:rPr>
          <w:rFonts w:cstheme="minorHAnsi"/>
          <w:sz w:val="20"/>
          <w:szCs w:val="20"/>
        </w:rPr>
        <w:t>The Fragile Cities concept aims to capture</w:t>
      </w:r>
      <w:r w:rsidR="009F5D62" w:rsidRPr="00A24267">
        <w:rPr>
          <w:rFonts w:cstheme="minorHAnsi"/>
          <w:sz w:val="20"/>
          <w:szCs w:val="20"/>
        </w:rPr>
        <w:t xml:space="preserve"> the threats to the sound functioning of cities</w:t>
      </w:r>
      <w:r w:rsidR="006A0DBC" w:rsidRPr="00A24267">
        <w:rPr>
          <w:rFonts w:cstheme="minorHAnsi"/>
          <w:sz w:val="20"/>
          <w:szCs w:val="20"/>
        </w:rPr>
        <w:t xml:space="preserve"> and the wellbeing of their inhabitants</w:t>
      </w:r>
      <w:r w:rsidRPr="00A24267">
        <w:rPr>
          <w:rFonts w:cstheme="minorHAnsi"/>
          <w:sz w:val="20"/>
          <w:szCs w:val="20"/>
        </w:rPr>
        <w:t>. It does this through the following indicators.</w:t>
      </w:r>
    </w:p>
    <w:p w14:paraId="120458DA" w14:textId="4BD16967" w:rsidR="00115E69" w:rsidRPr="00A24267" w:rsidRDefault="00115E69" w:rsidP="00977CA3">
      <w:pPr>
        <w:spacing w:after="0" w:line="240" w:lineRule="auto"/>
        <w:jc w:val="both"/>
        <w:rPr>
          <w:rFonts w:cstheme="minorHAnsi"/>
          <w:sz w:val="20"/>
          <w:szCs w:val="20"/>
        </w:rPr>
      </w:pPr>
    </w:p>
    <w:p w14:paraId="3BC575D3" w14:textId="1B0E87AA" w:rsidR="00115E69" w:rsidRPr="00091001" w:rsidRDefault="00C44659" w:rsidP="00977CA3">
      <w:pPr>
        <w:spacing w:after="0" w:line="240" w:lineRule="auto"/>
        <w:jc w:val="both"/>
        <w:rPr>
          <w:rFonts w:cstheme="minorHAnsi"/>
          <w:b/>
          <w:sz w:val="20"/>
          <w:szCs w:val="20"/>
        </w:rPr>
      </w:pPr>
      <w:r w:rsidRPr="00091001">
        <w:rPr>
          <w:rFonts w:cstheme="minorHAnsi"/>
          <w:b/>
          <w:i/>
          <w:sz w:val="20"/>
          <w:szCs w:val="20"/>
        </w:rPr>
        <w:t>Urban Population</w:t>
      </w:r>
      <w:r w:rsidR="00115E69" w:rsidRPr="00091001">
        <w:rPr>
          <w:rFonts w:cstheme="minorHAnsi"/>
          <w:b/>
          <w:i/>
          <w:sz w:val="20"/>
          <w:szCs w:val="20"/>
        </w:rPr>
        <w:t xml:space="preserve"> Growth</w:t>
      </w:r>
      <w:r w:rsidRPr="00091001">
        <w:rPr>
          <w:rFonts w:cstheme="minorHAnsi"/>
          <w:b/>
          <w:i/>
          <w:sz w:val="20"/>
          <w:szCs w:val="20"/>
        </w:rPr>
        <w:t xml:space="preserve"> (</w:t>
      </w:r>
      <w:r w:rsidR="00AD79B7">
        <w:rPr>
          <w:rFonts w:cstheme="minorHAnsi"/>
          <w:b/>
          <w:i/>
          <w:sz w:val="20"/>
          <w:szCs w:val="20"/>
        </w:rPr>
        <w:t>A</w:t>
      </w:r>
      <w:r w:rsidRPr="00091001">
        <w:rPr>
          <w:rFonts w:cstheme="minorHAnsi"/>
          <w:b/>
          <w:i/>
          <w:sz w:val="20"/>
          <w:szCs w:val="20"/>
        </w:rPr>
        <w:t>nnual %)</w:t>
      </w:r>
    </w:p>
    <w:p w14:paraId="3E8384E0" w14:textId="6609DA72" w:rsidR="00115E69" w:rsidRPr="00A24267" w:rsidRDefault="009F5D62" w:rsidP="00977CA3">
      <w:pPr>
        <w:spacing w:after="0" w:line="240" w:lineRule="auto"/>
        <w:jc w:val="both"/>
        <w:rPr>
          <w:rFonts w:cstheme="minorHAnsi"/>
          <w:sz w:val="20"/>
          <w:szCs w:val="20"/>
        </w:rPr>
      </w:pPr>
      <w:r w:rsidRPr="00A24267">
        <w:rPr>
          <w:rFonts w:cstheme="minorHAnsi"/>
          <w:sz w:val="20"/>
          <w:szCs w:val="20"/>
        </w:rPr>
        <w:t>This indicator expresses t</w:t>
      </w:r>
      <w:r w:rsidR="000A7071" w:rsidRPr="00A24267">
        <w:rPr>
          <w:rFonts w:cstheme="minorHAnsi"/>
          <w:sz w:val="20"/>
          <w:szCs w:val="20"/>
        </w:rPr>
        <w:t>he growth in u</w:t>
      </w:r>
      <w:r w:rsidR="00C44659" w:rsidRPr="00A24267">
        <w:rPr>
          <w:rFonts w:cstheme="minorHAnsi"/>
          <w:sz w:val="20"/>
          <w:szCs w:val="20"/>
        </w:rPr>
        <w:t>rban population</w:t>
      </w:r>
      <w:r w:rsidRPr="00A24267">
        <w:rPr>
          <w:rFonts w:cstheme="minorHAnsi"/>
          <w:sz w:val="20"/>
          <w:szCs w:val="20"/>
        </w:rPr>
        <w:t xml:space="preserve">s – </w:t>
      </w:r>
      <w:r w:rsidR="000A7071" w:rsidRPr="00A24267">
        <w:rPr>
          <w:rFonts w:cstheme="minorHAnsi"/>
          <w:sz w:val="20"/>
          <w:szCs w:val="20"/>
        </w:rPr>
        <w:t xml:space="preserve">increases in </w:t>
      </w:r>
      <w:r w:rsidR="00C44659" w:rsidRPr="00A24267">
        <w:rPr>
          <w:rFonts w:cstheme="minorHAnsi"/>
          <w:sz w:val="20"/>
          <w:szCs w:val="20"/>
        </w:rPr>
        <w:t>people living in urban areas as defined by national statistical offices. It is calculated using World Bank population estimates and urban ratios from the United Nations World Urbanization Prospects.</w:t>
      </w:r>
      <w:r w:rsidR="00C44659" w:rsidRPr="00A24267">
        <w:rPr>
          <w:rStyle w:val="FootnoteReference"/>
          <w:rFonts w:cstheme="minorHAnsi"/>
          <w:sz w:val="20"/>
          <w:szCs w:val="20"/>
        </w:rPr>
        <w:footnoteReference w:id="16"/>
      </w:r>
    </w:p>
    <w:p w14:paraId="670E380B" w14:textId="77777777" w:rsidR="00814A62" w:rsidRPr="00A24267" w:rsidRDefault="00814A62" w:rsidP="00977CA3">
      <w:pPr>
        <w:spacing w:after="0" w:line="240" w:lineRule="auto"/>
        <w:jc w:val="both"/>
        <w:rPr>
          <w:rFonts w:eastAsiaTheme="majorEastAsia" w:cstheme="minorHAnsi"/>
          <w:sz w:val="20"/>
          <w:szCs w:val="20"/>
        </w:rPr>
      </w:pPr>
    </w:p>
    <w:p w14:paraId="1416FB8D" w14:textId="77777777" w:rsidR="000A7071" w:rsidRPr="00091001" w:rsidRDefault="00814A62" w:rsidP="00977CA3">
      <w:pPr>
        <w:spacing w:after="0" w:line="240" w:lineRule="auto"/>
        <w:jc w:val="both"/>
        <w:rPr>
          <w:rFonts w:eastAsiaTheme="majorEastAsia" w:cstheme="minorHAnsi"/>
          <w:b/>
          <w:i/>
          <w:sz w:val="20"/>
          <w:szCs w:val="20"/>
        </w:rPr>
      </w:pPr>
      <w:r w:rsidRPr="00091001">
        <w:rPr>
          <w:rFonts w:eastAsiaTheme="majorEastAsia" w:cstheme="minorHAnsi"/>
          <w:b/>
          <w:i/>
          <w:sz w:val="20"/>
          <w:szCs w:val="20"/>
        </w:rPr>
        <w:t>Fragile Cities Score</w:t>
      </w:r>
    </w:p>
    <w:p w14:paraId="6014B887" w14:textId="01FE9B69" w:rsidR="00814A62" w:rsidRPr="00A24267" w:rsidRDefault="00315236" w:rsidP="00977CA3">
      <w:pPr>
        <w:spacing w:after="0" w:line="240" w:lineRule="auto"/>
        <w:jc w:val="both"/>
        <w:rPr>
          <w:rFonts w:eastAsiaTheme="majorEastAsia" w:cstheme="minorHAnsi"/>
          <w:i/>
          <w:sz w:val="20"/>
          <w:szCs w:val="20"/>
        </w:rPr>
      </w:pPr>
      <w:r w:rsidRPr="00A24267">
        <w:rPr>
          <w:rFonts w:cstheme="minorHAnsi"/>
          <w:sz w:val="20"/>
          <w:szCs w:val="20"/>
        </w:rPr>
        <w:t xml:space="preserve">This indicator consists of </w:t>
      </w:r>
      <w:r w:rsidR="000A0832">
        <w:rPr>
          <w:rFonts w:cstheme="minorHAnsi"/>
          <w:sz w:val="20"/>
          <w:szCs w:val="20"/>
        </w:rPr>
        <w:t>the</w:t>
      </w:r>
      <w:r w:rsidR="000A0832" w:rsidRPr="00A24267">
        <w:rPr>
          <w:rFonts w:cstheme="minorHAnsi"/>
          <w:sz w:val="20"/>
          <w:szCs w:val="20"/>
        </w:rPr>
        <w:t xml:space="preserve"> </w:t>
      </w:r>
      <w:r w:rsidRPr="00A24267">
        <w:rPr>
          <w:rFonts w:cstheme="minorHAnsi"/>
          <w:sz w:val="20"/>
          <w:szCs w:val="20"/>
        </w:rPr>
        <w:t xml:space="preserve">Igarapé </w:t>
      </w:r>
      <w:r w:rsidR="000A7071" w:rsidRPr="00A24267">
        <w:rPr>
          <w:rFonts w:cstheme="minorHAnsi"/>
          <w:sz w:val="20"/>
          <w:szCs w:val="20"/>
        </w:rPr>
        <w:t xml:space="preserve">Fragile City </w:t>
      </w:r>
      <w:r w:rsidRPr="00A24267">
        <w:rPr>
          <w:rFonts w:cstheme="minorHAnsi"/>
          <w:sz w:val="20"/>
          <w:szCs w:val="20"/>
        </w:rPr>
        <w:t>s</w:t>
      </w:r>
      <w:r w:rsidR="000A7071" w:rsidRPr="00A24267">
        <w:rPr>
          <w:rFonts w:cstheme="minorHAnsi"/>
          <w:sz w:val="20"/>
          <w:szCs w:val="20"/>
        </w:rPr>
        <w:t>cores</w:t>
      </w:r>
      <w:r w:rsidRPr="00A24267">
        <w:rPr>
          <w:rFonts w:cstheme="minorHAnsi"/>
          <w:sz w:val="20"/>
          <w:szCs w:val="20"/>
        </w:rPr>
        <w:t>, which</w:t>
      </w:r>
      <w:r w:rsidR="000A7071" w:rsidRPr="00A24267">
        <w:rPr>
          <w:rFonts w:cstheme="minorHAnsi"/>
          <w:sz w:val="20"/>
          <w:szCs w:val="20"/>
        </w:rPr>
        <w:t xml:space="preserve"> represent an aggregation of urban risks across a wide spectrum of social, economic, environmental and climactic areas. The</w:t>
      </w:r>
      <w:r w:rsidR="0011654A" w:rsidRPr="00A24267">
        <w:rPr>
          <w:rFonts w:cstheme="minorHAnsi"/>
          <w:sz w:val="20"/>
          <w:szCs w:val="20"/>
        </w:rPr>
        <w:t xml:space="preserve"> scores</w:t>
      </w:r>
      <w:r w:rsidR="000A7071" w:rsidRPr="00A24267">
        <w:rPr>
          <w:rFonts w:cstheme="minorHAnsi"/>
          <w:sz w:val="20"/>
          <w:szCs w:val="20"/>
        </w:rPr>
        <w:t xml:space="preserve"> </w:t>
      </w:r>
      <w:r w:rsidRPr="00A24267">
        <w:rPr>
          <w:rFonts w:cstheme="minorHAnsi"/>
          <w:sz w:val="20"/>
          <w:szCs w:val="20"/>
        </w:rPr>
        <w:t>draw on</w:t>
      </w:r>
      <w:r w:rsidR="000A7071" w:rsidRPr="00A24267">
        <w:rPr>
          <w:rFonts w:eastAsiaTheme="majorEastAsia" w:cstheme="minorHAnsi"/>
          <w:sz w:val="20"/>
          <w:szCs w:val="20"/>
        </w:rPr>
        <w:t xml:space="preserve"> 11 metrics for measuring</w:t>
      </w:r>
      <w:r w:rsidR="000A7071" w:rsidRPr="00A24267">
        <w:rPr>
          <w:rFonts w:cstheme="minorHAnsi"/>
          <w:sz w:val="20"/>
          <w:szCs w:val="20"/>
        </w:rPr>
        <w:t xml:space="preserve"> the ability of city-based institutions to deliver basic conditions of livability, comprising rates of violence, exposure to disaster risk, levels of inequality and rates of electricity penetration, a</w:t>
      </w:r>
      <w:r w:rsidR="009E341D" w:rsidRPr="00A24267">
        <w:rPr>
          <w:rFonts w:cstheme="minorHAnsi"/>
          <w:sz w:val="20"/>
          <w:szCs w:val="20"/>
        </w:rPr>
        <w:t>mong other measures</w:t>
      </w:r>
      <w:r w:rsidR="000A7071" w:rsidRPr="00A24267">
        <w:rPr>
          <w:rFonts w:cstheme="minorHAnsi"/>
          <w:sz w:val="20"/>
          <w:szCs w:val="20"/>
        </w:rPr>
        <w:t>.</w:t>
      </w:r>
      <w:r w:rsidR="000A7071" w:rsidRPr="00A24267">
        <w:rPr>
          <w:rStyle w:val="FootnoteReference"/>
          <w:rFonts w:cstheme="minorHAnsi"/>
          <w:sz w:val="20"/>
          <w:szCs w:val="20"/>
        </w:rPr>
        <w:footnoteReference w:id="17"/>
      </w:r>
    </w:p>
    <w:p w14:paraId="63F84EF2" w14:textId="34EB8DBE" w:rsidR="00814A62" w:rsidRPr="00A24267" w:rsidRDefault="00814A62" w:rsidP="00977CA3">
      <w:pPr>
        <w:spacing w:after="0" w:line="240" w:lineRule="auto"/>
        <w:jc w:val="both"/>
        <w:rPr>
          <w:rFonts w:eastAsiaTheme="majorEastAsia" w:cstheme="minorHAnsi"/>
          <w:sz w:val="20"/>
          <w:szCs w:val="20"/>
        </w:rPr>
      </w:pPr>
    </w:p>
    <w:p w14:paraId="6B317919" w14:textId="3C8DCFF2" w:rsidR="00814A62" w:rsidRPr="00A24267" w:rsidRDefault="00115E69" w:rsidP="00977CA3">
      <w:pPr>
        <w:pStyle w:val="Heading3"/>
        <w:spacing w:before="0" w:line="240" w:lineRule="auto"/>
        <w:jc w:val="both"/>
        <w:rPr>
          <w:rFonts w:asciiTheme="minorHAnsi" w:hAnsiTheme="minorHAnsi" w:cstheme="minorHAnsi"/>
          <w:sz w:val="20"/>
          <w:szCs w:val="20"/>
        </w:rPr>
      </w:pPr>
      <w:bookmarkStart w:id="26" w:name="_Toc75438768"/>
      <w:r w:rsidRPr="00A24267">
        <w:rPr>
          <w:rFonts w:asciiTheme="minorHAnsi" w:hAnsiTheme="minorHAnsi" w:cstheme="minorHAnsi"/>
          <w:sz w:val="20"/>
          <w:szCs w:val="20"/>
        </w:rPr>
        <w:t>Economic Stability</w:t>
      </w:r>
      <w:bookmarkEnd w:id="26"/>
    </w:p>
    <w:p w14:paraId="63FF91D1" w14:textId="6226C2B3" w:rsidR="00814A62" w:rsidRPr="00A24267" w:rsidRDefault="00814A62" w:rsidP="00977CA3">
      <w:pPr>
        <w:spacing w:after="0" w:line="240" w:lineRule="auto"/>
        <w:jc w:val="both"/>
        <w:rPr>
          <w:rFonts w:cstheme="minorHAnsi"/>
          <w:sz w:val="20"/>
          <w:szCs w:val="20"/>
        </w:rPr>
      </w:pPr>
      <w:r w:rsidRPr="00A24267">
        <w:rPr>
          <w:rFonts w:cstheme="minorHAnsi"/>
          <w:sz w:val="20"/>
          <w:szCs w:val="20"/>
        </w:rPr>
        <w:t xml:space="preserve">The </w:t>
      </w:r>
      <w:r w:rsidR="00115E69" w:rsidRPr="00A24267">
        <w:rPr>
          <w:rFonts w:cstheme="minorHAnsi"/>
          <w:sz w:val="20"/>
          <w:szCs w:val="20"/>
        </w:rPr>
        <w:t>Economic Stability</w:t>
      </w:r>
      <w:r w:rsidRPr="00A24267">
        <w:rPr>
          <w:rFonts w:cstheme="minorHAnsi"/>
          <w:sz w:val="20"/>
          <w:szCs w:val="20"/>
        </w:rPr>
        <w:t xml:space="preserve"> concept aims to capture</w:t>
      </w:r>
      <w:r w:rsidR="00315236" w:rsidRPr="00A24267">
        <w:rPr>
          <w:rFonts w:cstheme="minorHAnsi"/>
          <w:sz w:val="20"/>
          <w:szCs w:val="20"/>
        </w:rPr>
        <w:t xml:space="preserve"> the solidity of countries’ </w:t>
      </w:r>
      <w:r w:rsidR="0011654A" w:rsidRPr="00A24267">
        <w:rPr>
          <w:rFonts w:cstheme="minorHAnsi"/>
          <w:sz w:val="20"/>
          <w:szCs w:val="20"/>
        </w:rPr>
        <w:t>financial</w:t>
      </w:r>
      <w:r w:rsidR="00315236" w:rsidRPr="00A24267">
        <w:rPr>
          <w:rFonts w:cstheme="minorHAnsi"/>
          <w:sz w:val="20"/>
          <w:szCs w:val="20"/>
        </w:rPr>
        <w:t xml:space="preserve"> circumstances and practices</w:t>
      </w:r>
      <w:r w:rsidRPr="00A24267">
        <w:rPr>
          <w:rFonts w:cstheme="minorHAnsi"/>
          <w:sz w:val="20"/>
          <w:szCs w:val="20"/>
        </w:rPr>
        <w:t>. It does this through the following indicator.</w:t>
      </w:r>
    </w:p>
    <w:p w14:paraId="5E89E1C1" w14:textId="77777777" w:rsidR="00814A62" w:rsidRPr="00A24267" w:rsidRDefault="00814A62" w:rsidP="00977CA3">
      <w:pPr>
        <w:spacing w:after="0" w:line="240" w:lineRule="auto"/>
        <w:jc w:val="both"/>
        <w:rPr>
          <w:rFonts w:eastAsiaTheme="majorEastAsia" w:cstheme="minorHAnsi"/>
          <w:sz w:val="20"/>
          <w:szCs w:val="20"/>
        </w:rPr>
      </w:pPr>
    </w:p>
    <w:p w14:paraId="6AA6995B" w14:textId="5D86C157" w:rsidR="00814A62" w:rsidRPr="00091001" w:rsidRDefault="00115E69" w:rsidP="00977CA3">
      <w:pPr>
        <w:spacing w:after="0" w:line="240" w:lineRule="auto"/>
        <w:jc w:val="both"/>
        <w:rPr>
          <w:rFonts w:eastAsiaTheme="majorEastAsia" w:cstheme="minorHAnsi"/>
          <w:b/>
          <w:i/>
          <w:sz w:val="20"/>
          <w:szCs w:val="20"/>
        </w:rPr>
      </w:pPr>
      <w:r w:rsidRPr="00091001">
        <w:rPr>
          <w:rFonts w:eastAsiaTheme="majorEastAsia" w:cstheme="minorHAnsi"/>
          <w:b/>
          <w:i/>
          <w:sz w:val="20"/>
          <w:szCs w:val="20"/>
        </w:rPr>
        <w:t>Credit Rating</w:t>
      </w:r>
    </w:p>
    <w:p w14:paraId="4CEAEA75" w14:textId="6A59E3F5" w:rsidR="00814A62" w:rsidRPr="00A24267" w:rsidRDefault="00315236" w:rsidP="00977CA3">
      <w:pPr>
        <w:spacing w:after="0" w:line="240" w:lineRule="auto"/>
        <w:jc w:val="both"/>
        <w:rPr>
          <w:rFonts w:cstheme="minorHAnsi"/>
          <w:sz w:val="20"/>
          <w:szCs w:val="20"/>
        </w:rPr>
      </w:pPr>
      <w:r w:rsidRPr="00A24267">
        <w:rPr>
          <w:rFonts w:cstheme="minorHAnsi"/>
          <w:sz w:val="20"/>
          <w:szCs w:val="20"/>
        </w:rPr>
        <w:t xml:space="preserve">This indicator consists of </w:t>
      </w:r>
      <w:r w:rsidR="0011654A" w:rsidRPr="00A24267">
        <w:rPr>
          <w:rFonts w:cstheme="minorHAnsi"/>
          <w:sz w:val="20"/>
          <w:szCs w:val="20"/>
        </w:rPr>
        <w:t xml:space="preserve">the </w:t>
      </w:r>
      <w:r w:rsidRPr="00A24267">
        <w:rPr>
          <w:rFonts w:cstheme="minorHAnsi"/>
          <w:sz w:val="20"/>
          <w:szCs w:val="20"/>
        </w:rPr>
        <w:t>S&amp;P Global Ratings, which</w:t>
      </w:r>
      <w:r w:rsidR="004336A3" w:rsidRPr="00A24267">
        <w:rPr>
          <w:rFonts w:cstheme="minorHAnsi"/>
          <w:sz w:val="20"/>
          <w:szCs w:val="20"/>
        </w:rPr>
        <w:t xml:space="preserve"> are fo</w:t>
      </w:r>
      <w:r w:rsidRPr="00A24267">
        <w:rPr>
          <w:rFonts w:cstheme="minorHAnsi"/>
          <w:sz w:val="20"/>
          <w:szCs w:val="20"/>
        </w:rPr>
        <w:t xml:space="preserve">rward looking opinions about a country issuer’s </w:t>
      </w:r>
      <w:r w:rsidR="004336A3" w:rsidRPr="00A24267">
        <w:rPr>
          <w:rFonts w:cstheme="minorHAnsi"/>
          <w:sz w:val="20"/>
          <w:szCs w:val="20"/>
        </w:rPr>
        <w:t>relative creditworthiness.</w:t>
      </w:r>
      <w:r w:rsidR="00FD2FFD" w:rsidRPr="00A24267">
        <w:rPr>
          <w:rStyle w:val="FootnoteReference"/>
          <w:rFonts w:cstheme="minorHAnsi"/>
          <w:sz w:val="20"/>
          <w:szCs w:val="20"/>
        </w:rPr>
        <w:footnoteReference w:id="18"/>
      </w:r>
    </w:p>
    <w:p w14:paraId="37C96CD5" w14:textId="77777777" w:rsidR="00115E69" w:rsidRPr="00A24267" w:rsidRDefault="00115E69" w:rsidP="00977CA3">
      <w:pPr>
        <w:spacing w:after="0" w:line="240" w:lineRule="auto"/>
        <w:jc w:val="both"/>
        <w:rPr>
          <w:rFonts w:eastAsiaTheme="majorEastAsia" w:cstheme="minorHAnsi"/>
          <w:sz w:val="20"/>
          <w:szCs w:val="20"/>
        </w:rPr>
      </w:pPr>
    </w:p>
    <w:p w14:paraId="35512F6E" w14:textId="4026F769" w:rsidR="00814A62" w:rsidRPr="00A24267" w:rsidRDefault="00115E69" w:rsidP="00977CA3">
      <w:pPr>
        <w:pStyle w:val="Heading3"/>
        <w:spacing w:before="0" w:line="240" w:lineRule="auto"/>
        <w:jc w:val="both"/>
        <w:rPr>
          <w:rFonts w:asciiTheme="minorHAnsi" w:hAnsiTheme="minorHAnsi" w:cstheme="minorHAnsi"/>
          <w:sz w:val="20"/>
          <w:szCs w:val="20"/>
        </w:rPr>
      </w:pPr>
      <w:bookmarkStart w:id="27" w:name="_Toc75438769"/>
      <w:r w:rsidRPr="00A24267">
        <w:rPr>
          <w:rFonts w:asciiTheme="minorHAnsi" w:hAnsiTheme="minorHAnsi" w:cstheme="minorHAnsi"/>
          <w:sz w:val="20"/>
          <w:szCs w:val="20"/>
        </w:rPr>
        <w:t>Digitalisation</w:t>
      </w:r>
      <w:bookmarkEnd w:id="27"/>
    </w:p>
    <w:p w14:paraId="0695656F" w14:textId="2BEDE40F" w:rsidR="00814A62" w:rsidRPr="00A24267" w:rsidRDefault="00814A62" w:rsidP="00977CA3">
      <w:pPr>
        <w:spacing w:after="0" w:line="240" w:lineRule="auto"/>
        <w:jc w:val="both"/>
        <w:rPr>
          <w:rFonts w:cstheme="minorHAnsi"/>
          <w:sz w:val="20"/>
          <w:szCs w:val="20"/>
        </w:rPr>
      </w:pPr>
      <w:r w:rsidRPr="00A24267">
        <w:rPr>
          <w:rFonts w:cstheme="minorHAnsi"/>
          <w:sz w:val="20"/>
          <w:szCs w:val="20"/>
        </w:rPr>
        <w:t xml:space="preserve">The </w:t>
      </w:r>
      <w:r w:rsidR="00115E69" w:rsidRPr="00A24267">
        <w:rPr>
          <w:rFonts w:cstheme="minorHAnsi"/>
          <w:sz w:val="20"/>
          <w:szCs w:val="20"/>
        </w:rPr>
        <w:t>Digitalisation</w:t>
      </w:r>
      <w:r w:rsidRPr="00A24267">
        <w:rPr>
          <w:rFonts w:cstheme="minorHAnsi"/>
          <w:sz w:val="20"/>
          <w:szCs w:val="20"/>
        </w:rPr>
        <w:t xml:space="preserve"> concept aims to capture</w:t>
      </w:r>
      <w:r w:rsidR="00315236" w:rsidRPr="00A24267">
        <w:rPr>
          <w:rFonts w:cstheme="minorHAnsi"/>
          <w:sz w:val="20"/>
          <w:szCs w:val="20"/>
        </w:rPr>
        <w:t xml:space="preserve"> the degree of adoption of digital technologies within a society</w:t>
      </w:r>
      <w:r w:rsidRPr="00A24267">
        <w:rPr>
          <w:rFonts w:cstheme="minorHAnsi"/>
          <w:sz w:val="20"/>
          <w:szCs w:val="20"/>
        </w:rPr>
        <w:t>. It does this through the following indicators.</w:t>
      </w:r>
    </w:p>
    <w:p w14:paraId="2C60F7F7" w14:textId="77777777" w:rsidR="00814A62" w:rsidRPr="00A24267" w:rsidRDefault="00814A62" w:rsidP="00977CA3">
      <w:pPr>
        <w:spacing w:after="0" w:line="240" w:lineRule="auto"/>
        <w:jc w:val="both"/>
        <w:rPr>
          <w:rFonts w:eastAsiaTheme="majorEastAsia" w:cstheme="minorHAnsi"/>
          <w:sz w:val="20"/>
          <w:szCs w:val="20"/>
        </w:rPr>
      </w:pPr>
    </w:p>
    <w:p w14:paraId="480C932D" w14:textId="3F1E0CDA" w:rsidR="00115E69" w:rsidRPr="00091001" w:rsidRDefault="00B11F4C" w:rsidP="00977CA3">
      <w:pPr>
        <w:spacing w:after="0" w:line="240" w:lineRule="auto"/>
        <w:jc w:val="both"/>
        <w:rPr>
          <w:rFonts w:eastAsiaTheme="majorEastAsia" w:cstheme="minorHAnsi"/>
          <w:b/>
          <w:i/>
          <w:sz w:val="20"/>
          <w:szCs w:val="20"/>
        </w:rPr>
      </w:pPr>
      <w:r w:rsidRPr="00091001">
        <w:rPr>
          <w:rFonts w:eastAsiaTheme="majorEastAsia" w:cstheme="minorHAnsi"/>
          <w:b/>
          <w:i/>
          <w:sz w:val="20"/>
          <w:szCs w:val="20"/>
        </w:rPr>
        <w:t>E-</w:t>
      </w:r>
      <w:r w:rsidR="00FD2FFD" w:rsidRPr="00091001">
        <w:rPr>
          <w:rFonts w:eastAsiaTheme="majorEastAsia" w:cstheme="minorHAnsi"/>
          <w:b/>
          <w:i/>
          <w:sz w:val="20"/>
          <w:szCs w:val="20"/>
        </w:rPr>
        <w:t>Government</w:t>
      </w:r>
      <w:r w:rsidR="00115E69" w:rsidRPr="00091001">
        <w:rPr>
          <w:rFonts w:eastAsiaTheme="majorEastAsia" w:cstheme="minorHAnsi"/>
          <w:b/>
          <w:i/>
          <w:sz w:val="20"/>
          <w:szCs w:val="20"/>
        </w:rPr>
        <w:t xml:space="preserve"> </w:t>
      </w:r>
      <w:r w:rsidRPr="00091001">
        <w:rPr>
          <w:rFonts w:eastAsiaTheme="majorEastAsia" w:cstheme="minorHAnsi"/>
          <w:b/>
          <w:i/>
          <w:sz w:val="20"/>
          <w:szCs w:val="20"/>
        </w:rPr>
        <w:t xml:space="preserve">Development Index: </w:t>
      </w:r>
      <w:r w:rsidR="00115E69" w:rsidRPr="00091001">
        <w:rPr>
          <w:rFonts w:eastAsiaTheme="majorEastAsia" w:cstheme="minorHAnsi"/>
          <w:b/>
          <w:i/>
          <w:sz w:val="20"/>
          <w:szCs w:val="20"/>
        </w:rPr>
        <w:t>Online Service</w:t>
      </w:r>
      <w:r w:rsidRPr="00091001">
        <w:rPr>
          <w:rFonts w:eastAsiaTheme="majorEastAsia" w:cstheme="minorHAnsi"/>
          <w:b/>
          <w:i/>
          <w:sz w:val="20"/>
          <w:szCs w:val="20"/>
        </w:rPr>
        <w:t xml:space="preserve"> Index</w:t>
      </w:r>
    </w:p>
    <w:p w14:paraId="354CA1A4" w14:textId="17109808" w:rsidR="00115E69" w:rsidRPr="00A24267" w:rsidRDefault="00FD2FFD" w:rsidP="00977CA3">
      <w:pPr>
        <w:spacing w:after="0" w:line="240" w:lineRule="auto"/>
        <w:jc w:val="both"/>
        <w:rPr>
          <w:rFonts w:eastAsiaTheme="majorEastAsia" w:cstheme="minorHAnsi"/>
          <w:sz w:val="20"/>
          <w:szCs w:val="20"/>
        </w:rPr>
      </w:pPr>
      <w:r w:rsidRPr="00A24267">
        <w:rPr>
          <w:rFonts w:cstheme="minorHAnsi"/>
          <w:sz w:val="20"/>
          <w:szCs w:val="20"/>
        </w:rPr>
        <w:t>T</w:t>
      </w:r>
      <w:r w:rsidR="00F35F55" w:rsidRPr="00A24267">
        <w:rPr>
          <w:rFonts w:cstheme="minorHAnsi"/>
          <w:sz w:val="20"/>
          <w:szCs w:val="20"/>
        </w:rPr>
        <w:t xml:space="preserve">his indicator draws on United Nations’ measures of </w:t>
      </w:r>
      <w:r w:rsidRPr="00A24267">
        <w:rPr>
          <w:rFonts w:cstheme="minorHAnsi"/>
          <w:sz w:val="20"/>
          <w:szCs w:val="20"/>
        </w:rPr>
        <w:t>a government’s capability and willingness to provide services and communicate with its citizens electronically.</w:t>
      </w:r>
      <w:r w:rsidRPr="00A24267">
        <w:rPr>
          <w:rStyle w:val="FootnoteReference"/>
          <w:rFonts w:cstheme="minorHAnsi"/>
          <w:sz w:val="20"/>
          <w:szCs w:val="20"/>
        </w:rPr>
        <w:footnoteReference w:id="19"/>
      </w:r>
    </w:p>
    <w:p w14:paraId="103B846F" w14:textId="77777777" w:rsidR="00115E69" w:rsidRPr="00A24267" w:rsidRDefault="00115E69" w:rsidP="00977CA3">
      <w:pPr>
        <w:spacing w:after="0" w:line="240" w:lineRule="auto"/>
        <w:jc w:val="both"/>
        <w:rPr>
          <w:rFonts w:eastAsiaTheme="majorEastAsia" w:cstheme="minorHAnsi"/>
          <w:i/>
          <w:sz w:val="20"/>
          <w:szCs w:val="20"/>
        </w:rPr>
      </w:pPr>
    </w:p>
    <w:p w14:paraId="25770E40" w14:textId="57E1E5D8" w:rsidR="00115E69" w:rsidRPr="00091001" w:rsidRDefault="00115E69" w:rsidP="00977CA3">
      <w:pPr>
        <w:spacing w:after="0" w:line="240" w:lineRule="auto"/>
        <w:jc w:val="both"/>
        <w:rPr>
          <w:rFonts w:eastAsiaTheme="majorEastAsia" w:cstheme="minorHAnsi"/>
          <w:b/>
          <w:i/>
          <w:sz w:val="20"/>
          <w:szCs w:val="20"/>
        </w:rPr>
      </w:pPr>
      <w:r w:rsidRPr="00091001">
        <w:rPr>
          <w:rFonts w:eastAsiaTheme="majorEastAsia" w:cstheme="minorHAnsi"/>
          <w:b/>
          <w:i/>
          <w:sz w:val="20"/>
          <w:szCs w:val="20"/>
        </w:rPr>
        <w:t>Global Cybersecurity Index</w:t>
      </w:r>
    </w:p>
    <w:p w14:paraId="7DBC4B51" w14:textId="27A5CDA0" w:rsidR="00115E69" w:rsidRPr="00A24267" w:rsidRDefault="00B11F4C" w:rsidP="00977CA3">
      <w:pPr>
        <w:spacing w:after="0" w:line="240" w:lineRule="auto"/>
        <w:jc w:val="both"/>
        <w:rPr>
          <w:rFonts w:cstheme="minorHAnsi"/>
          <w:sz w:val="20"/>
          <w:szCs w:val="20"/>
        </w:rPr>
      </w:pPr>
      <w:r w:rsidRPr="00A24267">
        <w:rPr>
          <w:rFonts w:cstheme="minorHAnsi"/>
          <w:sz w:val="20"/>
          <w:szCs w:val="20"/>
        </w:rPr>
        <w:t>Th</w:t>
      </w:r>
      <w:r w:rsidR="00F35F55" w:rsidRPr="00A24267">
        <w:rPr>
          <w:rFonts w:cstheme="minorHAnsi"/>
          <w:sz w:val="20"/>
          <w:szCs w:val="20"/>
        </w:rPr>
        <w:t xml:space="preserve">is indicator consists the International Telecommunication Union’s </w:t>
      </w:r>
      <w:r w:rsidRPr="00A24267">
        <w:rPr>
          <w:rFonts w:cstheme="minorHAnsi"/>
          <w:sz w:val="20"/>
          <w:szCs w:val="20"/>
        </w:rPr>
        <w:t>G</w:t>
      </w:r>
      <w:r w:rsidR="00F35F55" w:rsidRPr="00A24267">
        <w:rPr>
          <w:rFonts w:cstheme="minorHAnsi"/>
          <w:sz w:val="20"/>
          <w:szCs w:val="20"/>
        </w:rPr>
        <w:t xml:space="preserve">lobal Cybersecurity Index (GCI), which </w:t>
      </w:r>
      <w:r w:rsidRPr="00A24267">
        <w:rPr>
          <w:rFonts w:cstheme="minorHAnsi"/>
          <w:sz w:val="20"/>
          <w:szCs w:val="20"/>
        </w:rPr>
        <w:t>measures the commitment of countries to cybersecurity at a global level. As cybersecurity has a broad field of application, cutting across many industries and various sectors, each country’s level of development or engagement is assessed along five pillars – (i) Legal Measures, (ii) Technical Measures, (iii) Organizational Measures, (iv) Capacity Building, and (v) Cooperation – and then aggregated into an overall score.</w:t>
      </w:r>
      <w:r w:rsidRPr="00A24267">
        <w:rPr>
          <w:rStyle w:val="FootnoteReference"/>
          <w:rFonts w:cstheme="minorHAnsi"/>
          <w:sz w:val="20"/>
          <w:szCs w:val="20"/>
        </w:rPr>
        <w:footnoteReference w:id="20"/>
      </w:r>
    </w:p>
    <w:p w14:paraId="61049CEB" w14:textId="77777777" w:rsidR="00115E69" w:rsidRPr="00A24267" w:rsidRDefault="00115E69" w:rsidP="00977CA3">
      <w:pPr>
        <w:spacing w:after="0" w:line="240" w:lineRule="auto"/>
        <w:jc w:val="both"/>
        <w:rPr>
          <w:rFonts w:eastAsiaTheme="majorEastAsia" w:cstheme="minorHAnsi"/>
          <w:i/>
          <w:sz w:val="20"/>
          <w:szCs w:val="20"/>
        </w:rPr>
      </w:pPr>
    </w:p>
    <w:p w14:paraId="636A6C1D" w14:textId="1B632840" w:rsidR="00115E69" w:rsidRPr="00091001" w:rsidRDefault="00B11F4C" w:rsidP="00977CA3">
      <w:pPr>
        <w:spacing w:after="0" w:line="240" w:lineRule="auto"/>
        <w:jc w:val="both"/>
        <w:rPr>
          <w:rFonts w:eastAsiaTheme="majorEastAsia" w:cstheme="minorHAnsi"/>
          <w:b/>
          <w:i/>
          <w:sz w:val="20"/>
          <w:szCs w:val="20"/>
        </w:rPr>
      </w:pPr>
      <w:r w:rsidRPr="00091001">
        <w:rPr>
          <w:rFonts w:eastAsiaTheme="majorEastAsia" w:cstheme="minorHAnsi"/>
          <w:b/>
          <w:i/>
          <w:sz w:val="20"/>
          <w:szCs w:val="20"/>
        </w:rPr>
        <w:t>E-P</w:t>
      </w:r>
      <w:r w:rsidR="00115E69" w:rsidRPr="00091001">
        <w:rPr>
          <w:rFonts w:eastAsiaTheme="majorEastAsia" w:cstheme="minorHAnsi"/>
          <w:b/>
          <w:i/>
          <w:sz w:val="20"/>
          <w:szCs w:val="20"/>
        </w:rPr>
        <w:t>articipation</w:t>
      </w:r>
      <w:r w:rsidRPr="00091001">
        <w:rPr>
          <w:rFonts w:eastAsiaTheme="majorEastAsia" w:cstheme="minorHAnsi"/>
          <w:b/>
          <w:i/>
          <w:sz w:val="20"/>
          <w:szCs w:val="20"/>
        </w:rPr>
        <w:t xml:space="preserve"> Index</w:t>
      </w:r>
    </w:p>
    <w:p w14:paraId="460BCE01" w14:textId="158B1D80" w:rsidR="00B11F4C" w:rsidRPr="00A24267" w:rsidRDefault="00B11F4C" w:rsidP="00977CA3">
      <w:pPr>
        <w:spacing w:after="0" w:line="240" w:lineRule="auto"/>
        <w:jc w:val="both"/>
        <w:rPr>
          <w:rFonts w:cstheme="minorHAnsi"/>
          <w:sz w:val="20"/>
          <w:szCs w:val="20"/>
        </w:rPr>
      </w:pPr>
      <w:r w:rsidRPr="00A24267">
        <w:rPr>
          <w:rFonts w:cstheme="minorHAnsi"/>
          <w:sz w:val="20"/>
          <w:szCs w:val="20"/>
        </w:rPr>
        <w:t>Th</w:t>
      </w:r>
      <w:r w:rsidR="00F35F55" w:rsidRPr="00A24267">
        <w:rPr>
          <w:rFonts w:cstheme="minorHAnsi"/>
          <w:sz w:val="20"/>
          <w:szCs w:val="20"/>
        </w:rPr>
        <w:t>is indicator consists of the E-Participation I</w:t>
      </w:r>
      <w:r w:rsidRPr="00A24267">
        <w:rPr>
          <w:rFonts w:cstheme="minorHAnsi"/>
          <w:sz w:val="20"/>
          <w:szCs w:val="20"/>
        </w:rPr>
        <w:t>ndex (EPI)</w:t>
      </w:r>
      <w:r w:rsidR="00F35F55" w:rsidRPr="00A24267">
        <w:rPr>
          <w:rFonts w:cstheme="minorHAnsi"/>
          <w:sz w:val="20"/>
          <w:szCs w:val="20"/>
        </w:rPr>
        <w:t xml:space="preserve">, </w:t>
      </w:r>
      <w:r w:rsidRPr="00A24267">
        <w:rPr>
          <w:rFonts w:cstheme="minorHAnsi"/>
          <w:sz w:val="20"/>
          <w:szCs w:val="20"/>
        </w:rPr>
        <w:t xml:space="preserve">a supplementary index to the </w:t>
      </w:r>
      <w:r w:rsidR="00F35F55" w:rsidRPr="00A24267">
        <w:rPr>
          <w:rFonts w:cstheme="minorHAnsi"/>
          <w:sz w:val="20"/>
          <w:szCs w:val="20"/>
        </w:rPr>
        <w:t xml:space="preserve">United Nations’ </w:t>
      </w:r>
      <w:r w:rsidRPr="00A24267">
        <w:rPr>
          <w:rFonts w:cstheme="minorHAnsi"/>
          <w:sz w:val="20"/>
          <w:szCs w:val="20"/>
        </w:rPr>
        <w:t>E-Government Survey</w:t>
      </w:r>
      <w:r w:rsidR="00F35F55" w:rsidRPr="00A24267">
        <w:rPr>
          <w:rFonts w:cstheme="minorHAnsi"/>
          <w:sz w:val="20"/>
          <w:szCs w:val="20"/>
        </w:rPr>
        <w:t>. The E-Government Survey</w:t>
      </w:r>
      <w:r w:rsidRPr="00A24267">
        <w:rPr>
          <w:rFonts w:cstheme="minorHAnsi"/>
          <w:sz w:val="20"/>
          <w:szCs w:val="20"/>
        </w:rPr>
        <w:t xml:space="preserve"> focuses on the use of online services to facilitate provision of information by governments to citizens (“e-information sharing”), interaction with stakeholders (“e-consultation”) and engagement in decision-making processes (“e-decision making”).</w:t>
      </w:r>
      <w:r w:rsidRPr="00A24267">
        <w:rPr>
          <w:rStyle w:val="FootnoteReference"/>
          <w:rFonts w:cstheme="minorHAnsi"/>
          <w:sz w:val="20"/>
          <w:szCs w:val="20"/>
        </w:rPr>
        <w:footnoteReference w:id="21"/>
      </w:r>
    </w:p>
    <w:p w14:paraId="19200CA8" w14:textId="5BA1C946" w:rsidR="00115E69" w:rsidRDefault="00115E69" w:rsidP="00977CA3">
      <w:pPr>
        <w:spacing w:after="0" w:line="240" w:lineRule="auto"/>
        <w:jc w:val="both"/>
        <w:rPr>
          <w:rFonts w:eastAsiaTheme="majorEastAsia" w:cstheme="minorHAnsi"/>
          <w:i/>
          <w:sz w:val="20"/>
          <w:szCs w:val="20"/>
        </w:rPr>
      </w:pPr>
    </w:p>
    <w:p w14:paraId="68B37AB0" w14:textId="4876A03B" w:rsidR="00806FF9" w:rsidRDefault="00806FF9" w:rsidP="00977CA3">
      <w:pPr>
        <w:spacing w:after="0" w:line="240" w:lineRule="auto"/>
        <w:jc w:val="both"/>
        <w:rPr>
          <w:rFonts w:eastAsiaTheme="majorEastAsia" w:cstheme="minorHAnsi"/>
          <w:i/>
          <w:sz w:val="20"/>
          <w:szCs w:val="20"/>
        </w:rPr>
      </w:pPr>
    </w:p>
    <w:p w14:paraId="09EDDFAA" w14:textId="05AA2346" w:rsidR="00806FF9" w:rsidRDefault="00806FF9" w:rsidP="00977CA3">
      <w:pPr>
        <w:spacing w:after="0" w:line="240" w:lineRule="auto"/>
        <w:jc w:val="both"/>
        <w:rPr>
          <w:rFonts w:eastAsiaTheme="majorEastAsia" w:cstheme="minorHAnsi"/>
          <w:i/>
          <w:sz w:val="20"/>
          <w:szCs w:val="20"/>
        </w:rPr>
      </w:pPr>
    </w:p>
    <w:p w14:paraId="6B17F5D7" w14:textId="113F28E7" w:rsidR="00806FF9" w:rsidRDefault="00806FF9" w:rsidP="00977CA3">
      <w:pPr>
        <w:spacing w:after="0" w:line="240" w:lineRule="auto"/>
        <w:jc w:val="both"/>
        <w:rPr>
          <w:rFonts w:eastAsiaTheme="majorEastAsia" w:cstheme="minorHAnsi"/>
          <w:i/>
          <w:sz w:val="20"/>
          <w:szCs w:val="20"/>
        </w:rPr>
      </w:pPr>
    </w:p>
    <w:p w14:paraId="3F10D9B2" w14:textId="77777777" w:rsidR="00806FF9" w:rsidRPr="00A24267" w:rsidRDefault="00806FF9" w:rsidP="00977CA3">
      <w:pPr>
        <w:spacing w:after="0" w:line="240" w:lineRule="auto"/>
        <w:jc w:val="both"/>
        <w:rPr>
          <w:rFonts w:eastAsiaTheme="majorEastAsia" w:cstheme="minorHAnsi"/>
          <w:i/>
          <w:sz w:val="20"/>
          <w:szCs w:val="20"/>
        </w:rPr>
      </w:pPr>
    </w:p>
    <w:p w14:paraId="04C27D97" w14:textId="50B1A2DE" w:rsidR="00115E69" w:rsidRPr="00091001" w:rsidRDefault="00115E69" w:rsidP="00977CA3">
      <w:pPr>
        <w:spacing w:after="0" w:line="240" w:lineRule="auto"/>
        <w:jc w:val="both"/>
        <w:rPr>
          <w:rFonts w:eastAsiaTheme="majorEastAsia" w:cstheme="minorHAnsi"/>
          <w:b/>
          <w:i/>
          <w:sz w:val="20"/>
          <w:szCs w:val="20"/>
        </w:rPr>
      </w:pPr>
      <w:r w:rsidRPr="00091001">
        <w:rPr>
          <w:rFonts w:eastAsiaTheme="majorEastAsia" w:cstheme="minorHAnsi"/>
          <w:b/>
          <w:i/>
          <w:sz w:val="20"/>
          <w:szCs w:val="20"/>
        </w:rPr>
        <w:t xml:space="preserve">Use of </w:t>
      </w:r>
      <w:r w:rsidR="003E11EE">
        <w:rPr>
          <w:rFonts w:eastAsiaTheme="majorEastAsia" w:cstheme="minorHAnsi"/>
          <w:b/>
          <w:i/>
          <w:sz w:val="20"/>
          <w:szCs w:val="20"/>
        </w:rPr>
        <w:t>S</w:t>
      </w:r>
      <w:r w:rsidRPr="00091001">
        <w:rPr>
          <w:rFonts w:eastAsiaTheme="majorEastAsia" w:cstheme="minorHAnsi"/>
          <w:b/>
          <w:i/>
          <w:sz w:val="20"/>
          <w:szCs w:val="20"/>
        </w:rPr>
        <w:t xml:space="preserve">ocial </w:t>
      </w:r>
      <w:r w:rsidR="003E11EE">
        <w:rPr>
          <w:rFonts w:eastAsiaTheme="majorEastAsia" w:cstheme="minorHAnsi"/>
          <w:b/>
          <w:i/>
          <w:sz w:val="20"/>
          <w:szCs w:val="20"/>
        </w:rPr>
        <w:t>M</w:t>
      </w:r>
      <w:r w:rsidRPr="00091001">
        <w:rPr>
          <w:rFonts w:eastAsiaTheme="majorEastAsia" w:cstheme="minorHAnsi"/>
          <w:b/>
          <w:i/>
          <w:sz w:val="20"/>
          <w:szCs w:val="20"/>
        </w:rPr>
        <w:t xml:space="preserve">edia to </w:t>
      </w:r>
      <w:r w:rsidR="003E11EE">
        <w:rPr>
          <w:rFonts w:eastAsiaTheme="majorEastAsia" w:cstheme="minorHAnsi"/>
          <w:b/>
          <w:i/>
          <w:sz w:val="20"/>
          <w:szCs w:val="20"/>
        </w:rPr>
        <w:t>O</w:t>
      </w:r>
      <w:r w:rsidRPr="00091001">
        <w:rPr>
          <w:rFonts w:eastAsiaTheme="majorEastAsia" w:cstheme="minorHAnsi"/>
          <w:b/>
          <w:i/>
          <w:sz w:val="20"/>
          <w:szCs w:val="20"/>
        </w:rPr>
        <w:t>rgani</w:t>
      </w:r>
      <w:r w:rsidR="003E11EE">
        <w:rPr>
          <w:rFonts w:eastAsiaTheme="majorEastAsia" w:cstheme="minorHAnsi"/>
          <w:b/>
          <w:i/>
          <w:sz w:val="20"/>
          <w:szCs w:val="20"/>
        </w:rPr>
        <w:t>s</w:t>
      </w:r>
      <w:r w:rsidRPr="00091001">
        <w:rPr>
          <w:rFonts w:eastAsiaTheme="majorEastAsia" w:cstheme="minorHAnsi"/>
          <w:b/>
          <w:i/>
          <w:sz w:val="20"/>
          <w:szCs w:val="20"/>
        </w:rPr>
        <w:t xml:space="preserve">e </w:t>
      </w:r>
      <w:r w:rsidR="003E11EE">
        <w:rPr>
          <w:rFonts w:eastAsiaTheme="majorEastAsia" w:cstheme="minorHAnsi"/>
          <w:b/>
          <w:i/>
          <w:sz w:val="20"/>
          <w:szCs w:val="20"/>
        </w:rPr>
        <w:t>O</w:t>
      </w:r>
      <w:r w:rsidRPr="00091001">
        <w:rPr>
          <w:rFonts w:eastAsiaTheme="majorEastAsia" w:cstheme="minorHAnsi"/>
          <w:b/>
          <w:i/>
          <w:sz w:val="20"/>
          <w:szCs w:val="20"/>
        </w:rPr>
        <w:t xml:space="preserve">ffline </w:t>
      </w:r>
      <w:r w:rsidR="003E11EE">
        <w:rPr>
          <w:rFonts w:eastAsiaTheme="majorEastAsia" w:cstheme="minorHAnsi"/>
          <w:b/>
          <w:i/>
          <w:sz w:val="20"/>
          <w:szCs w:val="20"/>
        </w:rPr>
        <w:t>V</w:t>
      </w:r>
      <w:r w:rsidRPr="00091001">
        <w:rPr>
          <w:rFonts w:eastAsiaTheme="majorEastAsia" w:cstheme="minorHAnsi"/>
          <w:b/>
          <w:i/>
          <w:sz w:val="20"/>
          <w:szCs w:val="20"/>
        </w:rPr>
        <w:t>iolence</w:t>
      </w:r>
    </w:p>
    <w:p w14:paraId="4EA7B5B7" w14:textId="550889FE" w:rsidR="00115E69" w:rsidRPr="00A24267" w:rsidRDefault="00C302A0" w:rsidP="00977CA3">
      <w:pPr>
        <w:spacing w:after="0" w:line="240" w:lineRule="auto"/>
        <w:jc w:val="both"/>
        <w:rPr>
          <w:rFonts w:eastAsiaTheme="majorEastAsia" w:cstheme="minorHAnsi"/>
          <w:sz w:val="20"/>
          <w:szCs w:val="20"/>
        </w:rPr>
      </w:pPr>
      <w:r w:rsidRPr="00A24267">
        <w:rPr>
          <w:rFonts w:eastAsiaTheme="majorEastAsia" w:cstheme="minorHAnsi"/>
          <w:sz w:val="20"/>
          <w:szCs w:val="20"/>
        </w:rPr>
        <w:t xml:space="preserve">This indicator draws on responses to </w:t>
      </w:r>
      <w:r w:rsidR="00F35F55" w:rsidRPr="00A24267">
        <w:rPr>
          <w:rFonts w:eastAsiaTheme="majorEastAsia" w:cstheme="minorHAnsi"/>
          <w:sz w:val="20"/>
          <w:szCs w:val="20"/>
        </w:rPr>
        <w:t>Varieties of Democracy’s</w:t>
      </w:r>
      <w:r w:rsidRPr="00A24267">
        <w:rPr>
          <w:rFonts w:eastAsiaTheme="majorEastAsia" w:cstheme="minorHAnsi"/>
          <w:sz w:val="20"/>
          <w:szCs w:val="20"/>
        </w:rPr>
        <w:t xml:space="preserve"> survey question “</w:t>
      </w:r>
      <w:r w:rsidRPr="00A24267">
        <w:rPr>
          <w:rFonts w:cstheme="minorHAnsi"/>
          <w:sz w:val="20"/>
          <w:szCs w:val="20"/>
        </w:rPr>
        <w:t>How often do people use social media to organize offline violence?”, to which respondents can</w:t>
      </w:r>
      <w:r w:rsidR="00A762D7" w:rsidRPr="00A24267">
        <w:rPr>
          <w:rFonts w:cstheme="minorHAnsi"/>
          <w:sz w:val="20"/>
          <w:szCs w:val="20"/>
        </w:rPr>
        <w:t xml:space="preserve"> reply that such cases occur “frequently”, “sometimes” or “never” in a given country.</w:t>
      </w:r>
      <w:r w:rsidR="00A762D7" w:rsidRPr="00A24267">
        <w:rPr>
          <w:rStyle w:val="FootnoteReference"/>
          <w:rFonts w:cstheme="minorHAnsi"/>
          <w:sz w:val="20"/>
          <w:szCs w:val="20"/>
        </w:rPr>
        <w:footnoteReference w:id="22"/>
      </w:r>
    </w:p>
    <w:p w14:paraId="131BA78E" w14:textId="77777777" w:rsidR="00115E69" w:rsidRPr="00A24267" w:rsidRDefault="00115E69" w:rsidP="00977CA3">
      <w:pPr>
        <w:spacing w:after="0" w:line="240" w:lineRule="auto"/>
        <w:jc w:val="both"/>
        <w:rPr>
          <w:rFonts w:eastAsiaTheme="majorEastAsia" w:cstheme="minorHAnsi"/>
          <w:i/>
          <w:sz w:val="20"/>
          <w:szCs w:val="20"/>
        </w:rPr>
      </w:pPr>
    </w:p>
    <w:p w14:paraId="3458B04B" w14:textId="53798172" w:rsidR="00115E69" w:rsidRPr="00091001" w:rsidRDefault="00115E69" w:rsidP="00977CA3">
      <w:pPr>
        <w:spacing w:after="0" w:line="240" w:lineRule="auto"/>
        <w:jc w:val="both"/>
        <w:rPr>
          <w:rFonts w:eastAsiaTheme="majorEastAsia" w:cstheme="minorHAnsi"/>
          <w:b/>
          <w:i/>
          <w:sz w:val="20"/>
          <w:szCs w:val="20"/>
        </w:rPr>
      </w:pPr>
      <w:r w:rsidRPr="00091001">
        <w:rPr>
          <w:rFonts w:eastAsiaTheme="majorEastAsia" w:cstheme="minorHAnsi"/>
          <w:b/>
          <w:i/>
          <w:sz w:val="20"/>
          <w:szCs w:val="20"/>
        </w:rPr>
        <w:t xml:space="preserve">Government </w:t>
      </w:r>
      <w:r w:rsidR="003E11EE">
        <w:rPr>
          <w:rFonts w:eastAsiaTheme="majorEastAsia" w:cstheme="minorHAnsi"/>
          <w:b/>
          <w:i/>
          <w:sz w:val="20"/>
          <w:szCs w:val="20"/>
        </w:rPr>
        <w:t>S</w:t>
      </w:r>
      <w:r w:rsidRPr="00091001">
        <w:rPr>
          <w:rFonts w:eastAsiaTheme="majorEastAsia" w:cstheme="minorHAnsi"/>
          <w:b/>
          <w:i/>
          <w:sz w:val="20"/>
          <w:szCs w:val="20"/>
        </w:rPr>
        <w:t xml:space="preserve">ocial </w:t>
      </w:r>
      <w:r w:rsidR="003E11EE">
        <w:rPr>
          <w:rFonts w:eastAsiaTheme="majorEastAsia" w:cstheme="minorHAnsi"/>
          <w:b/>
          <w:i/>
          <w:sz w:val="20"/>
          <w:szCs w:val="20"/>
        </w:rPr>
        <w:t>M</w:t>
      </w:r>
      <w:r w:rsidRPr="00091001">
        <w:rPr>
          <w:rFonts w:eastAsiaTheme="majorEastAsia" w:cstheme="minorHAnsi"/>
          <w:b/>
          <w:i/>
          <w:sz w:val="20"/>
          <w:szCs w:val="20"/>
        </w:rPr>
        <w:t xml:space="preserve">edia </w:t>
      </w:r>
      <w:r w:rsidR="003E11EE">
        <w:rPr>
          <w:rFonts w:eastAsiaTheme="majorEastAsia" w:cstheme="minorHAnsi"/>
          <w:b/>
          <w:i/>
          <w:sz w:val="20"/>
          <w:szCs w:val="20"/>
        </w:rPr>
        <w:t>M</w:t>
      </w:r>
      <w:r w:rsidRPr="00091001">
        <w:rPr>
          <w:rFonts w:eastAsiaTheme="majorEastAsia" w:cstheme="minorHAnsi"/>
          <w:b/>
          <w:i/>
          <w:sz w:val="20"/>
          <w:szCs w:val="20"/>
        </w:rPr>
        <w:t>onitoring</w:t>
      </w:r>
    </w:p>
    <w:p w14:paraId="0A0A8DAA" w14:textId="5D02890C" w:rsidR="00A762D7" w:rsidRPr="00A24267" w:rsidRDefault="00A762D7" w:rsidP="00977CA3">
      <w:pPr>
        <w:spacing w:after="0" w:line="240" w:lineRule="auto"/>
        <w:jc w:val="both"/>
        <w:rPr>
          <w:rFonts w:eastAsiaTheme="majorEastAsia" w:cstheme="minorHAnsi"/>
          <w:sz w:val="20"/>
          <w:szCs w:val="20"/>
        </w:rPr>
      </w:pPr>
      <w:r w:rsidRPr="00A24267">
        <w:rPr>
          <w:rFonts w:eastAsiaTheme="majorEastAsia" w:cstheme="minorHAnsi"/>
          <w:sz w:val="20"/>
          <w:szCs w:val="20"/>
        </w:rPr>
        <w:t xml:space="preserve">This indicator draws on responses to </w:t>
      </w:r>
      <w:r w:rsidR="00F35F55" w:rsidRPr="00A24267">
        <w:rPr>
          <w:rFonts w:eastAsiaTheme="majorEastAsia" w:cstheme="minorHAnsi"/>
          <w:sz w:val="20"/>
          <w:szCs w:val="20"/>
        </w:rPr>
        <w:t xml:space="preserve">Varieties of Democracy’s </w:t>
      </w:r>
      <w:r w:rsidRPr="00A24267">
        <w:rPr>
          <w:rFonts w:eastAsiaTheme="majorEastAsia" w:cstheme="minorHAnsi"/>
          <w:sz w:val="20"/>
          <w:szCs w:val="20"/>
        </w:rPr>
        <w:t>survey question “</w:t>
      </w:r>
      <w:r w:rsidRPr="00A24267">
        <w:rPr>
          <w:rFonts w:cstheme="minorHAnsi"/>
          <w:sz w:val="20"/>
          <w:szCs w:val="20"/>
        </w:rPr>
        <w:t xml:space="preserve">How comprehensive is the surveillance of political content in social media by the government or its agents?”, to which respondents </w:t>
      </w:r>
      <w:r w:rsidR="0011654A" w:rsidRPr="00A24267">
        <w:rPr>
          <w:rFonts w:cstheme="minorHAnsi"/>
          <w:sz w:val="20"/>
          <w:szCs w:val="20"/>
        </w:rPr>
        <w:t xml:space="preserve">in different countries </w:t>
      </w:r>
      <w:r w:rsidRPr="00A24267">
        <w:rPr>
          <w:rFonts w:cstheme="minorHAnsi"/>
          <w:sz w:val="20"/>
          <w:szCs w:val="20"/>
        </w:rPr>
        <w:t xml:space="preserve">can reply that such surveillance is “extremely comprehensive”, “mostly comprehensive”, “somewhat comprehensive”, </w:t>
      </w:r>
      <w:r w:rsidR="00F35F55" w:rsidRPr="00A24267">
        <w:rPr>
          <w:rFonts w:cstheme="minorHAnsi"/>
          <w:sz w:val="20"/>
          <w:szCs w:val="20"/>
        </w:rPr>
        <w:t>“</w:t>
      </w:r>
      <w:r w:rsidRPr="00A24267">
        <w:rPr>
          <w:rFonts w:cstheme="minorHAnsi"/>
          <w:sz w:val="20"/>
          <w:szCs w:val="20"/>
        </w:rPr>
        <w:t>limited” or that such surveillance happens “not at all, or almost not at all”.</w:t>
      </w:r>
      <w:r w:rsidRPr="00A24267">
        <w:rPr>
          <w:rStyle w:val="FootnoteReference"/>
          <w:rFonts w:cstheme="minorHAnsi"/>
          <w:sz w:val="20"/>
          <w:szCs w:val="20"/>
        </w:rPr>
        <w:footnoteReference w:id="23"/>
      </w:r>
    </w:p>
    <w:p w14:paraId="077950AB" w14:textId="77777777" w:rsidR="00115E69" w:rsidRPr="00A24267" w:rsidRDefault="00115E69" w:rsidP="00977CA3">
      <w:pPr>
        <w:spacing w:after="0" w:line="240" w:lineRule="auto"/>
        <w:jc w:val="both"/>
        <w:rPr>
          <w:rFonts w:eastAsiaTheme="majorEastAsia" w:cstheme="minorHAnsi"/>
          <w:i/>
          <w:sz w:val="20"/>
          <w:szCs w:val="20"/>
        </w:rPr>
      </w:pPr>
    </w:p>
    <w:p w14:paraId="7B03D2FA" w14:textId="541857D5" w:rsidR="00115E69" w:rsidRPr="00091001" w:rsidRDefault="00115E69" w:rsidP="00977CA3">
      <w:pPr>
        <w:spacing w:after="0" w:line="240" w:lineRule="auto"/>
        <w:jc w:val="both"/>
        <w:rPr>
          <w:rFonts w:eastAsiaTheme="majorEastAsia" w:cstheme="minorHAnsi"/>
          <w:b/>
          <w:i/>
          <w:sz w:val="20"/>
          <w:szCs w:val="20"/>
        </w:rPr>
      </w:pPr>
      <w:r w:rsidRPr="00091001">
        <w:rPr>
          <w:rFonts w:eastAsiaTheme="majorEastAsia" w:cstheme="minorHAnsi"/>
          <w:b/>
          <w:i/>
          <w:sz w:val="20"/>
          <w:szCs w:val="20"/>
        </w:rPr>
        <w:t>Digital Adoption Index</w:t>
      </w:r>
    </w:p>
    <w:p w14:paraId="1A7C8042" w14:textId="0E3348CF" w:rsidR="00814A62" w:rsidRPr="00A24267" w:rsidRDefault="00115E69" w:rsidP="00977CA3">
      <w:pPr>
        <w:spacing w:after="0" w:line="240" w:lineRule="auto"/>
        <w:jc w:val="both"/>
        <w:rPr>
          <w:rFonts w:eastAsiaTheme="majorEastAsia" w:cstheme="minorHAnsi"/>
          <w:sz w:val="20"/>
          <w:szCs w:val="20"/>
        </w:rPr>
      </w:pPr>
      <w:r w:rsidRPr="00A24267">
        <w:rPr>
          <w:rFonts w:eastAsiaTheme="majorEastAsia" w:cstheme="minorHAnsi"/>
          <w:sz w:val="20"/>
          <w:szCs w:val="20"/>
        </w:rPr>
        <w:t>T</w:t>
      </w:r>
      <w:r w:rsidR="00F35F55" w:rsidRPr="00A24267">
        <w:rPr>
          <w:rFonts w:eastAsiaTheme="majorEastAsia" w:cstheme="minorHAnsi"/>
          <w:sz w:val="20"/>
          <w:szCs w:val="20"/>
        </w:rPr>
        <w:t xml:space="preserve">his indicator consists of the World Bank’s </w:t>
      </w:r>
      <w:r w:rsidRPr="00A24267">
        <w:rPr>
          <w:rFonts w:eastAsiaTheme="majorEastAsia" w:cstheme="minorHAnsi"/>
          <w:sz w:val="20"/>
          <w:szCs w:val="20"/>
        </w:rPr>
        <w:t>Digital Adoption Index (DAI)</w:t>
      </w:r>
      <w:r w:rsidR="00F35F55" w:rsidRPr="00A24267">
        <w:rPr>
          <w:rFonts w:eastAsiaTheme="majorEastAsia" w:cstheme="minorHAnsi"/>
          <w:sz w:val="20"/>
          <w:szCs w:val="20"/>
        </w:rPr>
        <w:t>, which</w:t>
      </w:r>
      <w:r w:rsidRPr="00A24267">
        <w:rPr>
          <w:rFonts w:eastAsiaTheme="majorEastAsia" w:cstheme="minorHAnsi"/>
          <w:sz w:val="20"/>
          <w:szCs w:val="20"/>
        </w:rPr>
        <w:t xml:space="preserve"> is a composit</w:t>
      </w:r>
      <w:r w:rsidR="0011654A" w:rsidRPr="00A24267">
        <w:rPr>
          <w:rFonts w:eastAsiaTheme="majorEastAsia" w:cstheme="minorHAnsi"/>
          <w:sz w:val="20"/>
          <w:szCs w:val="20"/>
        </w:rPr>
        <w:t>e index measuring the spread</w:t>
      </w:r>
      <w:r w:rsidRPr="00A24267">
        <w:rPr>
          <w:rFonts w:eastAsiaTheme="majorEastAsia" w:cstheme="minorHAnsi"/>
          <w:sz w:val="20"/>
          <w:szCs w:val="20"/>
        </w:rPr>
        <w:t xml:space="preserve"> of digital</w:t>
      </w:r>
      <w:r w:rsidR="00F35F55" w:rsidRPr="00A24267">
        <w:rPr>
          <w:rFonts w:eastAsiaTheme="majorEastAsia" w:cstheme="minorHAnsi"/>
          <w:sz w:val="20"/>
          <w:szCs w:val="20"/>
        </w:rPr>
        <w:t xml:space="preserve"> </w:t>
      </w:r>
      <w:r w:rsidRPr="00A24267">
        <w:rPr>
          <w:rFonts w:eastAsiaTheme="majorEastAsia" w:cstheme="minorHAnsi"/>
          <w:sz w:val="20"/>
          <w:szCs w:val="20"/>
        </w:rPr>
        <w:t>technologies within and across countries.</w:t>
      </w:r>
      <w:r w:rsidR="00C44659" w:rsidRPr="00A24267">
        <w:rPr>
          <w:rFonts w:eastAsiaTheme="majorEastAsia" w:cstheme="minorHAnsi"/>
          <w:sz w:val="20"/>
          <w:szCs w:val="20"/>
        </w:rPr>
        <w:t xml:space="preserve"> It </w:t>
      </w:r>
      <w:r w:rsidR="00C44659" w:rsidRPr="00A24267">
        <w:rPr>
          <w:rFonts w:cstheme="minorHAnsi"/>
          <w:sz w:val="20"/>
          <w:szCs w:val="20"/>
        </w:rPr>
        <w:t>measures the depth and breadth of adoption of digital technologies in 171 countries, spanning every region and income group.</w:t>
      </w:r>
      <w:r w:rsidR="00C44659" w:rsidRPr="00A24267">
        <w:rPr>
          <w:rStyle w:val="FootnoteReference"/>
          <w:rFonts w:cstheme="minorHAnsi"/>
          <w:sz w:val="20"/>
          <w:szCs w:val="20"/>
        </w:rPr>
        <w:footnoteReference w:id="24"/>
      </w:r>
    </w:p>
    <w:p w14:paraId="616C0D50" w14:textId="450491C8" w:rsidR="00814A62" w:rsidRDefault="00814A62" w:rsidP="00977CA3">
      <w:pPr>
        <w:spacing w:after="0" w:line="240" w:lineRule="auto"/>
        <w:jc w:val="both"/>
        <w:rPr>
          <w:rFonts w:eastAsiaTheme="majorEastAsia" w:cstheme="minorHAnsi"/>
          <w:sz w:val="20"/>
          <w:szCs w:val="20"/>
        </w:rPr>
      </w:pPr>
    </w:p>
    <w:p w14:paraId="5B598F74" w14:textId="74CD47CC" w:rsidR="00287EEF" w:rsidRPr="006E1098" w:rsidRDefault="00287EEF" w:rsidP="006E1098">
      <w:pPr>
        <w:pStyle w:val="Heading3"/>
        <w:spacing w:before="0" w:line="240" w:lineRule="auto"/>
        <w:jc w:val="both"/>
        <w:rPr>
          <w:rFonts w:asciiTheme="minorHAnsi" w:hAnsiTheme="minorHAnsi" w:cstheme="minorHAnsi"/>
          <w:sz w:val="20"/>
          <w:szCs w:val="20"/>
        </w:rPr>
      </w:pPr>
      <w:bookmarkStart w:id="28" w:name="_Toc75438770"/>
      <w:r w:rsidRPr="006E1098">
        <w:rPr>
          <w:rFonts w:asciiTheme="minorHAnsi" w:hAnsiTheme="minorHAnsi" w:cstheme="minorHAnsi"/>
          <w:sz w:val="20"/>
          <w:szCs w:val="20"/>
        </w:rPr>
        <w:t>Considered Indicators</w:t>
      </w:r>
      <w:bookmarkEnd w:id="28"/>
    </w:p>
    <w:p w14:paraId="0248572C" w14:textId="5B4C6369" w:rsidR="00287EEF" w:rsidRPr="00287EEF" w:rsidRDefault="00287EEF" w:rsidP="00287EEF">
      <w:pPr>
        <w:rPr>
          <w:rFonts w:eastAsiaTheme="majorEastAsia" w:cstheme="minorHAnsi"/>
          <w:sz w:val="20"/>
          <w:szCs w:val="20"/>
        </w:rPr>
      </w:pPr>
      <w:r w:rsidRPr="00287EEF">
        <w:rPr>
          <w:rFonts w:eastAsiaTheme="majorEastAsia" w:cstheme="minorHAnsi"/>
          <w:sz w:val="20"/>
          <w:szCs w:val="20"/>
        </w:rPr>
        <w:t>Economic Complexity Index (Harvard University): A measure of diversification of an economy. Not included in favour of Standard’s and Poor Credit Rating.</w:t>
      </w:r>
    </w:p>
    <w:p w14:paraId="3CAF92C1" w14:textId="77777777" w:rsidR="0042381C" w:rsidRPr="00A24267" w:rsidRDefault="003A3F8A" w:rsidP="00977CA3">
      <w:pPr>
        <w:pStyle w:val="Heading2"/>
        <w:spacing w:before="0" w:line="240" w:lineRule="auto"/>
        <w:jc w:val="both"/>
        <w:rPr>
          <w:rFonts w:asciiTheme="minorHAnsi" w:hAnsiTheme="minorHAnsi" w:cstheme="minorHAnsi"/>
          <w:sz w:val="20"/>
          <w:szCs w:val="20"/>
        </w:rPr>
      </w:pPr>
      <w:bookmarkStart w:id="29" w:name="_Toc75438771"/>
      <w:r w:rsidRPr="00091001">
        <w:rPr>
          <w:rFonts w:asciiTheme="minorHAnsi" w:hAnsiTheme="minorHAnsi" w:cstheme="minorHAnsi"/>
          <w:sz w:val="28"/>
          <w:szCs w:val="20"/>
        </w:rPr>
        <w:t>Peace Domain</w:t>
      </w:r>
      <w:bookmarkEnd w:id="29"/>
    </w:p>
    <w:p w14:paraId="369DD1AD" w14:textId="19323E84" w:rsidR="0042381C" w:rsidRPr="00A24267" w:rsidRDefault="0042381C" w:rsidP="00977CA3">
      <w:pPr>
        <w:spacing w:after="0" w:line="240" w:lineRule="auto"/>
        <w:jc w:val="both"/>
        <w:rPr>
          <w:rFonts w:eastAsiaTheme="majorEastAsia" w:cstheme="minorHAnsi"/>
          <w:color w:val="2E74B5" w:themeColor="accent1" w:themeShade="BF"/>
          <w:sz w:val="20"/>
          <w:szCs w:val="20"/>
        </w:rPr>
      </w:pPr>
    </w:p>
    <w:p w14:paraId="147C0E59" w14:textId="6D35C214" w:rsidR="009E341D" w:rsidRPr="00A24267" w:rsidRDefault="009E341D" w:rsidP="00977CA3">
      <w:pPr>
        <w:jc w:val="both"/>
        <w:rPr>
          <w:rFonts w:cstheme="minorHAnsi"/>
          <w:sz w:val="20"/>
          <w:szCs w:val="20"/>
        </w:rPr>
      </w:pPr>
      <w:r w:rsidRPr="00A24267">
        <w:rPr>
          <w:rFonts w:cstheme="minorHAnsi"/>
          <w:sz w:val="20"/>
          <w:szCs w:val="20"/>
        </w:rPr>
        <w:t>The Peace</w:t>
      </w:r>
      <w:r w:rsidR="000427A4" w:rsidRPr="00A24267">
        <w:rPr>
          <w:rFonts w:cstheme="minorHAnsi"/>
          <w:sz w:val="20"/>
          <w:szCs w:val="20"/>
        </w:rPr>
        <w:t xml:space="preserve"> domain </w:t>
      </w:r>
      <w:r w:rsidRPr="00A24267">
        <w:rPr>
          <w:rFonts w:cstheme="minorHAnsi"/>
          <w:sz w:val="20"/>
          <w:szCs w:val="20"/>
        </w:rPr>
        <w:t>capture</w:t>
      </w:r>
      <w:r w:rsidR="000427A4" w:rsidRPr="00A24267">
        <w:rPr>
          <w:rFonts w:cstheme="minorHAnsi"/>
          <w:sz w:val="20"/>
          <w:szCs w:val="20"/>
        </w:rPr>
        <w:t>s</w:t>
      </w:r>
      <w:r w:rsidRPr="00A24267">
        <w:rPr>
          <w:rFonts w:cstheme="minorHAnsi"/>
          <w:sz w:val="20"/>
          <w:szCs w:val="20"/>
        </w:rPr>
        <w:t xml:space="preserve"> the following concept</w:t>
      </w:r>
      <w:r w:rsidR="003E11EE">
        <w:rPr>
          <w:rFonts w:cstheme="minorHAnsi"/>
          <w:sz w:val="20"/>
          <w:szCs w:val="20"/>
        </w:rPr>
        <w:t>s</w:t>
      </w:r>
      <w:r w:rsidRPr="00A24267">
        <w:rPr>
          <w:rFonts w:cstheme="minorHAnsi"/>
          <w:sz w:val="20"/>
          <w:szCs w:val="20"/>
        </w:rPr>
        <w:t>:</w:t>
      </w:r>
    </w:p>
    <w:p w14:paraId="345647A9" w14:textId="74D37F47" w:rsidR="009E341D" w:rsidRDefault="009E341D" w:rsidP="00977CA3">
      <w:pPr>
        <w:numPr>
          <w:ilvl w:val="0"/>
          <w:numId w:val="4"/>
        </w:numPr>
        <w:jc w:val="both"/>
        <w:rPr>
          <w:rFonts w:cstheme="minorHAnsi"/>
          <w:sz w:val="20"/>
          <w:szCs w:val="20"/>
        </w:rPr>
      </w:pPr>
      <w:r w:rsidRPr="00A24267">
        <w:rPr>
          <w:rFonts w:cstheme="minorHAnsi"/>
          <w:sz w:val="20"/>
          <w:szCs w:val="20"/>
        </w:rPr>
        <w:t>Thinking and Working Politically</w:t>
      </w:r>
    </w:p>
    <w:p w14:paraId="70C6BBE7" w14:textId="06F7D868" w:rsidR="003E11EE" w:rsidRPr="00A24267" w:rsidRDefault="003E11EE" w:rsidP="00977CA3">
      <w:pPr>
        <w:numPr>
          <w:ilvl w:val="0"/>
          <w:numId w:val="4"/>
        </w:numPr>
        <w:jc w:val="both"/>
        <w:rPr>
          <w:rFonts w:cstheme="minorHAnsi"/>
          <w:sz w:val="20"/>
          <w:szCs w:val="20"/>
        </w:rPr>
      </w:pPr>
      <w:r>
        <w:rPr>
          <w:rFonts w:cstheme="minorHAnsi"/>
          <w:sz w:val="20"/>
          <w:szCs w:val="20"/>
        </w:rPr>
        <w:t>Transborder and Regional Trends</w:t>
      </w:r>
    </w:p>
    <w:p w14:paraId="37951B48" w14:textId="2F83EDF3" w:rsidR="009E341D" w:rsidRPr="00A24267" w:rsidRDefault="009E341D" w:rsidP="00977CA3">
      <w:pPr>
        <w:spacing w:after="0" w:line="240" w:lineRule="auto"/>
        <w:jc w:val="both"/>
        <w:rPr>
          <w:rFonts w:eastAsiaTheme="majorEastAsia" w:cstheme="minorHAnsi"/>
          <w:color w:val="2E74B5" w:themeColor="accent1" w:themeShade="BF"/>
          <w:sz w:val="20"/>
          <w:szCs w:val="20"/>
        </w:rPr>
      </w:pPr>
    </w:p>
    <w:p w14:paraId="5066FE8F" w14:textId="064C9C62" w:rsidR="009E341D" w:rsidRPr="00A24267" w:rsidRDefault="009E341D" w:rsidP="00977CA3">
      <w:pPr>
        <w:pStyle w:val="Heading3"/>
        <w:spacing w:before="0" w:line="240" w:lineRule="auto"/>
        <w:jc w:val="both"/>
        <w:rPr>
          <w:rFonts w:asciiTheme="minorHAnsi" w:hAnsiTheme="minorHAnsi" w:cstheme="minorHAnsi"/>
          <w:sz w:val="20"/>
          <w:szCs w:val="20"/>
        </w:rPr>
      </w:pPr>
      <w:bookmarkStart w:id="30" w:name="_Toc75438772"/>
      <w:r w:rsidRPr="00A24267">
        <w:rPr>
          <w:rFonts w:asciiTheme="minorHAnsi" w:hAnsiTheme="minorHAnsi" w:cstheme="minorHAnsi"/>
          <w:sz w:val="20"/>
          <w:szCs w:val="20"/>
        </w:rPr>
        <w:t>Thinking and Working Politically</w:t>
      </w:r>
      <w:bookmarkEnd w:id="30"/>
    </w:p>
    <w:p w14:paraId="1A4082B4" w14:textId="55EE3AEB" w:rsidR="009E341D" w:rsidRPr="00A24267" w:rsidRDefault="009E341D" w:rsidP="00977CA3">
      <w:pPr>
        <w:spacing w:after="0" w:line="240" w:lineRule="auto"/>
        <w:jc w:val="both"/>
        <w:rPr>
          <w:rFonts w:cstheme="minorHAnsi"/>
          <w:sz w:val="20"/>
          <w:szCs w:val="20"/>
        </w:rPr>
      </w:pPr>
      <w:r w:rsidRPr="00A24267">
        <w:rPr>
          <w:rFonts w:cstheme="minorHAnsi"/>
          <w:sz w:val="20"/>
          <w:szCs w:val="20"/>
        </w:rPr>
        <w:t>The Thinking and Working Politically concept aims to capture</w:t>
      </w:r>
      <w:r w:rsidR="00F35F55" w:rsidRPr="00A24267">
        <w:rPr>
          <w:rFonts w:cstheme="minorHAnsi"/>
          <w:sz w:val="20"/>
          <w:szCs w:val="20"/>
        </w:rPr>
        <w:t xml:space="preserve"> the degree to which development endeavours involve</w:t>
      </w:r>
      <w:r w:rsidR="0052502D" w:rsidRPr="00A24267">
        <w:rPr>
          <w:rFonts w:cstheme="minorHAnsi"/>
          <w:sz w:val="20"/>
          <w:szCs w:val="20"/>
        </w:rPr>
        <w:t xml:space="preserve"> strong political analysis, attention to local context and flexibility in program design and implementation. </w:t>
      </w:r>
      <w:r w:rsidRPr="00A24267">
        <w:rPr>
          <w:rFonts w:cstheme="minorHAnsi"/>
          <w:sz w:val="20"/>
          <w:szCs w:val="20"/>
        </w:rPr>
        <w:t>It does this through the following indicators.</w:t>
      </w:r>
    </w:p>
    <w:p w14:paraId="37E2E332" w14:textId="77777777" w:rsidR="009E341D" w:rsidRPr="00A24267" w:rsidRDefault="009E341D" w:rsidP="00977CA3">
      <w:pPr>
        <w:spacing w:after="0" w:line="240" w:lineRule="auto"/>
        <w:jc w:val="both"/>
        <w:rPr>
          <w:rFonts w:eastAsiaTheme="majorEastAsia" w:cstheme="minorHAnsi"/>
          <w:sz w:val="20"/>
          <w:szCs w:val="20"/>
        </w:rPr>
      </w:pPr>
    </w:p>
    <w:p w14:paraId="1632CAA9" w14:textId="7A66CFE5" w:rsidR="009E341D" w:rsidRPr="00091001" w:rsidRDefault="009E341D" w:rsidP="00977CA3">
      <w:pPr>
        <w:spacing w:after="0" w:line="240" w:lineRule="auto"/>
        <w:jc w:val="both"/>
        <w:rPr>
          <w:rFonts w:eastAsiaTheme="majorEastAsia" w:cstheme="minorHAnsi"/>
          <w:b/>
          <w:i/>
          <w:sz w:val="20"/>
          <w:szCs w:val="20"/>
        </w:rPr>
      </w:pPr>
      <w:r w:rsidRPr="00091001">
        <w:rPr>
          <w:rFonts w:eastAsiaTheme="majorEastAsia" w:cstheme="minorHAnsi"/>
          <w:b/>
          <w:i/>
          <w:sz w:val="20"/>
          <w:szCs w:val="20"/>
        </w:rPr>
        <w:t>Civil Society Participation</w:t>
      </w:r>
    </w:p>
    <w:p w14:paraId="35957289" w14:textId="0B0A1A30" w:rsidR="009E341D" w:rsidRPr="00A24267" w:rsidRDefault="0052502D" w:rsidP="00977CA3">
      <w:pPr>
        <w:spacing w:after="0" w:line="240" w:lineRule="auto"/>
        <w:jc w:val="both"/>
        <w:rPr>
          <w:rFonts w:cstheme="minorHAnsi"/>
          <w:color w:val="3A3535"/>
          <w:sz w:val="20"/>
          <w:szCs w:val="20"/>
          <w:shd w:val="clear" w:color="auto" w:fill="EFEFF0"/>
        </w:rPr>
      </w:pPr>
      <w:r w:rsidRPr="00A24267">
        <w:rPr>
          <w:rFonts w:cstheme="minorHAnsi"/>
          <w:sz w:val="20"/>
          <w:szCs w:val="20"/>
        </w:rPr>
        <w:t>Drawing on data from International IDEA, t</w:t>
      </w:r>
      <w:r w:rsidR="009E341D" w:rsidRPr="00A24267">
        <w:rPr>
          <w:rFonts w:cstheme="minorHAnsi"/>
          <w:sz w:val="20"/>
          <w:szCs w:val="20"/>
        </w:rPr>
        <w:t>his indicator measures the extent to which organised, voluntary, self-generating and autonomous social life is dense and vibrant in a given country.</w:t>
      </w:r>
      <w:r w:rsidR="00151F87" w:rsidRPr="00A24267">
        <w:rPr>
          <w:rStyle w:val="FootnoteReference"/>
          <w:rFonts w:cstheme="minorHAnsi"/>
          <w:sz w:val="20"/>
          <w:szCs w:val="20"/>
        </w:rPr>
        <w:footnoteReference w:id="25"/>
      </w:r>
    </w:p>
    <w:p w14:paraId="58604AE8" w14:textId="01269D92" w:rsidR="00151F87" w:rsidRPr="00A24267" w:rsidRDefault="00151F87" w:rsidP="00977CA3">
      <w:pPr>
        <w:spacing w:after="0" w:line="240" w:lineRule="auto"/>
        <w:jc w:val="both"/>
        <w:rPr>
          <w:rFonts w:cstheme="minorHAnsi"/>
          <w:color w:val="3A3535"/>
          <w:sz w:val="20"/>
          <w:szCs w:val="20"/>
          <w:shd w:val="clear" w:color="auto" w:fill="EFEFF0"/>
        </w:rPr>
      </w:pPr>
    </w:p>
    <w:p w14:paraId="4177A41C" w14:textId="21FA2C25" w:rsidR="00151F87" w:rsidRPr="00091001" w:rsidRDefault="00151F87" w:rsidP="00977CA3">
      <w:pPr>
        <w:spacing w:after="0" w:line="240" w:lineRule="auto"/>
        <w:jc w:val="both"/>
        <w:rPr>
          <w:rFonts w:cstheme="minorHAnsi"/>
          <w:b/>
          <w:i/>
          <w:sz w:val="20"/>
          <w:szCs w:val="20"/>
        </w:rPr>
      </w:pPr>
      <w:r w:rsidRPr="00091001">
        <w:rPr>
          <w:rFonts w:cstheme="minorHAnsi"/>
          <w:b/>
          <w:i/>
          <w:sz w:val="20"/>
          <w:szCs w:val="20"/>
        </w:rPr>
        <w:t>Rule of Law</w:t>
      </w:r>
    </w:p>
    <w:p w14:paraId="3372FE94" w14:textId="517CC61F" w:rsidR="00151F87" w:rsidRPr="00A24267" w:rsidRDefault="0052502D" w:rsidP="00977CA3">
      <w:pPr>
        <w:spacing w:after="0" w:line="240" w:lineRule="auto"/>
        <w:jc w:val="both"/>
        <w:rPr>
          <w:rFonts w:cstheme="minorHAnsi"/>
          <w:sz w:val="20"/>
          <w:szCs w:val="20"/>
        </w:rPr>
      </w:pPr>
      <w:r w:rsidRPr="00A24267">
        <w:rPr>
          <w:rFonts w:cstheme="minorHAnsi"/>
          <w:sz w:val="20"/>
          <w:szCs w:val="20"/>
        </w:rPr>
        <w:t xml:space="preserve">This indicator consists of data compiled by the World Bank </w:t>
      </w:r>
      <w:r w:rsidR="0011654A" w:rsidRPr="00A24267">
        <w:rPr>
          <w:rFonts w:cstheme="minorHAnsi"/>
          <w:sz w:val="20"/>
          <w:szCs w:val="20"/>
        </w:rPr>
        <w:t>and captures</w:t>
      </w:r>
      <w:r w:rsidR="00151F87" w:rsidRPr="00A24267">
        <w:rPr>
          <w:rFonts w:cstheme="minorHAnsi"/>
          <w:sz w:val="20"/>
          <w:szCs w:val="20"/>
        </w:rPr>
        <w:t xml:space="preserve"> perceptions of the extent to which agents have confidence in and abide by the rules of society, and in particular the quality of contract enforcement, property rights, the police, and the courts, as well as the likelihood of crime and violence.</w:t>
      </w:r>
      <w:r w:rsidR="00151F87" w:rsidRPr="00A24267">
        <w:rPr>
          <w:rStyle w:val="FootnoteReference"/>
          <w:rFonts w:cstheme="minorHAnsi"/>
          <w:sz w:val="20"/>
          <w:szCs w:val="20"/>
        </w:rPr>
        <w:footnoteReference w:id="26"/>
      </w:r>
    </w:p>
    <w:p w14:paraId="5CFECFEF" w14:textId="367BF498" w:rsidR="00151F87" w:rsidRPr="00A24267" w:rsidRDefault="00151F87" w:rsidP="00977CA3">
      <w:pPr>
        <w:spacing w:after="0" w:line="240" w:lineRule="auto"/>
        <w:jc w:val="both"/>
        <w:rPr>
          <w:rFonts w:cstheme="minorHAnsi"/>
          <w:sz w:val="20"/>
          <w:szCs w:val="20"/>
        </w:rPr>
      </w:pPr>
    </w:p>
    <w:p w14:paraId="42084AA7" w14:textId="77777777" w:rsidR="00151F87" w:rsidRPr="00091001" w:rsidRDefault="00151F87" w:rsidP="00977CA3">
      <w:pPr>
        <w:spacing w:after="0" w:line="240" w:lineRule="auto"/>
        <w:jc w:val="both"/>
        <w:rPr>
          <w:rFonts w:cstheme="minorHAnsi"/>
          <w:b/>
          <w:i/>
          <w:sz w:val="20"/>
          <w:szCs w:val="20"/>
        </w:rPr>
      </w:pPr>
      <w:r w:rsidRPr="00091001">
        <w:rPr>
          <w:rFonts w:cstheme="minorHAnsi"/>
          <w:b/>
          <w:i/>
          <w:sz w:val="20"/>
          <w:szCs w:val="20"/>
        </w:rPr>
        <w:t>Voice and Accountability</w:t>
      </w:r>
    </w:p>
    <w:p w14:paraId="7745E5ED" w14:textId="047C48DA" w:rsidR="00151F87" w:rsidRDefault="0052502D" w:rsidP="00977CA3">
      <w:pPr>
        <w:spacing w:after="0" w:line="240" w:lineRule="auto"/>
        <w:jc w:val="both"/>
        <w:rPr>
          <w:rFonts w:cstheme="minorHAnsi"/>
          <w:sz w:val="20"/>
          <w:szCs w:val="20"/>
        </w:rPr>
      </w:pPr>
      <w:r w:rsidRPr="00A24267">
        <w:rPr>
          <w:rFonts w:cstheme="minorHAnsi"/>
          <w:sz w:val="20"/>
          <w:szCs w:val="20"/>
        </w:rPr>
        <w:t xml:space="preserve">This indicator consists of data compiled by the World Bank </w:t>
      </w:r>
      <w:r w:rsidR="0011654A" w:rsidRPr="00A24267">
        <w:rPr>
          <w:rFonts w:cstheme="minorHAnsi"/>
          <w:sz w:val="20"/>
          <w:szCs w:val="20"/>
        </w:rPr>
        <w:t>and captures</w:t>
      </w:r>
      <w:r w:rsidR="00151F87" w:rsidRPr="00A24267">
        <w:rPr>
          <w:rFonts w:cstheme="minorHAnsi"/>
          <w:sz w:val="20"/>
          <w:szCs w:val="20"/>
        </w:rPr>
        <w:t xml:space="preserve"> perceptions of the extent to which a country's citizens are able to participate in selecting their government, as well as freedom of expression, freedom of association, and a free media.</w:t>
      </w:r>
      <w:r w:rsidR="00151F87" w:rsidRPr="00A24267">
        <w:rPr>
          <w:rStyle w:val="FootnoteReference"/>
          <w:rFonts w:cstheme="minorHAnsi"/>
          <w:sz w:val="20"/>
          <w:szCs w:val="20"/>
        </w:rPr>
        <w:footnoteReference w:id="27"/>
      </w:r>
    </w:p>
    <w:p w14:paraId="2F0375BD" w14:textId="77777777" w:rsidR="00806FF9" w:rsidRPr="00A24267" w:rsidRDefault="00806FF9" w:rsidP="00977CA3">
      <w:pPr>
        <w:spacing w:after="0" w:line="240" w:lineRule="auto"/>
        <w:jc w:val="both"/>
        <w:rPr>
          <w:rFonts w:cstheme="minorHAnsi"/>
          <w:sz w:val="20"/>
          <w:szCs w:val="20"/>
        </w:rPr>
      </w:pPr>
    </w:p>
    <w:p w14:paraId="3EB7FBC1" w14:textId="02429EA1" w:rsidR="00900171" w:rsidRPr="00A24267" w:rsidRDefault="00900171" w:rsidP="00977CA3">
      <w:pPr>
        <w:spacing w:after="0" w:line="240" w:lineRule="auto"/>
        <w:jc w:val="both"/>
        <w:rPr>
          <w:rFonts w:cstheme="minorHAnsi"/>
          <w:sz w:val="20"/>
          <w:szCs w:val="20"/>
        </w:rPr>
      </w:pPr>
    </w:p>
    <w:p w14:paraId="2298FCC3" w14:textId="1AA3B69D" w:rsidR="00151F87" w:rsidRDefault="00682D8F" w:rsidP="00977CA3">
      <w:pPr>
        <w:spacing w:after="0" w:line="240" w:lineRule="auto"/>
        <w:jc w:val="both"/>
        <w:rPr>
          <w:rFonts w:cstheme="minorHAnsi"/>
          <w:b/>
          <w:i/>
          <w:sz w:val="20"/>
          <w:szCs w:val="20"/>
        </w:rPr>
      </w:pPr>
      <w:r>
        <w:rPr>
          <w:rFonts w:cstheme="minorHAnsi"/>
          <w:b/>
          <w:i/>
          <w:sz w:val="20"/>
          <w:szCs w:val="20"/>
        </w:rPr>
        <w:t>Deliberative Democracy Index</w:t>
      </w:r>
    </w:p>
    <w:p w14:paraId="481B3DF8" w14:textId="30BBCE6E" w:rsidR="00151F87" w:rsidRPr="00A24267" w:rsidRDefault="00682D8F" w:rsidP="00E05EDD">
      <w:pPr>
        <w:spacing w:after="0" w:line="240" w:lineRule="auto"/>
        <w:jc w:val="both"/>
        <w:rPr>
          <w:rFonts w:cstheme="minorHAnsi"/>
          <w:sz w:val="20"/>
          <w:szCs w:val="20"/>
        </w:rPr>
      </w:pPr>
      <w:r w:rsidRPr="00611483">
        <w:rPr>
          <w:rFonts w:cstheme="minorHAnsi"/>
          <w:sz w:val="20"/>
          <w:szCs w:val="20"/>
        </w:rPr>
        <w:t>The deliberative principle of democracy focuses on the process by which decisions</w:t>
      </w:r>
      <w:r>
        <w:rPr>
          <w:rFonts w:cstheme="minorHAnsi"/>
          <w:sz w:val="20"/>
          <w:szCs w:val="20"/>
        </w:rPr>
        <w:t xml:space="preserve"> </w:t>
      </w:r>
      <w:r w:rsidRPr="00611483">
        <w:rPr>
          <w:rFonts w:cstheme="minorHAnsi"/>
          <w:sz w:val="20"/>
          <w:szCs w:val="20"/>
        </w:rPr>
        <w:t>are reached in a polity. A deliberative process is one in which public reasoning focused on the</w:t>
      </w:r>
      <w:r>
        <w:rPr>
          <w:rFonts w:cstheme="minorHAnsi"/>
          <w:sz w:val="20"/>
          <w:szCs w:val="20"/>
        </w:rPr>
        <w:t xml:space="preserve"> </w:t>
      </w:r>
      <w:r w:rsidRPr="00611483">
        <w:rPr>
          <w:rFonts w:cstheme="minorHAnsi"/>
          <w:sz w:val="20"/>
          <w:szCs w:val="20"/>
        </w:rPr>
        <w:t>common good motivates political decisions—as contrasted with emotional appeals, solidary</w:t>
      </w:r>
      <w:r>
        <w:rPr>
          <w:rFonts w:cstheme="minorHAnsi"/>
          <w:sz w:val="20"/>
          <w:szCs w:val="20"/>
        </w:rPr>
        <w:t xml:space="preserve"> </w:t>
      </w:r>
      <w:r w:rsidRPr="00611483">
        <w:rPr>
          <w:rFonts w:cstheme="minorHAnsi"/>
          <w:sz w:val="20"/>
          <w:szCs w:val="20"/>
        </w:rPr>
        <w:t>attachments, parochial interests, or coercion. According to this principle, democracy requires</w:t>
      </w:r>
      <w:r>
        <w:rPr>
          <w:rFonts w:cstheme="minorHAnsi"/>
          <w:sz w:val="20"/>
          <w:szCs w:val="20"/>
        </w:rPr>
        <w:t xml:space="preserve"> </w:t>
      </w:r>
      <w:r w:rsidRPr="00611483">
        <w:rPr>
          <w:rFonts w:cstheme="minorHAnsi"/>
          <w:sz w:val="20"/>
          <w:szCs w:val="20"/>
        </w:rPr>
        <w:t>more than an aggregation of existing preferences. There should also be respectful dialogue at all levels—from preference formation to final decision—among informed and competent</w:t>
      </w:r>
      <w:r>
        <w:rPr>
          <w:rFonts w:cstheme="minorHAnsi"/>
          <w:sz w:val="20"/>
          <w:szCs w:val="20"/>
        </w:rPr>
        <w:t xml:space="preserve"> </w:t>
      </w:r>
      <w:r w:rsidRPr="00611483">
        <w:rPr>
          <w:rFonts w:cstheme="minorHAnsi"/>
          <w:sz w:val="20"/>
          <w:szCs w:val="20"/>
        </w:rPr>
        <w:t>participants who are open to persuasion. To make it a measure of not only the deliberative</w:t>
      </w:r>
      <w:r>
        <w:rPr>
          <w:rFonts w:cstheme="minorHAnsi"/>
          <w:sz w:val="20"/>
          <w:szCs w:val="20"/>
        </w:rPr>
        <w:t xml:space="preserve"> </w:t>
      </w:r>
      <w:r w:rsidRPr="00611483">
        <w:rPr>
          <w:rFonts w:cstheme="minorHAnsi"/>
          <w:sz w:val="20"/>
          <w:szCs w:val="20"/>
        </w:rPr>
        <w:t>principle but also of democracy, the index also takes the level of electoral democracy into</w:t>
      </w:r>
      <w:r>
        <w:rPr>
          <w:rFonts w:cstheme="minorHAnsi"/>
          <w:sz w:val="20"/>
          <w:szCs w:val="20"/>
        </w:rPr>
        <w:t xml:space="preserve"> </w:t>
      </w:r>
      <w:r w:rsidRPr="00611483">
        <w:rPr>
          <w:rFonts w:cstheme="minorHAnsi"/>
          <w:sz w:val="20"/>
          <w:szCs w:val="20"/>
        </w:rPr>
        <w:t>account.</w:t>
      </w:r>
      <w:r w:rsidR="00900171" w:rsidRPr="00A24267">
        <w:rPr>
          <w:rStyle w:val="FootnoteReference"/>
          <w:rFonts w:cstheme="minorHAnsi"/>
          <w:sz w:val="20"/>
          <w:szCs w:val="20"/>
        </w:rPr>
        <w:footnoteReference w:id="28"/>
      </w:r>
    </w:p>
    <w:p w14:paraId="734C47AF" w14:textId="745FC5A0" w:rsidR="009E341D" w:rsidRDefault="009E341D" w:rsidP="00977CA3">
      <w:pPr>
        <w:spacing w:after="0" w:line="240" w:lineRule="auto"/>
        <w:jc w:val="both"/>
        <w:rPr>
          <w:rFonts w:eastAsiaTheme="majorEastAsia" w:cstheme="minorHAnsi"/>
          <w:color w:val="2E74B5" w:themeColor="accent1" w:themeShade="BF"/>
          <w:sz w:val="26"/>
          <w:szCs w:val="26"/>
        </w:rPr>
      </w:pPr>
    </w:p>
    <w:p w14:paraId="3FFF0174" w14:textId="7767C55B" w:rsidR="00D34A69" w:rsidRPr="00A24267" w:rsidRDefault="00D34A69" w:rsidP="00D34A69">
      <w:pPr>
        <w:pStyle w:val="Heading3"/>
        <w:spacing w:before="0" w:line="240" w:lineRule="auto"/>
        <w:jc w:val="both"/>
        <w:rPr>
          <w:rFonts w:asciiTheme="minorHAnsi" w:hAnsiTheme="minorHAnsi" w:cstheme="minorHAnsi"/>
          <w:sz w:val="20"/>
          <w:szCs w:val="20"/>
        </w:rPr>
      </w:pPr>
      <w:bookmarkStart w:id="31" w:name="_Toc75438773"/>
      <w:r>
        <w:rPr>
          <w:rFonts w:asciiTheme="minorHAnsi" w:hAnsiTheme="minorHAnsi" w:cstheme="minorHAnsi"/>
          <w:sz w:val="20"/>
          <w:szCs w:val="20"/>
        </w:rPr>
        <w:t>Transborder and Regional Trends</w:t>
      </w:r>
      <w:bookmarkEnd w:id="31"/>
    </w:p>
    <w:p w14:paraId="6670289E" w14:textId="3ECB6180" w:rsidR="003E11EE" w:rsidRPr="00A24267" w:rsidRDefault="003E11EE" w:rsidP="003E11EE">
      <w:pPr>
        <w:spacing w:after="0" w:line="240" w:lineRule="auto"/>
        <w:jc w:val="both"/>
        <w:rPr>
          <w:rFonts w:cstheme="minorHAnsi"/>
          <w:sz w:val="20"/>
          <w:szCs w:val="20"/>
        </w:rPr>
      </w:pPr>
      <w:r w:rsidRPr="00A24267">
        <w:rPr>
          <w:rFonts w:cstheme="minorHAnsi"/>
          <w:sz w:val="20"/>
          <w:szCs w:val="20"/>
        </w:rPr>
        <w:t xml:space="preserve">The </w:t>
      </w:r>
      <w:r>
        <w:rPr>
          <w:rFonts w:cstheme="minorHAnsi"/>
          <w:sz w:val="20"/>
          <w:szCs w:val="20"/>
        </w:rPr>
        <w:t>Trans</w:t>
      </w:r>
      <w:r w:rsidRPr="003E11EE">
        <w:rPr>
          <w:rFonts w:cstheme="minorHAnsi"/>
          <w:sz w:val="20"/>
          <w:szCs w:val="20"/>
        </w:rPr>
        <w:t xml:space="preserve">border and Regional </w:t>
      </w:r>
      <w:r>
        <w:rPr>
          <w:rFonts w:cstheme="minorHAnsi"/>
          <w:sz w:val="20"/>
          <w:szCs w:val="20"/>
        </w:rPr>
        <w:t>Trends</w:t>
      </w:r>
      <w:r w:rsidRPr="00A24267">
        <w:rPr>
          <w:rFonts w:cstheme="minorHAnsi"/>
          <w:sz w:val="20"/>
          <w:szCs w:val="20"/>
        </w:rPr>
        <w:t xml:space="preserve"> concept aims to capture</w:t>
      </w:r>
      <w:r w:rsidR="00747B53">
        <w:rPr>
          <w:rFonts w:cstheme="minorHAnsi"/>
          <w:sz w:val="20"/>
          <w:szCs w:val="20"/>
        </w:rPr>
        <w:t xml:space="preserve"> cross border conflict, crime and international relations. Due to the lack of a reliable source for transborder crime and international relations, the UNDP-FM captures this concept</w:t>
      </w:r>
      <w:r w:rsidRPr="00A24267">
        <w:rPr>
          <w:rFonts w:cstheme="minorHAnsi"/>
          <w:sz w:val="20"/>
          <w:szCs w:val="20"/>
        </w:rPr>
        <w:t xml:space="preserve"> </w:t>
      </w:r>
      <w:r w:rsidR="00747B53">
        <w:rPr>
          <w:rFonts w:cstheme="minorHAnsi"/>
          <w:sz w:val="20"/>
          <w:szCs w:val="20"/>
        </w:rPr>
        <w:t>through the following indicator</w:t>
      </w:r>
      <w:r w:rsidRPr="00A24267">
        <w:rPr>
          <w:rFonts w:cstheme="minorHAnsi"/>
          <w:sz w:val="20"/>
          <w:szCs w:val="20"/>
        </w:rPr>
        <w:t>.</w:t>
      </w:r>
    </w:p>
    <w:p w14:paraId="192D74DA" w14:textId="0004214F" w:rsidR="00D34A69" w:rsidRDefault="00D34A69" w:rsidP="00977CA3">
      <w:pPr>
        <w:spacing w:after="0" w:line="240" w:lineRule="auto"/>
        <w:jc w:val="both"/>
        <w:rPr>
          <w:rFonts w:eastAsiaTheme="majorEastAsia" w:cstheme="minorHAnsi"/>
          <w:color w:val="2E74B5" w:themeColor="accent1" w:themeShade="BF"/>
          <w:sz w:val="26"/>
          <w:szCs w:val="26"/>
        </w:rPr>
      </w:pPr>
    </w:p>
    <w:p w14:paraId="6BA19892" w14:textId="48E0DD8B" w:rsidR="00D34A69" w:rsidRPr="00091001" w:rsidRDefault="00D34A69" w:rsidP="00D34A69">
      <w:pPr>
        <w:spacing w:after="0" w:line="240" w:lineRule="auto"/>
        <w:jc w:val="both"/>
        <w:rPr>
          <w:rFonts w:cstheme="minorHAnsi"/>
          <w:b/>
          <w:i/>
          <w:sz w:val="20"/>
          <w:szCs w:val="20"/>
        </w:rPr>
      </w:pPr>
      <w:r>
        <w:rPr>
          <w:rFonts w:cstheme="minorHAnsi"/>
          <w:b/>
          <w:i/>
          <w:sz w:val="20"/>
          <w:szCs w:val="20"/>
        </w:rPr>
        <w:t>Ongoing Conflict</w:t>
      </w:r>
    </w:p>
    <w:p w14:paraId="316710C7" w14:textId="630B372E" w:rsidR="00D34A69" w:rsidRPr="00A24267" w:rsidRDefault="003E11EE" w:rsidP="00D34A69">
      <w:pPr>
        <w:spacing w:after="0" w:line="240" w:lineRule="auto"/>
        <w:jc w:val="both"/>
        <w:rPr>
          <w:rFonts w:cstheme="minorHAnsi"/>
          <w:sz w:val="20"/>
          <w:szCs w:val="20"/>
        </w:rPr>
      </w:pPr>
      <w:r>
        <w:rPr>
          <w:rFonts w:cstheme="minorHAnsi"/>
          <w:sz w:val="20"/>
          <w:szCs w:val="20"/>
        </w:rPr>
        <w:t>This indicator draws on data from IEP and provides a</w:t>
      </w:r>
      <w:r w:rsidR="00D34A69">
        <w:rPr>
          <w:rFonts w:cstheme="minorHAnsi"/>
          <w:sz w:val="20"/>
          <w:szCs w:val="20"/>
        </w:rPr>
        <w:t xml:space="preserve"> measure of intensity of internal and external conflict.</w:t>
      </w:r>
      <w:r w:rsidR="00D34A69" w:rsidRPr="00D34A69">
        <w:rPr>
          <w:rStyle w:val="FootnoteReference"/>
          <w:rFonts w:cstheme="minorHAnsi"/>
          <w:sz w:val="20"/>
          <w:szCs w:val="20"/>
        </w:rPr>
        <w:t xml:space="preserve"> </w:t>
      </w:r>
      <w:r w:rsidR="00D34A69" w:rsidRPr="00A24267">
        <w:rPr>
          <w:rStyle w:val="FootnoteReference"/>
          <w:rFonts w:cstheme="minorHAnsi"/>
          <w:sz w:val="20"/>
          <w:szCs w:val="20"/>
        </w:rPr>
        <w:footnoteReference w:id="29"/>
      </w:r>
      <w:r w:rsidR="00D34A69">
        <w:rPr>
          <w:rFonts w:cstheme="minorHAnsi"/>
          <w:sz w:val="20"/>
          <w:szCs w:val="20"/>
        </w:rPr>
        <w:t xml:space="preserve"> </w:t>
      </w:r>
    </w:p>
    <w:p w14:paraId="098C65DF" w14:textId="748BE8BA" w:rsidR="00546660" w:rsidRPr="00852641" w:rsidRDefault="00546660" w:rsidP="00546660">
      <w:pPr>
        <w:pStyle w:val="Heading1"/>
      </w:pPr>
      <w:bookmarkStart w:id="32" w:name="_Toc75438774"/>
      <w:bookmarkStart w:id="33" w:name="_Toc43459257"/>
      <w:r>
        <w:t>UNDP-FM Calculations</w:t>
      </w:r>
      <w:bookmarkEnd w:id="32"/>
    </w:p>
    <w:p w14:paraId="5F81B256" w14:textId="0882B79C" w:rsidR="0042381C" w:rsidRPr="00852641" w:rsidRDefault="003A3F8A" w:rsidP="00546660">
      <w:pPr>
        <w:pStyle w:val="Heading2"/>
      </w:pPr>
      <w:bookmarkStart w:id="34" w:name="_Toc75438775"/>
      <w:r w:rsidRPr="00852641">
        <w:t xml:space="preserve">Data </w:t>
      </w:r>
      <w:bookmarkEnd w:id="33"/>
      <w:r w:rsidRPr="00852641">
        <w:t>Imputation</w:t>
      </w:r>
      <w:bookmarkEnd w:id="34"/>
    </w:p>
    <w:p w14:paraId="5F4F382B" w14:textId="77777777" w:rsidR="003E11EE" w:rsidRDefault="003E11EE" w:rsidP="003E11EE">
      <w:pPr>
        <w:spacing w:after="0" w:line="240" w:lineRule="auto"/>
        <w:jc w:val="both"/>
        <w:rPr>
          <w:rFonts w:cstheme="minorHAnsi"/>
          <w:color w:val="000000"/>
          <w:sz w:val="20"/>
          <w:szCs w:val="20"/>
        </w:rPr>
      </w:pPr>
    </w:p>
    <w:p w14:paraId="53B02007" w14:textId="13CF8FAE" w:rsidR="0042381C" w:rsidRDefault="003A3F8A" w:rsidP="00A27CBE">
      <w:pPr>
        <w:spacing w:after="0"/>
        <w:jc w:val="both"/>
        <w:rPr>
          <w:rFonts w:cstheme="minorHAnsi"/>
          <w:color w:val="000000"/>
          <w:sz w:val="20"/>
          <w:szCs w:val="20"/>
        </w:rPr>
      </w:pPr>
      <w:r w:rsidRPr="00852641">
        <w:rPr>
          <w:rFonts w:cstheme="minorHAnsi"/>
          <w:color w:val="000000"/>
          <w:sz w:val="20"/>
          <w:szCs w:val="20"/>
        </w:rPr>
        <w:t xml:space="preserve">The issue of data gaps is a common challenge to creating an index. Not all indicators have data points for each country in the </w:t>
      </w:r>
      <w:r w:rsidR="00534E53">
        <w:rPr>
          <w:rFonts w:cstheme="minorHAnsi"/>
          <w:color w:val="000000"/>
          <w:sz w:val="20"/>
          <w:szCs w:val="20"/>
        </w:rPr>
        <w:t>UNDP-</w:t>
      </w:r>
      <w:r w:rsidR="00534E53" w:rsidRPr="003E11EE">
        <w:rPr>
          <w:rFonts w:cstheme="minorHAnsi"/>
          <w:sz w:val="20"/>
          <w:szCs w:val="20"/>
        </w:rPr>
        <w:t>FM</w:t>
      </w:r>
      <w:r w:rsidRPr="00852641">
        <w:rPr>
          <w:rFonts w:cstheme="minorHAnsi"/>
          <w:color w:val="000000"/>
          <w:sz w:val="20"/>
          <w:szCs w:val="20"/>
        </w:rPr>
        <w:t xml:space="preserve">. IEP has employed the best practice techniques listed in Table </w:t>
      </w:r>
      <w:r w:rsidR="003E11EE">
        <w:rPr>
          <w:rFonts w:cstheme="minorHAnsi"/>
          <w:color w:val="000000"/>
          <w:sz w:val="20"/>
          <w:szCs w:val="20"/>
        </w:rPr>
        <w:t>4</w:t>
      </w:r>
      <w:r w:rsidR="003E11EE" w:rsidRPr="00852641">
        <w:rPr>
          <w:rFonts w:cstheme="minorHAnsi"/>
          <w:color w:val="000000"/>
          <w:sz w:val="20"/>
          <w:szCs w:val="20"/>
        </w:rPr>
        <w:t xml:space="preserve"> </w:t>
      </w:r>
      <w:r w:rsidRPr="00852641">
        <w:rPr>
          <w:rFonts w:cstheme="minorHAnsi"/>
          <w:color w:val="000000"/>
          <w:sz w:val="20"/>
          <w:szCs w:val="20"/>
        </w:rPr>
        <w:t>to deal with data gaps.</w:t>
      </w:r>
      <w:r w:rsidR="001072BF">
        <w:rPr>
          <w:rStyle w:val="FootnoteReference"/>
          <w:rFonts w:cstheme="minorHAnsi"/>
          <w:color w:val="000000"/>
          <w:sz w:val="20"/>
          <w:szCs w:val="20"/>
        </w:rPr>
        <w:footnoteReference w:id="30"/>
      </w:r>
      <w:r w:rsidRPr="00852641">
        <w:rPr>
          <w:rFonts w:cstheme="minorHAnsi"/>
          <w:color w:val="000000"/>
          <w:sz w:val="20"/>
          <w:szCs w:val="20"/>
        </w:rPr>
        <w:t xml:space="preserve"> </w:t>
      </w:r>
    </w:p>
    <w:p w14:paraId="5E8F5318" w14:textId="77777777" w:rsidR="003E11EE" w:rsidRPr="00852641" w:rsidRDefault="003E11EE" w:rsidP="003E11EE">
      <w:pPr>
        <w:spacing w:after="0" w:line="240" w:lineRule="auto"/>
        <w:jc w:val="both"/>
        <w:rPr>
          <w:rFonts w:cstheme="minorHAnsi"/>
          <w:sz w:val="20"/>
          <w:szCs w:val="20"/>
        </w:rPr>
      </w:pPr>
    </w:p>
    <w:p w14:paraId="26C99A64" w14:textId="797A5E44" w:rsidR="0042381C" w:rsidRPr="00852641" w:rsidRDefault="003A3F8A" w:rsidP="00977CA3">
      <w:pPr>
        <w:pStyle w:val="YDInormal"/>
        <w:spacing w:line="480" w:lineRule="auto"/>
        <w:jc w:val="both"/>
        <w:rPr>
          <w:rFonts w:asciiTheme="minorHAnsi" w:hAnsiTheme="minorHAnsi" w:cstheme="minorHAnsi"/>
          <w:b/>
          <w:szCs w:val="20"/>
          <w:lang w:val="en-AU"/>
        </w:rPr>
      </w:pPr>
      <w:r w:rsidRPr="00852641">
        <w:rPr>
          <w:rFonts w:asciiTheme="minorHAnsi" w:hAnsiTheme="minorHAnsi" w:cstheme="minorHAnsi"/>
          <w:b/>
          <w:szCs w:val="20"/>
          <w:lang w:val="en-AU"/>
        </w:rPr>
        <w:t xml:space="preserve">Table </w:t>
      </w:r>
      <w:r w:rsidR="007E0A4F">
        <w:rPr>
          <w:rFonts w:asciiTheme="minorHAnsi" w:hAnsiTheme="minorHAnsi" w:cstheme="minorHAnsi"/>
          <w:b/>
          <w:szCs w:val="20"/>
        </w:rPr>
        <w:t>4</w:t>
      </w:r>
      <w:r w:rsidRPr="00852641">
        <w:rPr>
          <w:rFonts w:asciiTheme="minorHAnsi" w:hAnsiTheme="minorHAnsi" w:cstheme="minorHAnsi"/>
          <w:b/>
          <w:szCs w:val="20"/>
          <w:lang w:val="en-AU"/>
        </w:rPr>
        <w:t xml:space="preserve"> Data </w:t>
      </w:r>
      <w:r w:rsidR="00A27CBE">
        <w:rPr>
          <w:rFonts w:asciiTheme="minorHAnsi" w:hAnsiTheme="minorHAnsi" w:cstheme="minorHAnsi"/>
          <w:b/>
          <w:szCs w:val="20"/>
          <w:lang w:val="en-AU"/>
        </w:rPr>
        <w:t>I</w:t>
      </w:r>
      <w:r w:rsidRPr="00852641">
        <w:rPr>
          <w:rFonts w:asciiTheme="minorHAnsi" w:hAnsiTheme="minorHAnsi" w:cstheme="minorHAnsi"/>
          <w:b/>
          <w:szCs w:val="20"/>
          <w:lang w:val="en-AU"/>
        </w:rPr>
        <w:t xml:space="preserve">mputation </w:t>
      </w:r>
      <w:r w:rsidR="00A27CBE">
        <w:rPr>
          <w:rFonts w:asciiTheme="minorHAnsi" w:hAnsiTheme="minorHAnsi" w:cstheme="minorHAnsi"/>
          <w:b/>
          <w:szCs w:val="20"/>
          <w:lang w:val="en-AU"/>
        </w:rPr>
        <w:t>M</w:t>
      </w:r>
      <w:r w:rsidRPr="00852641">
        <w:rPr>
          <w:rFonts w:asciiTheme="minorHAnsi" w:hAnsiTheme="minorHAnsi" w:cstheme="minorHAnsi"/>
          <w:b/>
          <w:szCs w:val="20"/>
          <w:lang w:val="en-AU"/>
        </w:rPr>
        <w:t xml:space="preserve">ethods </w:t>
      </w:r>
      <w:r w:rsidR="00A27CBE">
        <w:rPr>
          <w:rFonts w:asciiTheme="minorHAnsi" w:hAnsiTheme="minorHAnsi" w:cstheme="minorHAnsi"/>
          <w:b/>
          <w:szCs w:val="20"/>
          <w:lang w:val="en-AU"/>
        </w:rPr>
        <w:t>A</w:t>
      </w:r>
      <w:r w:rsidRPr="00852641">
        <w:rPr>
          <w:rFonts w:asciiTheme="minorHAnsi" w:hAnsiTheme="minorHAnsi" w:cstheme="minorHAnsi"/>
          <w:b/>
          <w:szCs w:val="20"/>
          <w:lang w:val="en-AU"/>
        </w:rPr>
        <w:t xml:space="preserve">pplied in the </w:t>
      </w:r>
      <w:r w:rsidR="00534E53">
        <w:rPr>
          <w:rFonts w:asciiTheme="minorHAnsi" w:hAnsiTheme="minorHAnsi" w:cstheme="minorHAnsi"/>
          <w:b/>
          <w:szCs w:val="20"/>
          <w:lang w:val="en-AU"/>
        </w:rPr>
        <w:t>UNDP-FM</w:t>
      </w:r>
    </w:p>
    <w:tbl>
      <w:tblPr>
        <w:tblStyle w:val="TableGrid"/>
        <w:tblW w:w="9016" w:type="dxa"/>
        <w:tblInd w:w="113" w:type="dxa"/>
        <w:tblLayout w:type="fixed"/>
        <w:tblLook w:val="04A0" w:firstRow="1" w:lastRow="0" w:firstColumn="1" w:lastColumn="0" w:noHBand="0" w:noVBand="1"/>
      </w:tblPr>
      <w:tblGrid>
        <w:gridCol w:w="2547"/>
        <w:gridCol w:w="3856"/>
        <w:gridCol w:w="2613"/>
      </w:tblGrid>
      <w:tr w:rsidR="0042381C" w:rsidRPr="00852641" w14:paraId="76ED1239" w14:textId="77777777" w:rsidTr="00D34A69">
        <w:tc>
          <w:tcPr>
            <w:tcW w:w="2547" w:type="dxa"/>
            <w:shd w:val="clear" w:color="auto" w:fill="D9D9D9" w:themeFill="background1" w:themeFillShade="D9"/>
          </w:tcPr>
          <w:p w14:paraId="1F34ACBF" w14:textId="77777777" w:rsidR="0042381C" w:rsidRPr="00852641" w:rsidRDefault="003A3F8A" w:rsidP="00977CA3">
            <w:pPr>
              <w:pStyle w:val="YDInormal"/>
              <w:widowControl w:val="0"/>
              <w:spacing w:after="0" w:line="480" w:lineRule="auto"/>
              <w:jc w:val="both"/>
              <w:rPr>
                <w:rFonts w:asciiTheme="minorHAnsi" w:hAnsiTheme="minorHAnsi" w:cstheme="minorHAnsi"/>
                <w:b/>
                <w:sz w:val="18"/>
                <w:szCs w:val="20"/>
                <w:lang w:val="en-AU"/>
              </w:rPr>
            </w:pPr>
            <w:r w:rsidRPr="00852641">
              <w:rPr>
                <w:rFonts w:asciiTheme="minorHAnsi" w:eastAsia="Calibri" w:hAnsiTheme="minorHAnsi" w:cstheme="minorHAnsi"/>
                <w:b/>
                <w:sz w:val="18"/>
                <w:szCs w:val="20"/>
                <w:lang w:val="en-AU"/>
              </w:rPr>
              <w:t>Imputation method</w:t>
            </w:r>
          </w:p>
        </w:tc>
        <w:tc>
          <w:tcPr>
            <w:tcW w:w="3856" w:type="dxa"/>
            <w:shd w:val="clear" w:color="auto" w:fill="D9D9D9" w:themeFill="background1" w:themeFillShade="D9"/>
          </w:tcPr>
          <w:p w14:paraId="42D3DAA0" w14:textId="77777777" w:rsidR="0042381C" w:rsidRPr="00852641" w:rsidRDefault="003A3F8A" w:rsidP="00977CA3">
            <w:pPr>
              <w:pStyle w:val="YDInormal"/>
              <w:widowControl w:val="0"/>
              <w:spacing w:after="0" w:line="480" w:lineRule="auto"/>
              <w:jc w:val="both"/>
              <w:rPr>
                <w:rFonts w:asciiTheme="minorHAnsi" w:hAnsiTheme="minorHAnsi" w:cstheme="minorHAnsi"/>
                <w:b/>
                <w:sz w:val="18"/>
                <w:szCs w:val="20"/>
                <w:lang w:val="en-AU"/>
              </w:rPr>
            </w:pPr>
            <w:r w:rsidRPr="00852641">
              <w:rPr>
                <w:rFonts w:asciiTheme="minorHAnsi" w:eastAsia="Calibri" w:hAnsiTheme="minorHAnsi" w:cstheme="minorHAnsi"/>
                <w:b/>
                <w:sz w:val="18"/>
                <w:szCs w:val="20"/>
                <w:lang w:val="en-AU"/>
              </w:rPr>
              <w:t>Description</w:t>
            </w:r>
          </w:p>
        </w:tc>
        <w:tc>
          <w:tcPr>
            <w:tcW w:w="2613" w:type="dxa"/>
            <w:shd w:val="clear" w:color="auto" w:fill="D9D9D9" w:themeFill="background1" w:themeFillShade="D9"/>
          </w:tcPr>
          <w:p w14:paraId="547711A7" w14:textId="77777777" w:rsidR="0042381C" w:rsidRPr="00852641" w:rsidRDefault="003A3F8A" w:rsidP="00977CA3">
            <w:pPr>
              <w:pStyle w:val="YDInormal"/>
              <w:widowControl w:val="0"/>
              <w:spacing w:after="0" w:line="480" w:lineRule="auto"/>
              <w:jc w:val="both"/>
              <w:rPr>
                <w:rFonts w:asciiTheme="minorHAnsi" w:hAnsiTheme="minorHAnsi" w:cstheme="minorHAnsi"/>
                <w:b/>
                <w:sz w:val="18"/>
                <w:szCs w:val="20"/>
                <w:lang w:val="en-AU"/>
              </w:rPr>
            </w:pPr>
            <w:r w:rsidRPr="00852641">
              <w:rPr>
                <w:rFonts w:asciiTheme="minorHAnsi" w:eastAsia="Calibri" w:hAnsiTheme="minorHAnsi" w:cstheme="minorHAnsi"/>
                <w:b/>
                <w:sz w:val="18"/>
                <w:szCs w:val="20"/>
                <w:lang w:val="en-AU"/>
              </w:rPr>
              <w:t>Application in the 2020 YDI</w:t>
            </w:r>
          </w:p>
        </w:tc>
      </w:tr>
      <w:tr w:rsidR="0042381C" w:rsidRPr="00852641" w14:paraId="7FD8FF6C" w14:textId="77777777" w:rsidTr="00D34A69">
        <w:tc>
          <w:tcPr>
            <w:tcW w:w="2547" w:type="dxa"/>
            <w:shd w:val="clear" w:color="auto" w:fill="F2F2F2" w:themeFill="background1" w:themeFillShade="F2"/>
          </w:tcPr>
          <w:p w14:paraId="7FE11DBF" w14:textId="77777777" w:rsidR="0042381C" w:rsidRPr="00852641" w:rsidRDefault="003A3F8A" w:rsidP="00977CA3">
            <w:pPr>
              <w:pStyle w:val="YDInormal"/>
              <w:widowControl w:val="0"/>
              <w:spacing w:after="0" w:line="480" w:lineRule="auto"/>
              <w:jc w:val="both"/>
              <w:rPr>
                <w:rFonts w:asciiTheme="minorHAnsi" w:hAnsiTheme="minorHAnsi" w:cstheme="minorHAnsi"/>
                <w:sz w:val="18"/>
                <w:szCs w:val="20"/>
                <w:lang w:val="en-AU"/>
              </w:rPr>
            </w:pPr>
            <w:r w:rsidRPr="00852641">
              <w:rPr>
                <w:rFonts w:asciiTheme="minorHAnsi" w:eastAsia="Calibri" w:hAnsiTheme="minorHAnsi" w:cstheme="minorHAnsi"/>
                <w:sz w:val="18"/>
                <w:szCs w:val="20"/>
                <w:lang w:val="en-AU"/>
              </w:rPr>
              <w:t>Time series imputation</w:t>
            </w:r>
          </w:p>
        </w:tc>
        <w:tc>
          <w:tcPr>
            <w:tcW w:w="3856" w:type="dxa"/>
            <w:shd w:val="clear" w:color="auto" w:fill="F2F2F2" w:themeFill="background1" w:themeFillShade="F2"/>
          </w:tcPr>
          <w:p w14:paraId="7A3F3121" w14:textId="77777777" w:rsidR="0042381C" w:rsidRPr="00852641" w:rsidRDefault="003A3F8A" w:rsidP="00977CA3">
            <w:pPr>
              <w:pStyle w:val="YDInormal"/>
              <w:widowControl w:val="0"/>
              <w:spacing w:after="0" w:line="480" w:lineRule="auto"/>
              <w:jc w:val="both"/>
              <w:rPr>
                <w:rFonts w:asciiTheme="minorHAnsi" w:hAnsiTheme="minorHAnsi" w:cstheme="minorHAnsi"/>
                <w:sz w:val="18"/>
                <w:szCs w:val="20"/>
                <w:lang w:val="en-AU"/>
              </w:rPr>
            </w:pPr>
            <w:r w:rsidRPr="00852641">
              <w:rPr>
                <w:rFonts w:asciiTheme="minorHAnsi" w:eastAsia="Calibri" w:hAnsiTheme="minorHAnsi" w:cstheme="minorHAnsi"/>
                <w:sz w:val="18"/>
                <w:szCs w:val="20"/>
                <w:lang w:val="en-AU"/>
              </w:rPr>
              <w:t>Replace missing values using linear interpolation</w:t>
            </w:r>
          </w:p>
        </w:tc>
        <w:tc>
          <w:tcPr>
            <w:tcW w:w="2613" w:type="dxa"/>
            <w:shd w:val="clear" w:color="auto" w:fill="F2F2F2" w:themeFill="background1" w:themeFillShade="F2"/>
          </w:tcPr>
          <w:p w14:paraId="654CABDB" w14:textId="77777777" w:rsidR="0042381C" w:rsidRPr="00852641" w:rsidRDefault="003A3F8A" w:rsidP="00977CA3">
            <w:pPr>
              <w:pStyle w:val="YDInormal"/>
              <w:widowControl w:val="0"/>
              <w:spacing w:after="0" w:line="480" w:lineRule="auto"/>
              <w:jc w:val="both"/>
              <w:rPr>
                <w:rFonts w:asciiTheme="minorHAnsi" w:hAnsiTheme="minorHAnsi" w:cstheme="minorHAnsi"/>
                <w:sz w:val="18"/>
                <w:szCs w:val="20"/>
                <w:lang w:val="en-AU"/>
              </w:rPr>
            </w:pPr>
            <w:r w:rsidRPr="00852641">
              <w:rPr>
                <w:rFonts w:asciiTheme="minorHAnsi" w:eastAsia="Calibri" w:hAnsiTheme="minorHAnsi" w:cstheme="minorHAnsi"/>
                <w:sz w:val="18"/>
                <w:szCs w:val="20"/>
                <w:lang w:val="en-AU"/>
              </w:rPr>
              <w:t>IEP uses this method when at least two data points exist in a time series for an indicator-country pair, to estimate data for unreported years.</w:t>
            </w:r>
          </w:p>
          <w:p w14:paraId="4969EDEA" w14:textId="77777777" w:rsidR="0042381C" w:rsidRPr="00852641" w:rsidRDefault="003A3F8A" w:rsidP="00977CA3">
            <w:pPr>
              <w:pStyle w:val="YDInormal"/>
              <w:widowControl w:val="0"/>
              <w:spacing w:after="0" w:line="480" w:lineRule="auto"/>
              <w:jc w:val="both"/>
              <w:rPr>
                <w:rFonts w:asciiTheme="minorHAnsi" w:hAnsiTheme="minorHAnsi" w:cstheme="minorHAnsi"/>
                <w:sz w:val="18"/>
                <w:szCs w:val="20"/>
                <w:lang w:val="en-AU"/>
              </w:rPr>
            </w:pPr>
            <w:r w:rsidRPr="00852641">
              <w:rPr>
                <w:rFonts w:asciiTheme="minorHAnsi" w:eastAsia="Calibri" w:hAnsiTheme="minorHAnsi" w:cstheme="minorHAnsi"/>
                <w:sz w:val="18"/>
                <w:szCs w:val="20"/>
                <w:lang w:val="en-AU"/>
              </w:rPr>
              <w:t>Similarly, when only one year of data is available for all countries, the values for that year are used for all years in the index.</w:t>
            </w:r>
          </w:p>
        </w:tc>
      </w:tr>
      <w:tr w:rsidR="0042381C" w:rsidRPr="00852641" w14:paraId="77E188FA" w14:textId="77777777" w:rsidTr="00D34A69">
        <w:tc>
          <w:tcPr>
            <w:tcW w:w="2547" w:type="dxa"/>
            <w:shd w:val="clear" w:color="auto" w:fill="F2F2F2" w:themeFill="background1" w:themeFillShade="F2"/>
          </w:tcPr>
          <w:p w14:paraId="42CBD522" w14:textId="77777777" w:rsidR="0042381C" w:rsidRPr="00852641" w:rsidRDefault="003A3F8A" w:rsidP="00977CA3">
            <w:pPr>
              <w:pStyle w:val="YDInormal"/>
              <w:widowControl w:val="0"/>
              <w:spacing w:after="0" w:line="480" w:lineRule="auto"/>
              <w:jc w:val="both"/>
              <w:rPr>
                <w:rFonts w:asciiTheme="minorHAnsi" w:hAnsiTheme="minorHAnsi" w:cstheme="minorHAnsi"/>
                <w:sz w:val="18"/>
                <w:szCs w:val="20"/>
                <w:lang w:val="en-AU"/>
              </w:rPr>
            </w:pPr>
            <w:r w:rsidRPr="00852641">
              <w:rPr>
                <w:rFonts w:asciiTheme="minorHAnsi" w:eastAsia="Calibri" w:hAnsiTheme="minorHAnsi" w:cstheme="minorHAnsi"/>
                <w:sz w:val="18"/>
                <w:szCs w:val="20"/>
                <w:lang w:val="en-AU"/>
              </w:rPr>
              <w:lastRenderedPageBreak/>
              <w:t>Hot deck imputation</w:t>
            </w:r>
          </w:p>
        </w:tc>
        <w:tc>
          <w:tcPr>
            <w:tcW w:w="3856" w:type="dxa"/>
            <w:shd w:val="clear" w:color="auto" w:fill="F2F2F2" w:themeFill="background1" w:themeFillShade="F2"/>
          </w:tcPr>
          <w:p w14:paraId="20BC5FC8" w14:textId="77777777" w:rsidR="0042381C" w:rsidRPr="00852641" w:rsidRDefault="003A3F8A" w:rsidP="00977CA3">
            <w:pPr>
              <w:pStyle w:val="YDInormal"/>
              <w:widowControl w:val="0"/>
              <w:spacing w:after="0" w:line="480" w:lineRule="auto"/>
              <w:jc w:val="both"/>
              <w:rPr>
                <w:rFonts w:asciiTheme="minorHAnsi" w:hAnsiTheme="minorHAnsi" w:cstheme="minorHAnsi"/>
                <w:sz w:val="18"/>
                <w:szCs w:val="20"/>
                <w:lang w:val="en-AU"/>
              </w:rPr>
            </w:pPr>
            <w:r w:rsidRPr="00852641">
              <w:rPr>
                <w:rFonts w:asciiTheme="minorHAnsi" w:eastAsia="Calibri" w:hAnsiTheme="minorHAnsi" w:cstheme="minorHAnsi"/>
                <w:sz w:val="18"/>
                <w:szCs w:val="20"/>
              </w:rPr>
              <w:t>Replacing the missing value with a KNN imputation. KNN is an algorithm that is useful for matching a point with its closest k neighbours in a multi-dimensional space. It can be used for data that are continuous, discrete, ordinal and categorical which makes it particularly useful for dealing with missing data. The NI fills in data gaps using the 5 most similar countries to impute a value.</w:t>
            </w:r>
          </w:p>
        </w:tc>
        <w:tc>
          <w:tcPr>
            <w:tcW w:w="2613" w:type="dxa"/>
            <w:shd w:val="clear" w:color="auto" w:fill="F2F2F2" w:themeFill="background1" w:themeFillShade="F2"/>
          </w:tcPr>
          <w:p w14:paraId="75B33ABE" w14:textId="77777777" w:rsidR="0042381C" w:rsidRPr="00852641" w:rsidRDefault="003A3F8A" w:rsidP="00977CA3">
            <w:pPr>
              <w:pStyle w:val="YDInormal"/>
              <w:widowControl w:val="0"/>
              <w:spacing w:after="0" w:line="480" w:lineRule="auto"/>
              <w:jc w:val="both"/>
              <w:rPr>
                <w:rFonts w:asciiTheme="minorHAnsi" w:hAnsiTheme="minorHAnsi" w:cstheme="minorHAnsi"/>
                <w:sz w:val="18"/>
                <w:szCs w:val="20"/>
                <w:lang w:val="en-AU"/>
              </w:rPr>
            </w:pPr>
            <w:r w:rsidRPr="00852641">
              <w:rPr>
                <w:rFonts w:asciiTheme="minorHAnsi" w:hAnsiTheme="minorHAnsi" w:cstheme="minorHAnsi"/>
                <w:sz w:val="18"/>
                <w:szCs w:val="20"/>
              </w:rPr>
              <w:t xml:space="preserve">IEP </w:t>
            </w:r>
            <w:r w:rsidRPr="00852641">
              <w:rPr>
                <w:rFonts w:asciiTheme="minorHAnsi" w:eastAsia="Calibri" w:hAnsiTheme="minorHAnsi" w:cstheme="minorHAnsi"/>
                <w:sz w:val="18"/>
                <w:szCs w:val="20"/>
              </w:rPr>
              <w:t>uses this method for data that is not available for all countries.</w:t>
            </w:r>
          </w:p>
        </w:tc>
      </w:tr>
    </w:tbl>
    <w:p w14:paraId="2250C5B3" w14:textId="77777777" w:rsidR="0042381C" w:rsidRPr="00852641" w:rsidRDefault="0042381C" w:rsidP="00977CA3">
      <w:pPr>
        <w:spacing w:after="0" w:line="480" w:lineRule="auto"/>
        <w:jc w:val="both"/>
        <w:rPr>
          <w:rFonts w:cstheme="minorHAnsi"/>
          <w:sz w:val="20"/>
          <w:szCs w:val="20"/>
          <w:lang w:val="en-AU" w:eastAsia="en-AU"/>
        </w:rPr>
      </w:pPr>
    </w:p>
    <w:p w14:paraId="66802769" w14:textId="13493751" w:rsidR="0042381C" w:rsidRPr="009B6620" w:rsidRDefault="001A1CDA" w:rsidP="00546660">
      <w:pPr>
        <w:pStyle w:val="Heading2"/>
      </w:pPr>
      <w:bookmarkStart w:id="35" w:name="_Toc75438776"/>
      <w:r w:rsidRPr="009B6620">
        <w:t>Indicator Banding</w:t>
      </w:r>
      <w:bookmarkEnd w:id="35"/>
    </w:p>
    <w:p w14:paraId="031FB284" w14:textId="77777777" w:rsidR="00A27CBE" w:rsidRDefault="00A27CBE" w:rsidP="005727E7">
      <w:pPr>
        <w:spacing w:after="0"/>
        <w:jc w:val="both"/>
        <w:rPr>
          <w:rFonts w:cstheme="minorHAnsi"/>
          <w:sz w:val="20"/>
          <w:szCs w:val="20"/>
        </w:rPr>
      </w:pPr>
    </w:p>
    <w:p w14:paraId="5D74CC12" w14:textId="668122C4" w:rsidR="0042381C" w:rsidRPr="005727E7" w:rsidRDefault="003A3F8A" w:rsidP="005727E7">
      <w:pPr>
        <w:spacing w:after="0"/>
        <w:jc w:val="both"/>
        <w:rPr>
          <w:rFonts w:cstheme="minorHAnsi"/>
          <w:color w:val="000000"/>
          <w:sz w:val="20"/>
          <w:szCs w:val="20"/>
        </w:rPr>
      </w:pPr>
      <w:r w:rsidRPr="00852641">
        <w:rPr>
          <w:rFonts w:cstheme="minorHAnsi"/>
          <w:sz w:val="20"/>
          <w:szCs w:val="20"/>
        </w:rPr>
        <w:t xml:space="preserve">In order to aggregate the incommensurable indicators, all indicators have been banded (normalised). This means each indicator is scaled to a score ranging between 0 and 1, relative to the initial global range. Appropriate minimum and maximum values are, therefore, chosen for each indicator so that any values below the minimum are assigned 0 and values above the </w:t>
      </w:r>
      <w:r w:rsidRPr="005727E7">
        <w:rPr>
          <w:rFonts w:cstheme="minorHAnsi"/>
          <w:color w:val="000000"/>
          <w:sz w:val="20"/>
          <w:szCs w:val="20"/>
        </w:rPr>
        <w:t xml:space="preserve">maximum are assigned 1. All other values are scaled between 0 and 1, equivalent to their position in the original minimum-maximum range. Depending on the nature of the data, the banding process can take slightly different forms. </w:t>
      </w:r>
    </w:p>
    <w:p w14:paraId="70E8D997" w14:textId="77777777" w:rsidR="00A27CBE" w:rsidRDefault="00A27CBE" w:rsidP="005727E7">
      <w:pPr>
        <w:spacing w:after="0"/>
        <w:jc w:val="both"/>
        <w:rPr>
          <w:rFonts w:cstheme="minorHAnsi"/>
          <w:color w:val="000000"/>
          <w:sz w:val="20"/>
          <w:szCs w:val="20"/>
        </w:rPr>
      </w:pPr>
    </w:p>
    <w:p w14:paraId="64C5C214" w14:textId="72102859" w:rsidR="0042381C" w:rsidRPr="005727E7" w:rsidRDefault="003A3F8A" w:rsidP="005727E7">
      <w:pPr>
        <w:spacing w:after="0"/>
        <w:jc w:val="both"/>
        <w:rPr>
          <w:rFonts w:cstheme="minorHAnsi"/>
          <w:color w:val="000000"/>
          <w:sz w:val="20"/>
          <w:szCs w:val="20"/>
        </w:rPr>
      </w:pPr>
      <w:r w:rsidRPr="005727E7">
        <w:rPr>
          <w:rFonts w:cstheme="minorHAnsi"/>
          <w:color w:val="000000"/>
          <w:sz w:val="20"/>
          <w:szCs w:val="20"/>
        </w:rPr>
        <w:t xml:space="preserve">For example, for the access to essential services indicator, a higher score reflects a more desirable situation. Therefore, in this case, the banding process has assigned the largest data point a value of 1. Conversely, the lowest data point in the indicator has been assigned a value of 0, while all other data are scaled relative to these two points. This process is referred to as forward banding. On the other hand, a lower score in the mortality indicator reflects a more desirable situation. In this case, the data are reverse banded, so the lowest value is assigned 1 while the highest is assigned 0. </w:t>
      </w:r>
    </w:p>
    <w:p w14:paraId="33789708" w14:textId="77777777" w:rsidR="00A27CBE" w:rsidRDefault="00A27CBE" w:rsidP="005727E7">
      <w:pPr>
        <w:spacing w:after="0"/>
        <w:jc w:val="both"/>
        <w:rPr>
          <w:rFonts w:cstheme="minorHAnsi"/>
          <w:color w:val="000000"/>
          <w:sz w:val="20"/>
          <w:szCs w:val="20"/>
        </w:rPr>
      </w:pPr>
    </w:p>
    <w:p w14:paraId="11B3568E" w14:textId="3446CB33" w:rsidR="0042381C" w:rsidRDefault="003A3F8A" w:rsidP="005727E7">
      <w:pPr>
        <w:spacing w:after="0"/>
        <w:jc w:val="both"/>
        <w:rPr>
          <w:rFonts w:cstheme="minorHAnsi"/>
          <w:sz w:val="20"/>
          <w:szCs w:val="20"/>
        </w:rPr>
      </w:pPr>
      <w:r w:rsidRPr="005727E7">
        <w:rPr>
          <w:rFonts w:cstheme="minorHAnsi"/>
          <w:color w:val="000000"/>
          <w:sz w:val="20"/>
          <w:szCs w:val="20"/>
        </w:rPr>
        <w:t>Therefore, for yea</w:t>
      </w:r>
      <w:r w:rsidRPr="00852641">
        <w:rPr>
          <w:rFonts w:cstheme="minorHAnsi"/>
          <w:sz w:val="20"/>
          <w:szCs w:val="20"/>
        </w:rPr>
        <w:t xml:space="preserve">r </w:t>
      </w:r>
      <w:r w:rsidRPr="00852641">
        <w:rPr>
          <w:rFonts w:cstheme="minorHAnsi"/>
          <w:i/>
          <w:sz w:val="20"/>
          <w:szCs w:val="20"/>
        </w:rPr>
        <w:t>y</w:t>
      </w:r>
      <w:r w:rsidRPr="00852641">
        <w:rPr>
          <w:rFonts w:cstheme="minorHAnsi"/>
          <w:sz w:val="20"/>
          <w:szCs w:val="20"/>
        </w:rPr>
        <w:t xml:space="preserve">, a forward banded score is calculated for indicator </w:t>
      </w:r>
      <w:r w:rsidRPr="00852641">
        <w:rPr>
          <w:rFonts w:cstheme="minorHAnsi"/>
          <w:i/>
          <w:sz w:val="20"/>
          <w:szCs w:val="20"/>
        </w:rPr>
        <w:t xml:space="preserve">i </w:t>
      </w:r>
      <w:r w:rsidRPr="00852641">
        <w:rPr>
          <w:rFonts w:cstheme="minorHAnsi"/>
          <w:sz w:val="20"/>
          <w:szCs w:val="20"/>
        </w:rPr>
        <w:t xml:space="preserve">by Equation 1. A reverse banded score is calculated using Equation 2. </w:t>
      </w:r>
    </w:p>
    <w:p w14:paraId="1AEE2D56" w14:textId="77777777" w:rsidR="00A27CBE" w:rsidRPr="00852641" w:rsidRDefault="00A27CBE" w:rsidP="005727E7">
      <w:pPr>
        <w:spacing w:after="0"/>
        <w:jc w:val="both"/>
        <w:rPr>
          <w:rFonts w:cstheme="minorHAnsi"/>
          <w:sz w:val="20"/>
          <w:szCs w:val="20"/>
        </w:rPr>
      </w:pPr>
    </w:p>
    <w:p w14:paraId="280C3E89" w14:textId="0CCC42F7" w:rsidR="0042381C" w:rsidRPr="00852641" w:rsidRDefault="003A3F8A" w:rsidP="006A7CF7">
      <w:pPr>
        <w:pStyle w:val="YDInormal"/>
        <w:spacing w:line="480" w:lineRule="auto"/>
        <w:jc w:val="center"/>
        <w:rPr>
          <w:rFonts w:asciiTheme="minorHAnsi" w:hAnsiTheme="minorHAnsi" w:cstheme="minorHAnsi"/>
          <w:sz w:val="20"/>
          <w:szCs w:val="20"/>
        </w:rPr>
      </w:pPr>
      <w:r w:rsidRPr="00852641">
        <w:rPr>
          <w:rFonts w:asciiTheme="minorHAnsi" w:hAnsiTheme="minorHAnsi" w:cstheme="minorHAnsi"/>
          <w:noProof/>
          <w:lang w:val="en-AU" w:eastAsia="en-AU"/>
        </w:rPr>
        <w:lastRenderedPageBreak/>
        <w:drawing>
          <wp:inline distT="0" distB="0" distL="0" distR="0" wp14:anchorId="4B277E70" wp14:editId="523B05E5">
            <wp:extent cx="4210050" cy="272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4226226" cy="2739390"/>
                    </a:xfrm>
                    <a:prstGeom prst="rect">
                      <a:avLst/>
                    </a:prstGeom>
                  </pic:spPr>
                </pic:pic>
              </a:graphicData>
            </a:graphic>
          </wp:inline>
        </w:drawing>
      </w:r>
    </w:p>
    <w:p w14:paraId="1331A55F" w14:textId="07136DA8" w:rsidR="001A1CDA" w:rsidRDefault="00111E5B" w:rsidP="005727E7">
      <w:pPr>
        <w:spacing w:after="0"/>
        <w:jc w:val="both"/>
        <w:rPr>
          <w:rFonts w:cstheme="minorHAnsi"/>
          <w:sz w:val="20"/>
          <w:szCs w:val="20"/>
        </w:rPr>
      </w:pPr>
      <w:r w:rsidRPr="00852641">
        <w:rPr>
          <w:rFonts w:cstheme="minorHAnsi"/>
          <w:sz w:val="20"/>
          <w:szCs w:val="20"/>
        </w:rPr>
        <w:t>Table</w:t>
      </w:r>
      <w:r w:rsidR="006A63D9">
        <w:rPr>
          <w:rFonts w:cstheme="minorHAnsi"/>
          <w:sz w:val="20"/>
          <w:szCs w:val="20"/>
        </w:rPr>
        <w:t xml:space="preserve"> 5 </w:t>
      </w:r>
      <w:r w:rsidRPr="00852641">
        <w:rPr>
          <w:rFonts w:cstheme="minorHAnsi"/>
          <w:sz w:val="20"/>
          <w:szCs w:val="20"/>
        </w:rPr>
        <w:t xml:space="preserve">shows which banding equation has been used for each indicator. The “Concept Score” is calculated per country as being the average of each </w:t>
      </w:r>
      <w:r w:rsidRPr="005727E7">
        <w:rPr>
          <w:rFonts w:cstheme="minorHAnsi"/>
          <w:color w:val="000000"/>
          <w:sz w:val="20"/>
          <w:szCs w:val="20"/>
        </w:rPr>
        <w:t>banded</w:t>
      </w:r>
      <w:r w:rsidRPr="00852641">
        <w:rPr>
          <w:rFonts w:cstheme="minorHAnsi"/>
          <w:sz w:val="20"/>
          <w:szCs w:val="20"/>
        </w:rPr>
        <w:t xml:space="preserve"> input indicator. </w:t>
      </w:r>
    </w:p>
    <w:p w14:paraId="0F628C51" w14:textId="77777777" w:rsidR="00075CB0" w:rsidRPr="00852641" w:rsidRDefault="00075CB0" w:rsidP="005727E7">
      <w:pPr>
        <w:spacing w:after="0"/>
        <w:jc w:val="both"/>
        <w:rPr>
          <w:rFonts w:cstheme="minorHAnsi"/>
          <w:sz w:val="20"/>
          <w:szCs w:val="20"/>
        </w:rPr>
      </w:pPr>
    </w:p>
    <w:p w14:paraId="78C7C30A" w14:textId="77777777" w:rsidR="0042381C" w:rsidRPr="009B6620" w:rsidRDefault="003A3F8A" w:rsidP="00546660">
      <w:pPr>
        <w:pStyle w:val="Heading2"/>
      </w:pPr>
      <w:bookmarkStart w:id="36" w:name="_Toc43459260"/>
      <w:bookmarkStart w:id="37" w:name="_Toc75438777"/>
      <w:r w:rsidRPr="009B6620">
        <w:t>Weighting indicators and domains</w:t>
      </w:r>
      <w:bookmarkEnd w:id="36"/>
      <w:bookmarkEnd w:id="37"/>
    </w:p>
    <w:p w14:paraId="6EE2C080" w14:textId="77777777" w:rsidR="00075CB0" w:rsidRDefault="00075CB0" w:rsidP="005727E7">
      <w:pPr>
        <w:spacing w:after="0"/>
        <w:jc w:val="both"/>
        <w:rPr>
          <w:rFonts w:cstheme="minorHAnsi"/>
          <w:sz w:val="20"/>
          <w:szCs w:val="20"/>
          <w:lang w:val="en-AU"/>
        </w:rPr>
      </w:pPr>
    </w:p>
    <w:p w14:paraId="7D196017" w14:textId="52ADC170" w:rsidR="007A1E27" w:rsidRPr="005727E7" w:rsidRDefault="003A3F8A" w:rsidP="005727E7">
      <w:pPr>
        <w:spacing w:after="0"/>
        <w:jc w:val="both"/>
        <w:rPr>
          <w:rFonts w:cstheme="minorHAnsi"/>
          <w:color w:val="000000"/>
          <w:sz w:val="20"/>
          <w:szCs w:val="20"/>
        </w:rPr>
      </w:pPr>
      <w:r w:rsidRPr="00852641">
        <w:rPr>
          <w:rFonts w:cstheme="minorHAnsi"/>
          <w:sz w:val="20"/>
          <w:szCs w:val="20"/>
          <w:lang w:val="en-AU"/>
        </w:rPr>
        <w:t xml:space="preserve">Table </w:t>
      </w:r>
      <w:r w:rsidR="005727E7">
        <w:rPr>
          <w:rFonts w:cstheme="minorHAnsi"/>
          <w:sz w:val="20"/>
          <w:szCs w:val="20"/>
          <w:lang w:val="en-AU"/>
        </w:rPr>
        <w:t>5</w:t>
      </w:r>
      <w:r w:rsidRPr="00852641">
        <w:rPr>
          <w:rFonts w:cstheme="minorHAnsi"/>
          <w:sz w:val="20"/>
          <w:szCs w:val="20"/>
          <w:lang w:val="en-AU"/>
        </w:rPr>
        <w:t xml:space="preserve"> shows the indicators and respective weights applied in the </w:t>
      </w:r>
      <w:r w:rsidR="00534E53">
        <w:rPr>
          <w:rFonts w:cstheme="minorHAnsi"/>
          <w:sz w:val="20"/>
          <w:szCs w:val="20"/>
          <w:lang w:val="en-AU"/>
        </w:rPr>
        <w:t>UNDP-FM</w:t>
      </w:r>
      <w:r w:rsidRPr="00852641">
        <w:rPr>
          <w:rFonts w:cstheme="minorHAnsi"/>
          <w:sz w:val="20"/>
          <w:szCs w:val="20"/>
          <w:lang w:val="en-AU"/>
        </w:rPr>
        <w:t>. These have been statistically derived using Principal Com</w:t>
      </w:r>
      <w:r w:rsidR="007A1E27" w:rsidRPr="00852641">
        <w:rPr>
          <w:rFonts w:cstheme="minorHAnsi"/>
          <w:sz w:val="20"/>
          <w:szCs w:val="20"/>
          <w:lang w:val="en-AU"/>
        </w:rPr>
        <w:t xml:space="preserve">ponents Analysis (PCA). </w:t>
      </w:r>
      <w:r w:rsidR="00977CA3" w:rsidRPr="00852641">
        <w:rPr>
          <w:rFonts w:cstheme="minorHAnsi"/>
          <w:sz w:val="20"/>
          <w:szCs w:val="20"/>
          <w:lang w:val="en-AU"/>
        </w:rPr>
        <w:t xml:space="preserve">The objective of PCA is to explain the variance of the observed data through a few linear combinations of the original data. Many fragility indicators are conceptually distinct but correlated. Because of this, much of </w:t>
      </w:r>
      <w:r w:rsidR="00977CA3" w:rsidRPr="005727E7">
        <w:rPr>
          <w:rFonts w:cstheme="minorHAnsi"/>
          <w:color w:val="000000"/>
          <w:sz w:val="20"/>
          <w:szCs w:val="20"/>
        </w:rPr>
        <w:t xml:space="preserve">the data’s variation can often be accounted for by a small number of variables. Using PCA to determine weights is one way to ensure that the final index captures the most unique ways of differentiating countries using the underlying data. The </w:t>
      </w:r>
      <w:r w:rsidR="00534E53" w:rsidRPr="005727E7">
        <w:rPr>
          <w:rFonts w:cstheme="minorHAnsi"/>
          <w:color w:val="000000"/>
          <w:sz w:val="20"/>
          <w:szCs w:val="20"/>
        </w:rPr>
        <w:t>UNDP-FM</w:t>
      </w:r>
      <w:r w:rsidR="00977CA3" w:rsidRPr="005727E7">
        <w:rPr>
          <w:rFonts w:cstheme="minorHAnsi"/>
          <w:color w:val="000000"/>
          <w:sz w:val="20"/>
          <w:szCs w:val="20"/>
        </w:rPr>
        <w:t xml:space="preserve"> weights for each concept are shown in Table</w:t>
      </w:r>
      <w:r w:rsidR="007E0A4F" w:rsidRPr="005727E7">
        <w:rPr>
          <w:rFonts w:cstheme="minorHAnsi"/>
          <w:color w:val="000000"/>
          <w:sz w:val="20"/>
          <w:szCs w:val="20"/>
        </w:rPr>
        <w:t xml:space="preserve"> 5</w:t>
      </w:r>
      <w:r w:rsidR="00977CA3" w:rsidRPr="005727E7">
        <w:rPr>
          <w:rFonts w:cstheme="minorHAnsi"/>
          <w:color w:val="000000"/>
          <w:sz w:val="20"/>
          <w:szCs w:val="20"/>
        </w:rPr>
        <w:t>.</w:t>
      </w:r>
    </w:p>
    <w:p w14:paraId="3BAC93CF" w14:textId="77777777" w:rsidR="00A27CBE" w:rsidRDefault="00A27CBE" w:rsidP="005727E7">
      <w:pPr>
        <w:spacing w:after="0"/>
        <w:jc w:val="both"/>
        <w:rPr>
          <w:rFonts w:cstheme="minorHAnsi"/>
          <w:color w:val="000000"/>
          <w:sz w:val="20"/>
          <w:szCs w:val="20"/>
        </w:rPr>
      </w:pPr>
    </w:p>
    <w:p w14:paraId="752E44CE" w14:textId="3C6CC884" w:rsidR="00977CA3" w:rsidRPr="00852641" w:rsidRDefault="00977CA3" w:rsidP="005727E7">
      <w:pPr>
        <w:spacing w:after="0"/>
        <w:jc w:val="both"/>
        <w:rPr>
          <w:rFonts w:cstheme="minorHAnsi"/>
          <w:sz w:val="20"/>
          <w:szCs w:val="20"/>
          <w:lang w:val="en-AU"/>
        </w:rPr>
      </w:pPr>
      <w:r w:rsidRPr="005727E7">
        <w:rPr>
          <w:rFonts w:cstheme="minorHAnsi"/>
          <w:color w:val="000000"/>
          <w:sz w:val="20"/>
          <w:szCs w:val="20"/>
        </w:rPr>
        <w:t xml:space="preserve">While statistically valid, </w:t>
      </w:r>
      <w:r w:rsidR="00CD362D">
        <w:rPr>
          <w:rFonts w:cstheme="minorHAnsi"/>
          <w:sz w:val="20"/>
          <w:szCs w:val="20"/>
          <w:lang w:val="en-AU"/>
        </w:rPr>
        <w:t>the use of</w:t>
      </w:r>
      <w:r w:rsidR="00CD362D" w:rsidRPr="00852641">
        <w:rPr>
          <w:rFonts w:cstheme="minorHAnsi"/>
          <w:sz w:val="20"/>
          <w:szCs w:val="20"/>
          <w:lang w:val="en-AU"/>
        </w:rPr>
        <w:t xml:space="preserve"> PCA</w:t>
      </w:r>
      <w:r w:rsidR="00CD362D" w:rsidRPr="00CD362D" w:rsidDel="00CD362D">
        <w:rPr>
          <w:rFonts w:cstheme="minorHAnsi"/>
          <w:color w:val="000000"/>
          <w:sz w:val="20"/>
          <w:szCs w:val="20"/>
        </w:rPr>
        <w:t xml:space="preserve"> </w:t>
      </w:r>
      <w:r w:rsidRPr="005727E7">
        <w:rPr>
          <w:rFonts w:cstheme="minorHAnsi"/>
          <w:color w:val="000000"/>
          <w:sz w:val="20"/>
          <w:szCs w:val="20"/>
        </w:rPr>
        <w:t xml:space="preserve">can create some communication issues. For example, in Table </w:t>
      </w:r>
      <w:r w:rsidR="006A63D9" w:rsidRPr="005727E7">
        <w:rPr>
          <w:rFonts w:cstheme="minorHAnsi"/>
          <w:color w:val="000000"/>
          <w:sz w:val="20"/>
          <w:szCs w:val="20"/>
        </w:rPr>
        <w:t>5</w:t>
      </w:r>
      <w:r w:rsidRPr="005727E7">
        <w:rPr>
          <w:rFonts w:cstheme="minorHAnsi"/>
          <w:color w:val="000000"/>
          <w:sz w:val="20"/>
          <w:szCs w:val="20"/>
        </w:rPr>
        <w:t xml:space="preserve">, </w:t>
      </w:r>
      <w:r w:rsidR="00824B5D" w:rsidRPr="005727E7">
        <w:rPr>
          <w:rFonts w:cstheme="minorHAnsi"/>
          <w:color w:val="000000"/>
          <w:sz w:val="20"/>
          <w:szCs w:val="20"/>
        </w:rPr>
        <w:t>Youth is</w:t>
      </w:r>
      <w:r w:rsidRPr="005727E7">
        <w:rPr>
          <w:rFonts w:cstheme="minorHAnsi"/>
          <w:color w:val="000000"/>
          <w:sz w:val="20"/>
          <w:szCs w:val="20"/>
        </w:rPr>
        <w:t xml:space="preserve"> weighted lower than the other concepts. </w:t>
      </w:r>
      <w:r w:rsidR="00111E5B" w:rsidRPr="005727E7">
        <w:rPr>
          <w:rFonts w:cstheme="minorHAnsi"/>
          <w:color w:val="000000"/>
          <w:sz w:val="20"/>
          <w:szCs w:val="20"/>
        </w:rPr>
        <w:t>However, this is not</w:t>
      </w:r>
      <w:r w:rsidR="00111E5B" w:rsidRPr="00852641">
        <w:rPr>
          <w:rFonts w:cstheme="minorHAnsi"/>
          <w:b/>
          <w:sz w:val="20"/>
          <w:szCs w:val="20"/>
          <w:lang w:val="en-AU"/>
        </w:rPr>
        <w:t xml:space="preserve"> </w:t>
      </w:r>
      <w:r w:rsidR="00111E5B" w:rsidRPr="00852641">
        <w:rPr>
          <w:rFonts w:cstheme="minorHAnsi"/>
          <w:sz w:val="20"/>
          <w:szCs w:val="20"/>
          <w:lang w:val="en-AU"/>
        </w:rPr>
        <w:t>because th</w:t>
      </w:r>
      <w:r w:rsidR="00824B5D">
        <w:rPr>
          <w:rFonts w:cstheme="minorHAnsi"/>
          <w:sz w:val="20"/>
          <w:szCs w:val="20"/>
          <w:lang w:val="en-AU"/>
        </w:rPr>
        <w:t>is concept</w:t>
      </w:r>
      <w:r w:rsidR="00111E5B" w:rsidRPr="00852641">
        <w:rPr>
          <w:rFonts w:cstheme="minorHAnsi"/>
          <w:sz w:val="20"/>
          <w:szCs w:val="20"/>
          <w:lang w:val="en-AU"/>
        </w:rPr>
        <w:t xml:space="preserve"> </w:t>
      </w:r>
      <w:r w:rsidR="00824B5D">
        <w:rPr>
          <w:rFonts w:cstheme="minorHAnsi"/>
          <w:sz w:val="20"/>
          <w:szCs w:val="20"/>
          <w:lang w:val="en-AU"/>
        </w:rPr>
        <w:t>is</w:t>
      </w:r>
      <w:r w:rsidR="00111E5B" w:rsidRPr="00852641">
        <w:rPr>
          <w:rFonts w:cstheme="minorHAnsi"/>
          <w:sz w:val="20"/>
          <w:szCs w:val="20"/>
          <w:lang w:val="en-AU"/>
        </w:rPr>
        <w:t xml:space="preserve"> not important, but more of a reflection of the “new” information this data provides to the overall framework. The PCA weights suggest that the differences between countries in </w:t>
      </w:r>
      <w:r w:rsidR="00824B5D">
        <w:rPr>
          <w:rFonts w:cstheme="minorHAnsi"/>
          <w:sz w:val="20"/>
          <w:szCs w:val="20"/>
          <w:lang w:val="en-AU"/>
        </w:rPr>
        <w:t xml:space="preserve">the </w:t>
      </w:r>
      <w:r w:rsidR="00CD362D">
        <w:rPr>
          <w:rFonts w:cstheme="minorHAnsi"/>
          <w:sz w:val="20"/>
          <w:szCs w:val="20"/>
          <w:lang w:val="en-AU"/>
        </w:rPr>
        <w:t>Y</w:t>
      </w:r>
      <w:r w:rsidR="00824B5D">
        <w:rPr>
          <w:rFonts w:cstheme="minorHAnsi"/>
          <w:sz w:val="20"/>
          <w:szCs w:val="20"/>
          <w:lang w:val="en-AU"/>
        </w:rPr>
        <w:t>outh concept are captured</w:t>
      </w:r>
      <w:r w:rsidR="00111E5B" w:rsidRPr="00852641">
        <w:rPr>
          <w:rFonts w:cstheme="minorHAnsi"/>
          <w:sz w:val="20"/>
          <w:szCs w:val="20"/>
          <w:lang w:val="en-AU"/>
        </w:rPr>
        <w:t>, quantitatively at least, through the other indicators. The final scores obtained from PCA have the advantage of guaranteeing that the countries are differentiated as much as they can be from the underlying data.</w:t>
      </w:r>
    </w:p>
    <w:p w14:paraId="23F2122F" w14:textId="77777777" w:rsidR="006E2535" w:rsidRDefault="006E2535" w:rsidP="00977CA3">
      <w:pPr>
        <w:pStyle w:val="YDInormal"/>
        <w:spacing w:line="480" w:lineRule="auto"/>
        <w:jc w:val="both"/>
        <w:rPr>
          <w:rFonts w:asciiTheme="minorHAnsi" w:hAnsiTheme="minorHAnsi" w:cstheme="minorHAnsi"/>
          <w:sz w:val="20"/>
          <w:szCs w:val="20"/>
          <w:lang w:val="en-AU"/>
        </w:rPr>
        <w:sectPr w:rsidR="006E2535">
          <w:headerReference w:type="default" r:id="rId10"/>
          <w:pgSz w:w="11906" w:h="16838"/>
          <w:pgMar w:top="1440" w:right="1440" w:bottom="1440" w:left="1440" w:header="0" w:footer="0" w:gutter="0"/>
          <w:cols w:space="720"/>
          <w:formProt w:val="0"/>
          <w:docGrid w:linePitch="360" w:charSpace="4096"/>
        </w:sectPr>
      </w:pPr>
    </w:p>
    <w:p w14:paraId="14C14DCE" w14:textId="18860534" w:rsidR="006E2535" w:rsidRPr="009B6620" w:rsidRDefault="006E2535" w:rsidP="00546660">
      <w:pPr>
        <w:pStyle w:val="Heading2"/>
      </w:pPr>
      <w:bookmarkStart w:id="38" w:name="_Toc75438778"/>
      <w:r w:rsidRPr="009B6620">
        <w:lastRenderedPageBreak/>
        <w:t>UNDP-FM Calculation Process</w:t>
      </w:r>
      <w:r w:rsidR="009B6620">
        <w:t xml:space="preserve"> Table</w:t>
      </w:r>
      <w:bookmarkEnd w:id="38"/>
    </w:p>
    <w:p w14:paraId="354EDDDE" w14:textId="10EB2FF8" w:rsidR="006E2535" w:rsidRDefault="006E2535" w:rsidP="006E2535">
      <w:pPr>
        <w:rPr>
          <w:sz w:val="20"/>
        </w:rPr>
      </w:pPr>
      <w:r w:rsidRPr="006E2535">
        <w:rPr>
          <w:sz w:val="20"/>
        </w:rPr>
        <w:t xml:space="preserve">Table </w:t>
      </w:r>
      <w:r w:rsidR="007E0A4F">
        <w:rPr>
          <w:sz w:val="20"/>
        </w:rPr>
        <w:t>5</w:t>
      </w:r>
      <w:r w:rsidRPr="006E2535">
        <w:rPr>
          <w:sz w:val="20"/>
        </w:rPr>
        <w:t xml:space="preserve"> summarises the different stages of the calculation of the UNDP-FM.</w:t>
      </w:r>
    </w:p>
    <w:p w14:paraId="299BF97D" w14:textId="1FE6A75F" w:rsidR="0038219C" w:rsidRDefault="0038219C" w:rsidP="005727E7">
      <w:pPr>
        <w:pStyle w:val="YDInormal"/>
        <w:spacing w:line="480" w:lineRule="auto"/>
        <w:jc w:val="both"/>
        <w:rPr>
          <w:rFonts w:asciiTheme="minorHAnsi" w:hAnsiTheme="minorHAnsi" w:cstheme="minorHAnsi"/>
          <w:b/>
          <w:szCs w:val="20"/>
          <w:lang w:val="en-AU"/>
        </w:rPr>
      </w:pPr>
      <w:r w:rsidRPr="00852641">
        <w:rPr>
          <w:rFonts w:asciiTheme="minorHAnsi" w:hAnsiTheme="minorHAnsi" w:cstheme="minorHAnsi"/>
          <w:b/>
          <w:szCs w:val="20"/>
          <w:lang w:val="en-AU"/>
        </w:rPr>
        <w:t xml:space="preserve">Table </w:t>
      </w:r>
      <w:r>
        <w:rPr>
          <w:rFonts w:asciiTheme="minorHAnsi" w:hAnsiTheme="minorHAnsi" w:cstheme="minorHAnsi"/>
          <w:b/>
          <w:szCs w:val="20"/>
        </w:rPr>
        <w:t>5</w:t>
      </w:r>
      <w:r w:rsidRPr="00852641">
        <w:rPr>
          <w:rFonts w:asciiTheme="minorHAnsi" w:hAnsiTheme="minorHAnsi" w:cstheme="minorHAnsi"/>
          <w:b/>
          <w:szCs w:val="20"/>
          <w:lang w:val="en-AU"/>
        </w:rPr>
        <w:t xml:space="preserve"> </w:t>
      </w:r>
      <w:r>
        <w:rPr>
          <w:rFonts w:asciiTheme="minorHAnsi" w:hAnsiTheme="minorHAnsi" w:cstheme="minorHAnsi"/>
          <w:b/>
          <w:szCs w:val="20"/>
          <w:lang w:val="en-AU"/>
        </w:rPr>
        <w:t>Calculation Stages for the</w:t>
      </w:r>
      <w:r w:rsidRPr="00852641">
        <w:rPr>
          <w:rFonts w:asciiTheme="minorHAnsi" w:hAnsiTheme="minorHAnsi" w:cstheme="minorHAnsi"/>
          <w:b/>
          <w:szCs w:val="20"/>
          <w:lang w:val="en-AU"/>
        </w:rPr>
        <w:t xml:space="preserve"> </w:t>
      </w:r>
      <w:r>
        <w:rPr>
          <w:rFonts w:asciiTheme="minorHAnsi" w:hAnsiTheme="minorHAnsi" w:cstheme="minorHAnsi"/>
          <w:b/>
          <w:szCs w:val="20"/>
          <w:lang w:val="en-AU"/>
        </w:rPr>
        <w:t>UNDP-FM</w:t>
      </w:r>
    </w:p>
    <w:p w14:paraId="63F1B7DD" w14:textId="002A2819" w:rsidR="0042381C" w:rsidRPr="005727E7" w:rsidRDefault="00806FF9" w:rsidP="004D7D63">
      <w:pPr>
        <w:pStyle w:val="YDInormal"/>
        <w:spacing w:line="480" w:lineRule="auto"/>
        <w:jc w:val="both"/>
        <w:rPr>
          <w:sz w:val="20"/>
        </w:rPr>
      </w:pPr>
      <w:r>
        <w:rPr>
          <w:noProof/>
          <w:sz w:val="20"/>
          <w:lang w:val="en-AU" w:eastAsia="en-AU"/>
        </w:rPr>
        <w:drawing>
          <wp:inline distT="0" distB="0" distL="0" distR="0" wp14:anchorId="6C50FF33" wp14:editId="7466DA32">
            <wp:extent cx="8863330" cy="4524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ights.png"/>
                    <pic:cNvPicPr/>
                  </pic:nvPicPr>
                  <pic:blipFill>
                    <a:blip r:embed="rId11">
                      <a:extLst>
                        <a:ext uri="{28A0092B-C50C-407E-A947-70E740481C1C}">
                          <a14:useLocalDpi xmlns:a14="http://schemas.microsoft.com/office/drawing/2010/main" val="0"/>
                        </a:ext>
                      </a:extLst>
                    </a:blip>
                    <a:stretch>
                      <a:fillRect/>
                    </a:stretch>
                  </pic:blipFill>
                  <pic:spPr>
                    <a:xfrm>
                      <a:off x="0" y="0"/>
                      <a:ext cx="8863330" cy="4524375"/>
                    </a:xfrm>
                    <a:prstGeom prst="rect">
                      <a:avLst/>
                    </a:prstGeom>
                  </pic:spPr>
                </pic:pic>
              </a:graphicData>
            </a:graphic>
          </wp:inline>
        </w:drawing>
      </w:r>
    </w:p>
    <w:sectPr w:rsidR="0042381C" w:rsidRPr="005727E7" w:rsidSect="006E2535">
      <w:pgSz w:w="16838" w:h="11906" w:orient="landscape"/>
      <w:pgMar w:top="1440" w:right="1440" w:bottom="1440" w:left="1440" w:header="0" w:footer="0" w:gutter="0"/>
      <w:cols w:space="720"/>
      <w:formProt w:val="0"/>
      <w:docGrid w:linePitch="360" w:charSpace="409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2894AD" w16cid:durableId="2460CEA9"/>
  <w16cid:commentId w16cid:paraId="7440862B" w16cid:durableId="2460CEEF"/>
  <w16cid:commentId w16cid:paraId="647EFAEB" w16cid:durableId="2460CE5A"/>
  <w16cid:commentId w16cid:paraId="1FF09168" w16cid:durableId="2460D37D"/>
  <w16cid:commentId w16cid:paraId="65EDFB28" w16cid:durableId="2460D463"/>
  <w16cid:commentId w16cid:paraId="37605D02" w16cid:durableId="2460CF83"/>
  <w16cid:commentId w16cid:paraId="12E77394" w16cid:durableId="2460CFC6"/>
  <w16cid:commentId w16cid:paraId="172C4A34" w16cid:durableId="2460D2E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F4A34" w14:textId="77777777" w:rsidR="00427065" w:rsidRDefault="00427065" w:rsidP="00E134A9">
      <w:pPr>
        <w:spacing w:after="0" w:line="240" w:lineRule="auto"/>
      </w:pPr>
      <w:r>
        <w:separator/>
      </w:r>
    </w:p>
  </w:endnote>
  <w:endnote w:type="continuationSeparator" w:id="0">
    <w:p w14:paraId="30BE5720" w14:textId="77777777" w:rsidR="00427065" w:rsidRDefault="00427065" w:rsidP="00E13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4FC9E" w14:textId="77777777" w:rsidR="00427065" w:rsidRDefault="00427065" w:rsidP="00E134A9">
      <w:pPr>
        <w:spacing w:after="0" w:line="240" w:lineRule="auto"/>
      </w:pPr>
      <w:r>
        <w:separator/>
      </w:r>
    </w:p>
  </w:footnote>
  <w:footnote w:type="continuationSeparator" w:id="0">
    <w:p w14:paraId="352A8190" w14:textId="77777777" w:rsidR="00427065" w:rsidRDefault="00427065" w:rsidP="00E134A9">
      <w:pPr>
        <w:spacing w:after="0" w:line="240" w:lineRule="auto"/>
      </w:pPr>
      <w:r>
        <w:continuationSeparator/>
      </w:r>
    </w:p>
  </w:footnote>
  <w:footnote w:id="1">
    <w:p w14:paraId="3781890F" w14:textId="0D19BDB8" w:rsidR="00CE1281" w:rsidRDefault="00CE1281">
      <w:pPr>
        <w:pStyle w:val="FootnoteText"/>
      </w:pPr>
      <w:r>
        <w:rPr>
          <w:rStyle w:val="FootnoteReference"/>
        </w:rPr>
        <w:footnoteRef/>
      </w:r>
      <w:r>
        <w:t xml:space="preserve"> </w:t>
      </w:r>
      <w:hyperlink r:id="rId1" w:history="1">
        <w:r w:rsidRPr="00822DC9">
          <w:rPr>
            <w:rStyle w:val="Hyperlink"/>
          </w:rPr>
          <w:t>https://www.socialprogress.org/static/1aa2d19690906eb93c6cdb281e5ee68b/2020-social-progress-index-methodology.pdf</w:t>
        </w:r>
      </w:hyperlink>
      <w:r>
        <w:t xml:space="preserve"> </w:t>
      </w:r>
    </w:p>
  </w:footnote>
  <w:footnote w:id="2">
    <w:p w14:paraId="4E4C714C" w14:textId="7F23BE48" w:rsidR="00CE1281" w:rsidRDefault="00CE1281">
      <w:pPr>
        <w:pStyle w:val="FootnoteText"/>
      </w:pPr>
      <w:r>
        <w:rPr>
          <w:rStyle w:val="FootnoteReference"/>
        </w:rPr>
        <w:footnoteRef/>
      </w:r>
      <w:r>
        <w:t xml:space="preserve"> </w:t>
      </w:r>
      <w:hyperlink r:id="rId2" w:history="1">
        <w:r w:rsidRPr="00822DC9">
          <w:rPr>
            <w:rStyle w:val="Hyperlink"/>
          </w:rPr>
          <w:t>http://reports.weforum.org/pdf/gci-2017-2018-scorecard/WEF_GCI_2017_2018_Scorecard_EOSQ041.pdf</w:t>
        </w:r>
      </w:hyperlink>
      <w:r>
        <w:t xml:space="preserve"> </w:t>
      </w:r>
    </w:p>
  </w:footnote>
  <w:footnote w:id="3">
    <w:p w14:paraId="569E3CFC" w14:textId="2B3B8DAD" w:rsidR="00CE1281" w:rsidRDefault="00CE1281">
      <w:pPr>
        <w:pStyle w:val="FootnoteText"/>
      </w:pPr>
      <w:r>
        <w:rPr>
          <w:rStyle w:val="FootnoteReference"/>
        </w:rPr>
        <w:footnoteRef/>
      </w:r>
      <w:r>
        <w:t xml:space="preserve"> </w:t>
      </w:r>
      <w:hyperlink r:id="rId3" w:history="1">
        <w:r w:rsidRPr="00822DC9">
          <w:rPr>
            <w:rStyle w:val="Hyperlink"/>
          </w:rPr>
          <w:t>https://fragilestatesindex.org/indicators/c3/</w:t>
        </w:r>
      </w:hyperlink>
      <w:r>
        <w:t xml:space="preserve"> </w:t>
      </w:r>
    </w:p>
  </w:footnote>
  <w:footnote w:id="4">
    <w:p w14:paraId="6F8B5AD0" w14:textId="1270B10E" w:rsidR="00CE1281" w:rsidRDefault="00CE1281">
      <w:pPr>
        <w:pStyle w:val="FootnoteText"/>
      </w:pPr>
      <w:r>
        <w:rPr>
          <w:rStyle w:val="FootnoteReference"/>
        </w:rPr>
        <w:footnoteRef/>
      </w:r>
      <w:r>
        <w:t xml:space="preserve"> </w:t>
      </w:r>
      <w:hyperlink r:id="rId4" w:history="1">
        <w:r w:rsidRPr="00822DC9">
          <w:rPr>
            <w:rStyle w:val="Hyperlink"/>
          </w:rPr>
          <w:t>https://images.transparencycdn.org/images/2020_CPI_FAQs_ENv2.pdf</w:t>
        </w:r>
      </w:hyperlink>
      <w:r>
        <w:t xml:space="preserve"> </w:t>
      </w:r>
    </w:p>
  </w:footnote>
  <w:footnote w:id="5">
    <w:p w14:paraId="7D54B050" w14:textId="36070658" w:rsidR="00CE1281" w:rsidRPr="00611483" w:rsidRDefault="00CE1281">
      <w:pPr>
        <w:pStyle w:val="FootnoteText"/>
        <w:rPr>
          <w:lang w:val="en-AU"/>
        </w:rPr>
      </w:pPr>
      <w:r>
        <w:rPr>
          <w:rStyle w:val="FootnoteReference"/>
        </w:rPr>
        <w:footnoteRef/>
      </w:r>
      <w:r>
        <w:t xml:space="preserve"> </w:t>
      </w:r>
      <w:hyperlink r:id="rId5" w:history="1">
        <w:r w:rsidRPr="00397A80">
          <w:rPr>
            <w:rStyle w:val="Hyperlink"/>
          </w:rPr>
          <w:t>http://archive.ipu.org/wmn-e/classif.htm</w:t>
        </w:r>
      </w:hyperlink>
      <w:r>
        <w:t xml:space="preserve"> </w:t>
      </w:r>
    </w:p>
  </w:footnote>
  <w:footnote w:id="6">
    <w:p w14:paraId="425B04D1" w14:textId="3B3F2975" w:rsidR="00CE1281" w:rsidRDefault="00CE1281">
      <w:pPr>
        <w:pStyle w:val="FootnoteText"/>
      </w:pPr>
      <w:r>
        <w:rPr>
          <w:rStyle w:val="FootnoteReference"/>
        </w:rPr>
        <w:footnoteRef/>
      </w:r>
      <w:r>
        <w:t xml:space="preserve"> </w:t>
      </w:r>
      <w:hyperlink r:id="rId6" w:history="1">
        <w:r w:rsidRPr="00822DC9">
          <w:rPr>
            <w:rStyle w:val="Hyperlink"/>
          </w:rPr>
          <w:t>https://www.oecd-ilibrary.org/docserver/gov_glance-2017-76-en.pdf?expires=1619478016&amp;id=id&amp;accname=guest&amp;checksum=2CA0C01A1CBEB9E8CC3B4EAB550170AE</w:t>
        </w:r>
      </w:hyperlink>
      <w:r>
        <w:t xml:space="preserve"> </w:t>
      </w:r>
    </w:p>
  </w:footnote>
  <w:footnote w:id="7">
    <w:p w14:paraId="36D52B4D" w14:textId="6FBAB31A" w:rsidR="00CE1281" w:rsidRDefault="00CE1281">
      <w:pPr>
        <w:pStyle w:val="FootnoteText"/>
      </w:pPr>
      <w:r>
        <w:rPr>
          <w:rStyle w:val="FootnoteReference"/>
        </w:rPr>
        <w:footnoteRef/>
      </w:r>
      <w:r>
        <w:t xml:space="preserve"> </w:t>
      </w:r>
      <w:hyperlink r:id="rId7" w:history="1">
        <w:r w:rsidRPr="00822DC9">
          <w:rPr>
            <w:rStyle w:val="Hyperlink"/>
          </w:rPr>
          <w:t>https://www.md.undp.org/content/dam/moldova/docs/Publications/Inclusion_youth_NEET_EN_web.pdf</w:t>
        </w:r>
      </w:hyperlink>
    </w:p>
  </w:footnote>
  <w:footnote w:id="8">
    <w:p w14:paraId="0FF68D90" w14:textId="5E925EC2" w:rsidR="00CE1281" w:rsidRDefault="00CE1281">
      <w:pPr>
        <w:pStyle w:val="FootnoteText"/>
      </w:pPr>
      <w:r>
        <w:rPr>
          <w:rStyle w:val="FootnoteReference"/>
        </w:rPr>
        <w:footnoteRef/>
      </w:r>
      <w:r>
        <w:t xml:space="preserve"> </w:t>
      </w:r>
      <w:hyperlink r:id="rId8" w:history="1">
        <w:r w:rsidRPr="00822DC9">
          <w:rPr>
            <w:rStyle w:val="Hyperlink"/>
          </w:rPr>
          <w:t>https://drmkc.jrc.ec.europa.eu/inform-index/InDepth/Methodology</w:t>
        </w:r>
      </w:hyperlink>
      <w:r>
        <w:t xml:space="preserve"> </w:t>
      </w:r>
    </w:p>
  </w:footnote>
  <w:footnote w:id="9">
    <w:p w14:paraId="3DAAA4F9" w14:textId="68B133D5" w:rsidR="00CE1281" w:rsidRDefault="00CE1281">
      <w:pPr>
        <w:pStyle w:val="FootnoteText"/>
      </w:pPr>
      <w:r>
        <w:rPr>
          <w:rStyle w:val="FootnoteReference"/>
        </w:rPr>
        <w:footnoteRef/>
      </w:r>
      <w:r>
        <w:t xml:space="preserve"> </w:t>
      </w:r>
      <w:hyperlink r:id="rId9" w:history="1">
        <w:r w:rsidRPr="00822DC9">
          <w:rPr>
            <w:rStyle w:val="Hyperlink"/>
          </w:rPr>
          <w:t>https://www.visionofhumanity.org/wp-content/uploads/2020/10/GPI_2020_web.pdf</w:t>
        </w:r>
      </w:hyperlink>
      <w:r>
        <w:t xml:space="preserve"> </w:t>
      </w:r>
    </w:p>
  </w:footnote>
  <w:footnote w:id="10">
    <w:p w14:paraId="690B78C2" w14:textId="0C0B1717" w:rsidR="00CE1281" w:rsidRDefault="00CE1281">
      <w:pPr>
        <w:pStyle w:val="FootnoteText"/>
      </w:pPr>
      <w:r>
        <w:rPr>
          <w:rStyle w:val="FootnoteReference"/>
        </w:rPr>
        <w:footnoteRef/>
      </w:r>
      <w:r>
        <w:t xml:space="preserve"> </w:t>
      </w:r>
      <w:hyperlink r:id="rId10" w:history="1">
        <w:r w:rsidRPr="00822DC9">
          <w:rPr>
            <w:rStyle w:val="Hyperlink"/>
          </w:rPr>
          <w:t>http://hdr.undp.org/en/content/under-five-mortality-rate-1000-live-births</w:t>
        </w:r>
      </w:hyperlink>
      <w:r>
        <w:t xml:space="preserve"> </w:t>
      </w:r>
    </w:p>
  </w:footnote>
  <w:footnote w:id="11">
    <w:p w14:paraId="4942A499" w14:textId="77777777" w:rsidR="00CE1281" w:rsidRDefault="00CE1281" w:rsidP="00747B53">
      <w:pPr>
        <w:pStyle w:val="FootnoteText"/>
      </w:pPr>
      <w:r>
        <w:rPr>
          <w:rStyle w:val="FootnoteReference"/>
        </w:rPr>
        <w:footnoteRef/>
      </w:r>
      <w:r>
        <w:t xml:space="preserve"> </w:t>
      </w:r>
      <w:hyperlink r:id="rId11" w:history="1">
        <w:r w:rsidRPr="00822DC9">
          <w:rPr>
            <w:rStyle w:val="Hyperlink"/>
          </w:rPr>
          <w:t>https://germanwatch.org/sites/default/files/Global%20Climate%20Risk%20Index%202021_1.pdf</w:t>
        </w:r>
      </w:hyperlink>
      <w:r>
        <w:t xml:space="preserve"> </w:t>
      </w:r>
    </w:p>
  </w:footnote>
  <w:footnote w:id="12">
    <w:p w14:paraId="7D235879" w14:textId="501726F8" w:rsidR="00CE1281" w:rsidRDefault="00CE1281" w:rsidP="00487263">
      <w:pPr>
        <w:pStyle w:val="FootnoteText"/>
      </w:pPr>
      <w:r>
        <w:rPr>
          <w:rStyle w:val="FootnoteReference"/>
        </w:rPr>
        <w:footnoteRef/>
      </w:r>
      <w:r>
        <w:t xml:space="preserve"> </w:t>
      </w:r>
      <w:hyperlink r:id="rId12" w:history="1">
        <w:r w:rsidRPr="00822DC9">
          <w:rPr>
            <w:rStyle w:val="Hyperlink"/>
          </w:rPr>
          <w:t>https://drmkc.jrc.ec.europa.eu/inform-index/InDepth/Methodology</w:t>
        </w:r>
      </w:hyperlink>
    </w:p>
  </w:footnote>
  <w:footnote w:id="13">
    <w:p w14:paraId="73B60EA9" w14:textId="67A9C349" w:rsidR="00CE1281" w:rsidRDefault="00CE1281">
      <w:pPr>
        <w:pStyle w:val="FootnoteText"/>
      </w:pPr>
      <w:r>
        <w:rPr>
          <w:rStyle w:val="FootnoteReference"/>
        </w:rPr>
        <w:footnoteRef/>
      </w:r>
      <w:r>
        <w:t xml:space="preserve"> </w:t>
      </w:r>
      <w:hyperlink r:id="rId13" w:history="1">
        <w:r w:rsidRPr="00822DC9">
          <w:rPr>
            <w:rStyle w:val="Hyperlink"/>
          </w:rPr>
          <w:t>https://epi.yale.edu/</w:t>
        </w:r>
      </w:hyperlink>
      <w:r>
        <w:t xml:space="preserve"> </w:t>
      </w:r>
    </w:p>
  </w:footnote>
  <w:footnote w:id="14">
    <w:p w14:paraId="4D88AF42" w14:textId="05912917" w:rsidR="00CE1281" w:rsidRDefault="00CE1281">
      <w:pPr>
        <w:pStyle w:val="FootnoteText"/>
      </w:pPr>
      <w:r>
        <w:rPr>
          <w:rStyle w:val="FootnoteReference"/>
        </w:rPr>
        <w:footnoteRef/>
      </w:r>
      <w:r>
        <w:t xml:space="preserve"> </w:t>
      </w:r>
      <w:hyperlink r:id="rId14" w:history="1">
        <w:r w:rsidRPr="00822DC9">
          <w:rPr>
            <w:rStyle w:val="Hyperlink"/>
          </w:rPr>
          <w:t>https://databank.worldbank.org/metadataglossary/world-development-indicators/series/NY.ADJ.DRES.GN.ZS</w:t>
        </w:r>
      </w:hyperlink>
      <w:r>
        <w:t xml:space="preserve"> </w:t>
      </w:r>
    </w:p>
  </w:footnote>
  <w:footnote w:id="15">
    <w:p w14:paraId="26BB6BBF" w14:textId="38F48F13" w:rsidR="00CE1281" w:rsidRDefault="00CE1281">
      <w:pPr>
        <w:pStyle w:val="FootnoteText"/>
      </w:pPr>
      <w:r>
        <w:rPr>
          <w:rStyle w:val="FootnoteReference"/>
        </w:rPr>
        <w:footnoteRef/>
      </w:r>
      <w:r>
        <w:t xml:space="preserve"> </w:t>
      </w:r>
      <w:hyperlink r:id="rId15" w:history="1">
        <w:r w:rsidRPr="00822DC9">
          <w:rPr>
            <w:rStyle w:val="Hyperlink"/>
          </w:rPr>
          <w:t>https://www.visionofhumanity.org/wp-content/uploads/2020/10/PPR-2019-web.pdf</w:t>
        </w:r>
      </w:hyperlink>
      <w:r>
        <w:t xml:space="preserve"> </w:t>
      </w:r>
    </w:p>
  </w:footnote>
  <w:footnote w:id="16">
    <w:p w14:paraId="697E5F33" w14:textId="41CA63C6" w:rsidR="00CE1281" w:rsidRDefault="00CE1281">
      <w:pPr>
        <w:pStyle w:val="FootnoteText"/>
      </w:pPr>
      <w:r>
        <w:rPr>
          <w:rStyle w:val="FootnoteReference"/>
        </w:rPr>
        <w:footnoteRef/>
      </w:r>
      <w:r>
        <w:t xml:space="preserve"> </w:t>
      </w:r>
      <w:hyperlink r:id="rId16" w:history="1">
        <w:r w:rsidRPr="00822DC9">
          <w:rPr>
            <w:rStyle w:val="Hyperlink"/>
          </w:rPr>
          <w:t>https://datacatalog.worldbank.org/urban-population-growth-annual</w:t>
        </w:r>
      </w:hyperlink>
      <w:r>
        <w:t xml:space="preserve"> </w:t>
      </w:r>
    </w:p>
  </w:footnote>
  <w:footnote w:id="17">
    <w:p w14:paraId="6D917A5B" w14:textId="06784D18" w:rsidR="00CE1281" w:rsidRDefault="00CE1281">
      <w:pPr>
        <w:pStyle w:val="FootnoteText"/>
      </w:pPr>
      <w:r>
        <w:rPr>
          <w:rStyle w:val="FootnoteReference"/>
        </w:rPr>
        <w:footnoteRef/>
      </w:r>
      <w:r>
        <w:t xml:space="preserve"> </w:t>
      </w:r>
      <w:hyperlink r:id="rId17" w:history="1">
        <w:r w:rsidRPr="00822DC9">
          <w:rPr>
            <w:rStyle w:val="Hyperlink"/>
          </w:rPr>
          <w:t>https://igarape.org.br/en/o-que-torna-uma-cidade-fragil/</w:t>
        </w:r>
      </w:hyperlink>
      <w:r>
        <w:t xml:space="preserve"> </w:t>
      </w:r>
    </w:p>
  </w:footnote>
  <w:footnote w:id="18">
    <w:p w14:paraId="35DEE4DB" w14:textId="417F9732" w:rsidR="00CE1281" w:rsidRDefault="00CE1281">
      <w:pPr>
        <w:pStyle w:val="FootnoteText"/>
      </w:pPr>
      <w:r>
        <w:rPr>
          <w:rStyle w:val="FootnoteReference"/>
        </w:rPr>
        <w:footnoteRef/>
      </w:r>
      <w:r>
        <w:t xml:space="preserve"> </w:t>
      </w:r>
      <w:hyperlink r:id="rId18" w:history="1">
        <w:r w:rsidRPr="00822DC9">
          <w:rPr>
            <w:rStyle w:val="Hyperlink"/>
          </w:rPr>
          <w:t>https://www.spglobal.com/ratings/en/about/intro-to-credit-ratings</w:t>
        </w:r>
      </w:hyperlink>
      <w:r>
        <w:t xml:space="preserve"> </w:t>
      </w:r>
    </w:p>
  </w:footnote>
  <w:footnote w:id="19">
    <w:p w14:paraId="30E93ACE" w14:textId="18E61D37" w:rsidR="00CE1281" w:rsidRDefault="00CE1281">
      <w:pPr>
        <w:pStyle w:val="FootnoteText"/>
      </w:pPr>
      <w:r>
        <w:rPr>
          <w:rStyle w:val="FootnoteReference"/>
        </w:rPr>
        <w:footnoteRef/>
      </w:r>
      <w:r>
        <w:t xml:space="preserve"> </w:t>
      </w:r>
      <w:hyperlink r:id="rId19" w:history="1">
        <w:r w:rsidRPr="00822DC9">
          <w:rPr>
            <w:rStyle w:val="Hyperlink"/>
          </w:rPr>
          <w:t>https://www.ifo.de/DocDL/dicereport412-db2.pdf</w:t>
        </w:r>
      </w:hyperlink>
      <w:r>
        <w:t xml:space="preserve"> </w:t>
      </w:r>
    </w:p>
  </w:footnote>
  <w:footnote w:id="20">
    <w:p w14:paraId="3B649363" w14:textId="401D8420" w:rsidR="00CE1281" w:rsidRDefault="00CE1281">
      <w:pPr>
        <w:pStyle w:val="FootnoteText"/>
      </w:pPr>
      <w:r>
        <w:rPr>
          <w:rStyle w:val="FootnoteReference"/>
        </w:rPr>
        <w:footnoteRef/>
      </w:r>
      <w:r>
        <w:t xml:space="preserve"> </w:t>
      </w:r>
      <w:hyperlink r:id="rId20" w:history="1">
        <w:r w:rsidRPr="00822DC9">
          <w:rPr>
            <w:rStyle w:val="Hyperlink"/>
          </w:rPr>
          <w:t>https://www.itu.int/en/ITU-D/Cybersecurity/Pages/global-cybersecurity-index.aspx</w:t>
        </w:r>
      </w:hyperlink>
      <w:r>
        <w:t xml:space="preserve"> </w:t>
      </w:r>
    </w:p>
  </w:footnote>
  <w:footnote w:id="21">
    <w:p w14:paraId="28D2C2C9" w14:textId="54340D3A" w:rsidR="00CE1281" w:rsidRDefault="00CE1281">
      <w:pPr>
        <w:pStyle w:val="FootnoteText"/>
      </w:pPr>
      <w:r>
        <w:rPr>
          <w:rStyle w:val="FootnoteReference"/>
        </w:rPr>
        <w:footnoteRef/>
      </w:r>
      <w:r>
        <w:t xml:space="preserve"> </w:t>
      </w:r>
      <w:hyperlink r:id="rId21" w:history="1">
        <w:r w:rsidRPr="00822DC9">
          <w:rPr>
            <w:rStyle w:val="Hyperlink"/>
          </w:rPr>
          <w:t>https://publicadministration.un.org/egovkb/en-us/About/Overview/E-Participation-Index</w:t>
        </w:r>
      </w:hyperlink>
      <w:r>
        <w:t xml:space="preserve"> </w:t>
      </w:r>
    </w:p>
  </w:footnote>
  <w:footnote w:id="22">
    <w:p w14:paraId="6D63AAB5" w14:textId="0FFE3F56" w:rsidR="00CE1281" w:rsidRDefault="00CE1281">
      <w:pPr>
        <w:pStyle w:val="FootnoteText"/>
      </w:pPr>
      <w:r>
        <w:rPr>
          <w:rStyle w:val="FootnoteReference"/>
        </w:rPr>
        <w:footnoteRef/>
      </w:r>
      <w:r>
        <w:t xml:space="preserve"> </w:t>
      </w:r>
      <w:hyperlink r:id="rId22" w:history="1">
        <w:r w:rsidRPr="00822DC9">
          <w:rPr>
            <w:rStyle w:val="Hyperlink"/>
          </w:rPr>
          <w:t>https://papers.ssrn.com/sol3/papers.cfm?abstract_id=3557877</w:t>
        </w:r>
      </w:hyperlink>
      <w:r>
        <w:t xml:space="preserve"> </w:t>
      </w:r>
    </w:p>
  </w:footnote>
  <w:footnote w:id="23">
    <w:p w14:paraId="51E95AD8" w14:textId="77777777" w:rsidR="00CE1281" w:rsidRDefault="00CE1281" w:rsidP="00A762D7">
      <w:pPr>
        <w:pStyle w:val="FootnoteText"/>
      </w:pPr>
      <w:r>
        <w:rPr>
          <w:rStyle w:val="FootnoteReference"/>
        </w:rPr>
        <w:footnoteRef/>
      </w:r>
      <w:r>
        <w:t xml:space="preserve"> </w:t>
      </w:r>
      <w:hyperlink r:id="rId23" w:history="1">
        <w:r w:rsidRPr="00822DC9">
          <w:rPr>
            <w:rStyle w:val="Hyperlink"/>
          </w:rPr>
          <w:t>https://papers.ssrn.com/sol3/papers.cfm?abstract_id=3557877</w:t>
        </w:r>
      </w:hyperlink>
      <w:r>
        <w:t xml:space="preserve"> </w:t>
      </w:r>
    </w:p>
  </w:footnote>
  <w:footnote w:id="24">
    <w:p w14:paraId="36D5CF49" w14:textId="1C722155" w:rsidR="00CE1281" w:rsidRDefault="00CE1281">
      <w:pPr>
        <w:pStyle w:val="FootnoteText"/>
      </w:pPr>
      <w:r>
        <w:rPr>
          <w:rStyle w:val="FootnoteReference"/>
        </w:rPr>
        <w:footnoteRef/>
      </w:r>
      <w:r>
        <w:t xml:space="preserve"> </w:t>
      </w:r>
      <w:hyperlink r:id="rId24" w:history="1">
        <w:r w:rsidRPr="00822DC9">
          <w:rPr>
            <w:rStyle w:val="Hyperlink"/>
          </w:rPr>
          <w:t>https://pubdocs.worldbank.org/en/587221475074960682/WDR16-BP-DAI-methodology.pdf</w:t>
        </w:r>
      </w:hyperlink>
      <w:r>
        <w:t xml:space="preserve"> </w:t>
      </w:r>
    </w:p>
  </w:footnote>
  <w:footnote w:id="25">
    <w:p w14:paraId="371FA9CB" w14:textId="5842839F" w:rsidR="00CE1281" w:rsidRDefault="00CE1281">
      <w:pPr>
        <w:pStyle w:val="FootnoteText"/>
      </w:pPr>
      <w:r>
        <w:rPr>
          <w:rStyle w:val="FootnoteReference"/>
        </w:rPr>
        <w:footnoteRef/>
      </w:r>
      <w:r>
        <w:t xml:space="preserve"> </w:t>
      </w:r>
      <w:hyperlink r:id="rId25" w:history="1">
        <w:r w:rsidRPr="00822DC9">
          <w:rPr>
            <w:rStyle w:val="Hyperlink"/>
          </w:rPr>
          <w:t>https://www.idea.int/news-media/news/space-civil-society-really-shrinking</w:t>
        </w:r>
      </w:hyperlink>
      <w:r>
        <w:t xml:space="preserve"> </w:t>
      </w:r>
    </w:p>
  </w:footnote>
  <w:footnote w:id="26">
    <w:p w14:paraId="613F0DA2" w14:textId="0DB8F23A" w:rsidR="00CE1281" w:rsidRDefault="00CE1281">
      <w:pPr>
        <w:pStyle w:val="FootnoteText"/>
      </w:pPr>
      <w:r>
        <w:rPr>
          <w:rStyle w:val="FootnoteReference"/>
        </w:rPr>
        <w:footnoteRef/>
      </w:r>
      <w:r>
        <w:t xml:space="preserve"> </w:t>
      </w:r>
      <w:hyperlink r:id="rId26" w:history="1">
        <w:r w:rsidRPr="00822DC9">
          <w:rPr>
            <w:rStyle w:val="Hyperlink"/>
          </w:rPr>
          <w:t>https://datacatalog.worldbank.org/rule-law-number-sources</w:t>
        </w:r>
      </w:hyperlink>
      <w:r>
        <w:t xml:space="preserve"> </w:t>
      </w:r>
    </w:p>
  </w:footnote>
  <w:footnote w:id="27">
    <w:p w14:paraId="60AB0390" w14:textId="1DB7804C" w:rsidR="00CE1281" w:rsidRDefault="00CE1281">
      <w:pPr>
        <w:pStyle w:val="FootnoteText"/>
      </w:pPr>
      <w:r>
        <w:rPr>
          <w:rStyle w:val="FootnoteReference"/>
        </w:rPr>
        <w:footnoteRef/>
      </w:r>
      <w:r>
        <w:t xml:space="preserve"> </w:t>
      </w:r>
      <w:hyperlink r:id="rId27" w:history="1">
        <w:r w:rsidRPr="00822DC9">
          <w:rPr>
            <w:rStyle w:val="Hyperlink"/>
          </w:rPr>
          <w:t>https://datacatalog.worldbank.org/voice-and-accountability-estimate</w:t>
        </w:r>
      </w:hyperlink>
      <w:r>
        <w:t xml:space="preserve"> </w:t>
      </w:r>
    </w:p>
  </w:footnote>
  <w:footnote w:id="28">
    <w:p w14:paraId="46E6BE3F" w14:textId="6B63CFFF" w:rsidR="00CE1281" w:rsidRDefault="00CE1281">
      <w:pPr>
        <w:pStyle w:val="FootnoteText"/>
      </w:pPr>
      <w:r>
        <w:rPr>
          <w:rStyle w:val="FootnoteReference"/>
        </w:rPr>
        <w:footnoteRef/>
      </w:r>
      <w:r>
        <w:t xml:space="preserve"> </w:t>
      </w:r>
      <w:hyperlink r:id="rId28" w:history="1">
        <w:r w:rsidRPr="00822DC9">
          <w:rPr>
            <w:rStyle w:val="Hyperlink"/>
          </w:rPr>
          <w:t>https://papers.ssrn.com/sol3/papers.cfm?abstract_id=3557877</w:t>
        </w:r>
      </w:hyperlink>
    </w:p>
  </w:footnote>
  <w:footnote w:id="29">
    <w:p w14:paraId="5BBB2A11" w14:textId="77777777" w:rsidR="00CE1281" w:rsidRDefault="00CE1281" w:rsidP="00D34A69">
      <w:pPr>
        <w:pStyle w:val="FootnoteText"/>
      </w:pPr>
      <w:r>
        <w:rPr>
          <w:rStyle w:val="FootnoteReference"/>
        </w:rPr>
        <w:footnoteRef/>
      </w:r>
      <w:r>
        <w:t xml:space="preserve"> </w:t>
      </w:r>
      <w:hyperlink r:id="rId29" w:history="1">
        <w:r w:rsidRPr="00822DC9">
          <w:rPr>
            <w:rStyle w:val="Hyperlink"/>
          </w:rPr>
          <w:t>https://www.visionofhumanity.org/wp-content/uploads/2020/10/GPI_2020_web.pdf</w:t>
        </w:r>
      </w:hyperlink>
      <w:r>
        <w:t xml:space="preserve"> </w:t>
      </w:r>
    </w:p>
  </w:footnote>
  <w:footnote w:id="30">
    <w:p w14:paraId="1CC7CDD8" w14:textId="10043ECC" w:rsidR="00CE1281" w:rsidRPr="001072BF" w:rsidRDefault="00CE1281" w:rsidP="001072BF">
      <w:pPr>
        <w:pStyle w:val="FootnoteText"/>
        <w:jc w:val="both"/>
        <w:rPr>
          <w:lang w:val="en-AU"/>
        </w:rPr>
      </w:pPr>
      <w:r>
        <w:rPr>
          <w:rStyle w:val="FootnoteReference"/>
        </w:rPr>
        <w:footnoteRef/>
      </w:r>
      <w:r>
        <w:t xml:space="preserve"> </w:t>
      </w:r>
      <w:hyperlink r:id="rId30" w:anchor=":~:text=This%20Handbook%20is%20a%20guide,media%20and%20other%20interested%20parties.&amp;text=The%20Handbook%20aims%20to%20contribute,currently%20used%20to%20build%20them" w:history="1">
        <w:r w:rsidRPr="00397A80">
          <w:rPr>
            <w:rStyle w:val="Hyperlink"/>
          </w:rPr>
          <w:t>https://www.oecd.org/els/soc/handbookonconstructingcompositeindicatorsmethodologyanduserguide.htm#:~:text=This%20Handbook%20is%20a%20guide,media%20and%20other%20interested%20parties.&amp;text=The%20Handbook%20aims%20to%20contribute,currently%20used%20to%20build%20them</w:t>
        </w:r>
      </w:hyperlink>
      <w:r w:rsidRPr="001072BF">
        <w:t>.</w:t>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F1E21" w14:textId="23887A50" w:rsidR="00CE1281" w:rsidRDefault="00427065" w:rsidP="00233E9F">
    <w:pPr>
      <w:pStyle w:val="Header"/>
    </w:pPr>
    <w:sdt>
      <w:sdtPr>
        <w:id w:val="-1953391123"/>
        <w:docPartObj>
          <w:docPartGallery w:val="Watermarks"/>
          <w:docPartUnique/>
        </w:docPartObj>
      </w:sdtPr>
      <w:sdtEndPr/>
      <w:sdtContent>
        <w:r>
          <w:rPr>
            <w:noProof/>
            <w:lang w:val="en-US"/>
          </w:rPr>
          <w:pict w14:anchorId="217887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sdtContent>
    </w:sdt>
    <w:r w:rsidR="00CE1281">
      <w:rPr>
        <w:noProof/>
        <w:lang w:val="en-AU" w:eastAsia="en-AU"/>
      </w:rPr>
      <w:drawing>
        <wp:anchor distT="0" distB="0" distL="114300" distR="114300" simplePos="0" relativeHeight="251657216" behindDoc="1" locked="0" layoutInCell="1" allowOverlap="1" wp14:anchorId="0489410B" wp14:editId="209103A9">
          <wp:simplePos x="0" y="0"/>
          <wp:positionH relativeFrom="margin">
            <wp:align>left</wp:align>
          </wp:positionH>
          <wp:positionV relativeFrom="paragraph">
            <wp:posOffset>158464</wp:posOffset>
          </wp:positionV>
          <wp:extent cx="1871345" cy="560705"/>
          <wp:effectExtent l="0" t="0" r="0" b="0"/>
          <wp:wrapTight wrapText="bothSides">
            <wp:wrapPolygon edited="0">
              <wp:start x="0" y="0"/>
              <wp:lineTo x="0" y="20548"/>
              <wp:lineTo x="8356" y="20548"/>
              <wp:lineTo x="16491" y="20548"/>
              <wp:lineTo x="21329" y="17613"/>
              <wp:lineTo x="21329" y="734"/>
              <wp:lineTo x="8356" y="0"/>
              <wp:lineTo x="0" y="0"/>
            </wp:wrapPolygon>
          </wp:wrapTight>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871345" cy="560705"/>
                  </a:xfrm>
                  <a:prstGeom prst="rect">
                    <a:avLst/>
                  </a:prstGeom>
                  <a:ln/>
                </pic:spPr>
              </pic:pic>
            </a:graphicData>
          </a:graphic>
        </wp:anchor>
      </w:drawing>
    </w:r>
  </w:p>
  <w:p w14:paraId="5AC3A131" w14:textId="77777777" w:rsidR="00CE1281" w:rsidRDefault="00CE1281" w:rsidP="00233E9F">
    <w:pPr>
      <w:pStyle w:val="Header"/>
      <w:jc w:val="right"/>
      <w:rPr>
        <w:rFonts w:asciiTheme="majorHAnsi" w:eastAsia="Times New Roman" w:hAnsiTheme="majorHAnsi" w:cstheme="majorHAnsi"/>
        <w:sz w:val="18"/>
        <w:lang w:val="en-ZA"/>
      </w:rPr>
    </w:pPr>
  </w:p>
  <w:p w14:paraId="1E0BC066" w14:textId="77777777" w:rsidR="00CE1281" w:rsidRPr="00062C97" w:rsidRDefault="00CE1281" w:rsidP="00233E9F">
    <w:pPr>
      <w:pStyle w:val="Header"/>
      <w:jc w:val="right"/>
      <w:rPr>
        <w:rFonts w:asciiTheme="majorHAnsi" w:eastAsia="Times New Roman" w:hAnsiTheme="majorHAnsi" w:cstheme="majorHAnsi"/>
        <w:sz w:val="18"/>
        <w:lang w:val="en-ZA"/>
      </w:rPr>
    </w:pPr>
    <w:r>
      <w:rPr>
        <w:rFonts w:asciiTheme="majorHAnsi" w:eastAsia="Times New Roman" w:hAnsiTheme="majorHAnsi" w:cstheme="majorHAnsi"/>
        <w:sz w:val="18"/>
        <w:lang w:val="en-ZA"/>
      </w:rPr>
      <w:t>Level 4, 206 Pacific Highway</w:t>
    </w:r>
  </w:p>
  <w:p w14:paraId="43E0DC9A" w14:textId="77777777" w:rsidR="00CE1281" w:rsidRDefault="00CE1281" w:rsidP="00233E9F">
    <w:pPr>
      <w:pStyle w:val="Header"/>
      <w:jc w:val="right"/>
      <w:rPr>
        <w:rFonts w:asciiTheme="majorHAnsi" w:eastAsia="Times New Roman" w:hAnsiTheme="majorHAnsi" w:cstheme="majorHAnsi"/>
        <w:sz w:val="18"/>
        <w:lang w:val="en-ZA"/>
      </w:rPr>
    </w:pPr>
    <w:r>
      <w:rPr>
        <w:rFonts w:asciiTheme="majorHAnsi" w:eastAsia="Times New Roman" w:hAnsiTheme="majorHAnsi" w:cstheme="majorHAnsi"/>
        <w:sz w:val="18"/>
        <w:lang w:val="en-ZA"/>
      </w:rPr>
      <w:t>Sydney, NSW, Australia, 2065</w:t>
    </w:r>
  </w:p>
  <w:p w14:paraId="247BC7BB" w14:textId="77777777" w:rsidR="00CE1281" w:rsidRPr="00062C97" w:rsidRDefault="00CE1281" w:rsidP="00233E9F">
    <w:pPr>
      <w:pStyle w:val="Header"/>
      <w:jc w:val="right"/>
      <w:rPr>
        <w:rFonts w:asciiTheme="majorHAnsi" w:eastAsia="Times New Roman" w:hAnsiTheme="majorHAnsi" w:cstheme="majorHAnsi"/>
        <w:sz w:val="18"/>
        <w:lang w:val="en-ZA"/>
      </w:rPr>
    </w:pPr>
  </w:p>
  <w:p w14:paraId="3BAA04DC" w14:textId="77777777" w:rsidR="00CE1281" w:rsidRDefault="00CE1281" w:rsidP="00233E9F">
    <w:pPr>
      <w:pStyle w:val="Header"/>
    </w:pPr>
  </w:p>
  <w:p w14:paraId="0585DDEB" w14:textId="77777777" w:rsidR="00CE1281" w:rsidRPr="00233E9F" w:rsidRDefault="00CE1281" w:rsidP="00233E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6E7C"/>
    <w:multiLevelType w:val="hybridMultilevel"/>
    <w:tmpl w:val="B19C2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9148F9"/>
    <w:multiLevelType w:val="multilevel"/>
    <w:tmpl w:val="7408E5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2740798"/>
    <w:multiLevelType w:val="multilevel"/>
    <w:tmpl w:val="01CEAF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4B9745D"/>
    <w:multiLevelType w:val="hybridMultilevel"/>
    <w:tmpl w:val="A80C4A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537F5B"/>
    <w:multiLevelType w:val="hybridMultilevel"/>
    <w:tmpl w:val="3F121CA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0F06702"/>
    <w:multiLevelType w:val="hybridMultilevel"/>
    <w:tmpl w:val="029463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2A91082"/>
    <w:multiLevelType w:val="hybridMultilevel"/>
    <w:tmpl w:val="1B22675E"/>
    <w:lvl w:ilvl="0" w:tplc="10F4DFDC">
      <w:start w:val="1"/>
      <w:numFmt w:val="decimal"/>
      <w:lvlText w:val="%1."/>
      <w:lvlJc w:val="left"/>
      <w:pPr>
        <w:ind w:left="720" w:hanging="360"/>
      </w:pPr>
      <w:rPr>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5B4C1B"/>
    <w:multiLevelType w:val="multilevel"/>
    <w:tmpl w:val="EBA249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98624D5"/>
    <w:multiLevelType w:val="multilevel"/>
    <w:tmpl w:val="645A32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9C57DEA"/>
    <w:multiLevelType w:val="multilevel"/>
    <w:tmpl w:val="8FCE5704"/>
    <w:lvl w:ilvl="0">
      <w:start w:val="1"/>
      <w:numFmt w:val="decimal"/>
      <w:lvlText w:val="A%1"/>
      <w:lvlJc w:val="left"/>
      <w:pPr>
        <w:tabs>
          <w:tab w:val="num" w:pos="0"/>
        </w:tabs>
        <w:ind w:left="360" w:hanging="360"/>
      </w:pPr>
    </w:lvl>
    <w:lvl w:ilvl="1">
      <w:start w:val="1"/>
      <w:numFmt w:val="decimal"/>
      <w:lvlText w:val="A%1.%2"/>
      <w:lvlJc w:val="left"/>
      <w:pPr>
        <w:tabs>
          <w:tab w:val="num" w:pos="0"/>
        </w:tabs>
        <w:ind w:left="0" w:firstLine="360"/>
      </w:pPr>
    </w:lvl>
    <w:lvl w:ilvl="2">
      <w:start w:val="1"/>
      <w:numFmt w:val="decimal"/>
      <w:lvlText w:val="A%1.%2.%3"/>
      <w:lvlJc w:val="left"/>
      <w:pPr>
        <w:tabs>
          <w:tab w:val="num" w:pos="0"/>
        </w:tabs>
        <w:ind w:left="0" w:firstLine="720"/>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E5E4B05"/>
    <w:multiLevelType w:val="hybridMultilevel"/>
    <w:tmpl w:val="74E299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C611A9"/>
    <w:multiLevelType w:val="hybridMultilevel"/>
    <w:tmpl w:val="74E299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7"/>
  </w:num>
  <w:num w:numId="5">
    <w:abstractNumId w:val="1"/>
  </w:num>
  <w:num w:numId="6">
    <w:abstractNumId w:val="0"/>
  </w:num>
  <w:num w:numId="7">
    <w:abstractNumId w:val="10"/>
  </w:num>
  <w:num w:numId="8">
    <w:abstractNumId w:val="5"/>
  </w:num>
  <w:num w:numId="9">
    <w:abstractNumId w:val="11"/>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1C"/>
    <w:rsid w:val="000427A4"/>
    <w:rsid w:val="00043F21"/>
    <w:rsid w:val="00075CB0"/>
    <w:rsid w:val="000824FC"/>
    <w:rsid w:val="000847AF"/>
    <w:rsid w:val="00091001"/>
    <w:rsid w:val="000A0832"/>
    <w:rsid w:val="000A7071"/>
    <w:rsid w:val="001072BF"/>
    <w:rsid w:val="00111E5B"/>
    <w:rsid w:val="00115E69"/>
    <w:rsid w:val="0011654A"/>
    <w:rsid w:val="00131A25"/>
    <w:rsid w:val="001411A6"/>
    <w:rsid w:val="00151F87"/>
    <w:rsid w:val="00182F6B"/>
    <w:rsid w:val="00184E85"/>
    <w:rsid w:val="001A1CDA"/>
    <w:rsid w:val="001E132D"/>
    <w:rsid w:val="00201F2D"/>
    <w:rsid w:val="00222189"/>
    <w:rsid w:val="00233E9F"/>
    <w:rsid w:val="00241657"/>
    <w:rsid w:val="00273168"/>
    <w:rsid w:val="00287EEF"/>
    <w:rsid w:val="002A13FF"/>
    <w:rsid w:val="002B3676"/>
    <w:rsid w:val="002C2357"/>
    <w:rsid w:val="002C4849"/>
    <w:rsid w:val="00315236"/>
    <w:rsid w:val="00364EEC"/>
    <w:rsid w:val="0038219C"/>
    <w:rsid w:val="00392556"/>
    <w:rsid w:val="003A3F8A"/>
    <w:rsid w:val="003E11EE"/>
    <w:rsid w:val="003E4A21"/>
    <w:rsid w:val="0042381C"/>
    <w:rsid w:val="00427065"/>
    <w:rsid w:val="004336A3"/>
    <w:rsid w:val="00470354"/>
    <w:rsid w:val="00487263"/>
    <w:rsid w:val="00490F3D"/>
    <w:rsid w:val="00496482"/>
    <w:rsid w:val="004D7D63"/>
    <w:rsid w:val="004D7E7C"/>
    <w:rsid w:val="0052502D"/>
    <w:rsid w:val="00534E53"/>
    <w:rsid w:val="00534EA3"/>
    <w:rsid w:val="00546660"/>
    <w:rsid w:val="005727E7"/>
    <w:rsid w:val="00590F31"/>
    <w:rsid w:val="00611483"/>
    <w:rsid w:val="00640353"/>
    <w:rsid w:val="00646E5A"/>
    <w:rsid w:val="00651DEA"/>
    <w:rsid w:val="006646DF"/>
    <w:rsid w:val="00666EF7"/>
    <w:rsid w:val="0067534D"/>
    <w:rsid w:val="00682D8F"/>
    <w:rsid w:val="00684C58"/>
    <w:rsid w:val="00695A42"/>
    <w:rsid w:val="006A0DBC"/>
    <w:rsid w:val="006A63D9"/>
    <w:rsid w:val="006A7CF7"/>
    <w:rsid w:val="006E1098"/>
    <w:rsid w:val="006E2535"/>
    <w:rsid w:val="006F24CB"/>
    <w:rsid w:val="007012F0"/>
    <w:rsid w:val="007164BC"/>
    <w:rsid w:val="007436C2"/>
    <w:rsid w:val="00747B53"/>
    <w:rsid w:val="00771088"/>
    <w:rsid w:val="007941FB"/>
    <w:rsid w:val="007A1E27"/>
    <w:rsid w:val="007E0A4F"/>
    <w:rsid w:val="00806FF9"/>
    <w:rsid w:val="00814A62"/>
    <w:rsid w:val="00824B5D"/>
    <w:rsid w:val="00852641"/>
    <w:rsid w:val="00872540"/>
    <w:rsid w:val="00900171"/>
    <w:rsid w:val="009044D4"/>
    <w:rsid w:val="00905CCE"/>
    <w:rsid w:val="00915C95"/>
    <w:rsid w:val="00923994"/>
    <w:rsid w:val="00942E01"/>
    <w:rsid w:val="00956BFA"/>
    <w:rsid w:val="00977CA3"/>
    <w:rsid w:val="00980FE8"/>
    <w:rsid w:val="009B6620"/>
    <w:rsid w:val="009D6722"/>
    <w:rsid w:val="009E341D"/>
    <w:rsid w:val="009F5D62"/>
    <w:rsid w:val="00A106EB"/>
    <w:rsid w:val="00A14EEC"/>
    <w:rsid w:val="00A24267"/>
    <w:rsid w:val="00A27CBE"/>
    <w:rsid w:val="00A61AE6"/>
    <w:rsid w:val="00A7176B"/>
    <w:rsid w:val="00A74C01"/>
    <w:rsid w:val="00A762D7"/>
    <w:rsid w:val="00AD79B7"/>
    <w:rsid w:val="00B11F4C"/>
    <w:rsid w:val="00B2351D"/>
    <w:rsid w:val="00B52342"/>
    <w:rsid w:val="00BA6079"/>
    <w:rsid w:val="00BD313C"/>
    <w:rsid w:val="00BF26DA"/>
    <w:rsid w:val="00C302A0"/>
    <w:rsid w:val="00C44659"/>
    <w:rsid w:val="00C51142"/>
    <w:rsid w:val="00C872C0"/>
    <w:rsid w:val="00C97008"/>
    <w:rsid w:val="00CA03BE"/>
    <w:rsid w:val="00CD362D"/>
    <w:rsid w:val="00CE1281"/>
    <w:rsid w:val="00CE1F92"/>
    <w:rsid w:val="00CE4761"/>
    <w:rsid w:val="00D34A69"/>
    <w:rsid w:val="00D45BFF"/>
    <w:rsid w:val="00DA5EE5"/>
    <w:rsid w:val="00DC04BC"/>
    <w:rsid w:val="00DC5554"/>
    <w:rsid w:val="00E01618"/>
    <w:rsid w:val="00E01858"/>
    <w:rsid w:val="00E05EDD"/>
    <w:rsid w:val="00E11A13"/>
    <w:rsid w:val="00E134A9"/>
    <w:rsid w:val="00E5611D"/>
    <w:rsid w:val="00EC13AF"/>
    <w:rsid w:val="00EE5A70"/>
    <w:rsid w:val="00F35F55"/>
    <w:rsid w:val="00F5048E"/>
    <w:rsid w:val="00F81751"/>
    <w:rsid w:val="00FD2FFD"/>
    <w:rsid w:val="00FD6E64"/>
    <w:rsid w:val="00FE4DA9"/>
    <w:rsid w:val="00FE5818"/>
    <w:rsid w:val="00FE7A5B"/>
    <w:rsid w:val="00FF592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355544"/>
  <w15:docId w15:val="{80EA43A8-4B00-4D38-BDED-A3A21CB2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1EE"/>
    <w:pPr>
      <w:spacing w:after="160" w:line="259" w:lineRule="auto"/>
    </w:pPr>
    <w:rPr>
      <w:lang w:val="en-GB"/>
    </w:rPr>
  </w:style>
  <w:style w:type="paragraph" w:styleId="Heading1">
    <w:name w:val="heading 1"/>
    <w:basedOn w:val="Normal"/>
    <w:next w:val="Normal"/>
    <w:link w:val="Heading1Char"/>
    <w:uiPriority w:val="9"/>
    <w:qFormat/>
    <w:rsid w:val="00605F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5F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05FF8"/>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qFormat/>
    <w:rsid w:val="004F093F"/>
    <w:rPr>
      <w:rFonts w:asciiTheme="majorHAnsi" w:eastAsiaTheme="majorEastAsia" w:hAnsiTheme="majorHAnsi" w:cstheme="majorBidi"/>
      <w:color w:val="2E74B5" w:themeColor="accent1" w:themeShade="BF"/>
      <w:sz w:val="26"/>
      <w:szCs w:val="26"/>
      <w:lang w:val="en-GB"/>
    </w:rPr>
  </w:style>
  <w:style w:type="character" w:customStyle="1" w:styleId="YDIHeading2Char">
    <w:name w:val="YDI Heading 2 Char"/>
    <w:basedOn w:val="DefaultParagraphFont"/>
    <w:link w:val="YDIHeading2"/>
    <w:qFormat/>
    <w:rsid w:val="00DC131E"/>
    <w:rPr>
      <w:rFonts w:ascii="Trebuchet MS" w:eastAsiaTheme="majorEastAsia" w:hAnsi="Trebuchet MS" w:cstheme="majorBidi"/>
      <w:b/>
      <w:sz w:val="26"/>
      <w:szCs w:val="26"/>
      <w:lang w:val="en-US"/>
    </w:rPr>
  </w:style>
  <w:style w:type="character" w:customStyle="1" w:styleId="YDIHeading1Char">
    <w:name w:val="YDI Heading 1 Char"/>
    <w:basedOn w:val="Heading1Char"/>
    <w:link w:val="YDIHeading1"/>
    <w:qFormat/>
    <w:rsid w:val="00E753A8"/>
    <w:rPr>
      <w:rFonts w:ascii="Trebuchet MS" w:eastAsiaTheme="majorEastAsia" w:hAnsi="Trebuchet MS" w:cstheme="minorHAnsi"/>
      <w:b/>
      <w:color w:val="2E74B5" w:themeColor="accent1" w:themeShade="BF"/>
      <w:sz w:val="32"/>
      <w:szCs w:val="32"/>
      <w:lang w:val="en-US"/>
    </w:rPr>
  </w:style>
  <w:style w:type="character" w:styleId="Hyperlink">
    <w:name w:val="Hyperlink"/>
    <w:basedOn w:val="DefaultParagraphFont"/>
    <w:uiPriority w:val="99"/>
    <w:unhideWhenUsed/>
    <w:rsid w:val="002D4654"/>
    <w:rPr>
      <w:color w:val="0563C1" w:themeColor="hyperlink"/>
      <w:u w:val="single"/>
    </w:rPr>
  </w:style>
  <w:style w:type="character" w:styleId="CommentReference">
    <w:name w:val="annotation reference"/>
    <w:basedOn w:val="DefaultParagraphFont"/>
    <w:uiPriority w:val="99"/>
    <w:semiHidden/>
    <w:unhideWhenUsed/>
    <w:qFormat/>
    <w:rsid w:val="001324CD"/>
    <w:rPr>
      <w:sz w:val="16"/>
      <w:szCs w:val="16"/>
    </w:rPr>
  </w:style>
  <w:style w:type="character" w:customStyle="1" w:styleId="YDInormalChar">
    <w:name w:val="YDI normal Char"/>
    <w:basedOn w:val="DefaultParagraphFont"/>
    <w:link w:val="YDInormal"/>
    <w:qFormat/>
    <w:rsid w:val="00772F06"/>
    <w:rPr>
      <w:rFonts w:ascii="Trebuchet MS" w:hAnsi="Trebuchet MS"/>
      <w:lang w:val="en-GB"/>
    </w:rPr>
  </w:style>
  <w:style w:type="character" w:customStyle="1" w:styleId="CommentTextChar">
    <w:name w:val="Comment Text Char"/>
    <w:basedOn w:val="DefaultParagraphFont"/>
    <w:link w:val="CommentText"/>
    <w:uiPriority w:val="99"/>
    <w:qFormat/>
    <w:rsid w:val="001324CD"/>
    <w:rPr>
      <w:sz w:val="20"/>
      <w:szCs w:val="20"/>
      <w:lang w:val="en-GB"/>
    </w:rPr>
  </w:style>
  <w:style w:type="character" w:customStyle="1" w:styleId="CommentSubjectChar">
    <w:name w:val="Comment Subject Char"/>
    <w:basedOn w:val="CommentTextChar"/>
    <w:link w:val="CommentSubject"/>
    <w:uiPriority w:val="99"/>
    <w:semiHidden/>
    <w:qFormat/>
    <w:rsid w:val="001324CD"/>
    <w:rPr>
      <w:b/>
      <w:bCs/>
      <w:sz w:val="20"/>
      <w:szCs w:val="20"/>
      <w:lang w:val="en-GB"/>
    </w:rPr>
  </w:style>
  <w:style w:type="character" w:customStyle="1" w:styleId="BalloonTextChar">
    <w:name w:val="Balloon Text Char"/>
    <w:basedOn w:val="DefaultParagraphFont"/>
    <w:link w:val="BalloonText"/>
    <w:uiPriority w:val="99"/>
    <w:semiHidden/>
    <w:qFormat/>
    <w:rsid w:val="001324CD"/>
    <w:rPr>
      <w:rFonts w:ascii="Segoe UI" w:hAnsi="Segoe UI" w:cs="Segoe UI"/>
      <w:sz w:val="18"/>
      <w:szCs w:val="18"/>
      <w:lang w:val="en-GB"/>
    </w:rPr>
  </w:style>
  <w:style w:type="character" w:customStyle="1" w:styleId="Heading3Char">
    <w:name w:val="Heading 3 Char"/>
    <w:basedOn w:val="DefaultParagraphFont"/>
    <w:link w:val="Heading3"/>
    <w:uiPriority w:val="9"/>
    <w:qFormat/>
    <w:rsid w:val="00F85FD8"/>
    <w:rPr>
      <w:rFonts w:asciiTheme="majorHAnsi" w:eastAsiaTheme="majorEastAsia" w:hAnsiTheme="majorHAnsi" w:cstheme="majorBidi"/>
      <w:color w:val="1F4D78" w:themeColor="accent1" w:themeShade="7F"/>
      <w:sz w:val="24"/>
      <w:szCs w:val="24"/>
      <w:lang w:val="en-GB"/>
    </w:rPr>
  </w:style>
  <w:style w:type="character" w:customStyle="1" w:styleId="ListParagraphChar">
    <w:name w:val="List Paragraph Char"/>
    <w:basedOn w:val="DefaultParagraphFont"/>
    <w:link w:val="ListParagraph"/>
    <w:uiPriority w:val="34"/>
    <w:qFormat/>
    <w:locked/>
    <w:rsid w:val="002C1C5F"/>
    <w:rPr>
      <w:lang w:val="en-GB"/>
    </w:rPr>
  </w:style>
  <w:style w:type="character" w:customStyle="1" w:styleId="FootnoteTextChar">
    <w:name w:val="Footnote Text Char"/>
    <w:basedOn w:val="DefaultParagraphFont"/>
    <w:link w:val="FootnoteText"/>
    <w:uiPriority w:val="99"/>
    <w:qFormat/>
    <w:rsid w:val="002C1C5F"/>
    <w:rPr>
      <w:sz w:val="20"/>
      <w:szCs w:val="20"/>
      <w:lang w:val="en-US"/>
    </w:rPr>
  </w:style>
  <w:style w:type="character" w:customStyle="1" w:styleId="FootnoteCharacters">
    <w:name w:val="Footnote Characters"/>
    <w:basedOn w:val="DefaultParagraphFont"/>
    <w:uiPriority w:val="99"/>
    <w:semiHidden/>
    <w:unhideWhenUsed/>
    <w:qFormat/>
    <w:rsid w:val="002C1C5F"/>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rsid w:val="002C1C5F"/>
    <w:rPr>
      <w:color w:val="954F72" w:themeColor="followedHyperlink"/>
      <w:u w:val="single"/>
    </w:rPr>
  </w:style>
  <w:style w:type="character" w:customStyle="1" w:styleId="selectable">
    <w:name w:val="selectable"/>
    <w:basedOn w:val="DefaultParagraphFont"/>
    <w:qFormat/>
    <w:rsid w:val="00A40427"/>
  </w:style>
  <w:style w:type="character" w:customStyle="1" w:styleId="YDIHeading3Char">
    <w:name w:val="YDI Heading 3 Char"/>
    <w:basedOn w:val="Heading3Char"/>
    <w:link w:val="YDIHeading3"/>
    <w:qFormat/>
    <w:rsid w:val="009E4710"/>
    <w:rPr>
      <w:rFonts w:ascii="Trebuchet MS" w:eastAsiaTheme="majorEastAsia" w:hAnsi="Trebuchet MS" w:cstheme="majorBidi"/>
      <w:b/>
      <w:i/>
      <w:color w:val="1F4D78" w:themeColor="accent1" w:themeShade="7F"/>
      <w:sz w:val="24"/>
      <w:szCs w:val="24"/>
      <w:lang w:val="en-GB"/>
    </w:rPr>
  </w:style>
  <w:style w:type="character" w:customStyle="1" w:styleId="EndnoteTextChar">
    <w:name w:val="Endnote Text Char"/>
    <w:basedOn w:val="DefaultParagraphFont"/>
    <w:link w:val="EndnoteText"/>
    <w:uiPriority w:val="99"/>
    <w:semiHidden/>
    <w:qFormat/>
    <w:rsid w:val="007648FF"/>
    <w:rPr>
      <w:sz w:val="20"/>
      <w:szCs w:val="20"/>
      <w:lang w:val="en-GB"/>
    </w:rPr>
  </w:style>
  <w:style w:type="character" w:customStyle="1" w:styleId="EndnoteCharacters">
    <w:name w:val="Endnote Characters"/>
    <w:basedOn w:val="DefaultParagraphFont"/>
    <w:uiPriority w:val="99"/>
    <w:semiHidden/>
    <w:unhideWhenUsed/>
    <w:qFormat/>
    <w:rsid w:val="007648FF"/>
    <w:rPr>
      <w:vertAlign w:val="superscript"/>
    </w:rPr>
  </w:style>
  <w:style w:type="character" w:customStyle="1" w:styleId="EndnoteAnchor">
    <w:name w:val="Endnote Anchor"/>
    <w:rPr>
      <w:vertAlign w:val="superscript"/>
    </w:rPr>
  </w:style>
  <w:style w:type="character" w:customStyle="1" w:styleId="HeaderChar">
    <w:name w:val="Header Char"/>
    <w:basedOn w:val="DefaultParagraphFont"/>
    <w:link w:val="Header"/>
    <w:uiPriority w:val="99"/>
    <w:qFormat/>
    <w:rsid w:val="00115DBB"/>
    <w:rPr>
      <w:lang w:val="en-GB"/>
    </w:rPr>
  </w:style>
  <w:style w:type="character" w:customStyle="1" w:styleId="FooterChar">
    <w:name w:val="Footer Char"/>
    <w:basedOn w:val="DefaultParagraphFont"/>
    <w:link w:val="Footer"/>
    <w:uiPriority w:val="99"/>
    <w:qFormat/>
    <w:rsid w:val="00115DBB"/>
    <w:rPr>
      <w:lang w:val="en-GB"/>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YDIHeading2">
    <w:name w:val="YDI Heading 2"/>
    <w:basedOn w:val="Heading2"/>
    <w:link w:val="YDIHeading2Char"/>
    <w:qFormat/>
    <w:rsid w:val="00DC131E"/>
    <w:pPr>
      <w:spacing w:line="240" w:lineRule="auto"/>
    </w:pPr>
    <w:rPr>
      <w:rFonts w:ascii="Trebuchet MS" w:hAnsi="Trebuchet MS"/>
      <w:b/>
      <w:color w:val="auto"/>
      <w:lang w:val="en-US"/>
    </w:rPr>
  </w:style>
  <w:style w:type="paragraph" w:customStyle="1" w:styleId="YDIHeading1">
    <w:name w:val="YDI Heading 1"/>
    <w:basedOn w:val="Heading1"/>
    <w:link w:val="YDIHeading1Char"/>
    <w:qFormat/>
    <w:rsid w:val="00E753A8"/>
    <w:rPr>
      <w:rFonts w:ascii="Trebuchet MS" w:hAnsi="Trebuchet MS" w:cstheme="minorHAnsi"/>
      <w:b/>
      <w:color w:val="auto"/>
      <w:lang w:val="en-US"/>
    </w:rPr>
  </w:style>
  <w:style w:type="paragraph" w:styleId="TOCHeading">
    <w:name w:val="TOC Heading"/>
    <w:basedOn w:val="Heading1"/>
    <w:next w:val="Normal"/>
    <w:uiPriority w:val="39"/>
    <w:unhideWhenUsed/>
    <w:qFormat/>
    <w:rsid w:val="002D4654"/>
    <w:rPr>
      <w:lang w:val="en-US"/>
    </w:rPr>
  </w:style>
  <w:style w:type="paragraph" w:styleId="TOC1">
    <w:name w:val="toc 1"/>
    <w:basedOn w:val="Normal"/>
    <w:next w:val="Normal"/>
    <w:autoRedefine/>
    <w:uiPriority w:val="39"/>
    <w:unhideWhenUsed/>
    <w:rsid w:val="002D4654"/>
    <w:pPr>
      <w:spacing w:after="100"/>
    </w:pPr>
  </w:style>
  <w:style w:type="paragraph" w:styleId="TOC2">
    <w:name w:val="toc 2"/>
    <w:basedOn w:val="Normal"/>
    <w:next w:val="Normal"/>
    <w:autoRedefine/>
    <w:uiPriority w:val="39"/>
    <w:unhideWhenUsed/>
    <w:rsid w:val="002D4654"/>
    <w:pPr>
      <w:spacing w:after="100"/>
      <w:ind w:left="220"/>
    </w:pPr>
  </w:style>
  <w:style w:type="paragraph" w:styleId="ListParagraph">
    <w:name w:val="List Paragraph"/>
    <w:basedOn w:val="Normal"/>
    <w:link w:val="ListParagraphChar"/>
    <w:uiPriority w:val="34"/>
    <w:qFormat/>
    <w:rsid w:val="00676B99"/>
    <w:pPr>
      <w:ind w:left="720"/>
      <w:contextualSpacing/>
    </w:pPr>
  </w:style>
  <w:style w:type="paragraph" w:customStyle="1" w:styleId="YDInormal">
    <w:name w:val="YDI normal"/>
    <w:basedOn w:val="Normal"/>
    <w:link w:val="YDInormalChar"/>
    <w:qFormat/>
    <w:rsid w:val="00772F06"/>
    <w:rPr>
      <w:rFonts w:ascii="Trebuchet MS" w:hAnsi="Trebuchet MS"/>
    </w:rPr>
  </w:style>
  <w:style w:type="paragraph" w:styleId="CommentText">
    <w:name w:val="annotation text"/>
    <w:basedOn w:val="Normal"/>
    <w:link w:val="CommentTextChar"/>
    <w:uiPriority w:val="99"/>
    <w:unhideWhenUsed/>
    <w:qFormat/>
    <w:rsid w:val="001324C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324CD"/>
    <w:rPr>
      <w:b/>
      <w:bCs/>
    </w:rPr>
  </w:style>
  <w:style w:type="paragraph" w:styleId="BalloonText">
    <w:name w:val="Balloon Text"/>
    <w:basedOn w:val="Normal"/>
    <w:link w:val="BalloonTextChar"/>
    <w:uiPriority w:val="99"/>
    <w:semiHidden/>
    <w:unhideWhenUsed/>
    <w:qFormat/>
    <w:rsid w:val="001324CD"/>
    <w:pPr>
      <w:spacing w:after="0" w:line="240" w:lineRule="auto"/>
    </w:pPr>
    <w:rPr>
      <w:rFonts w:ascii="Segoe UI" w:hAnsi="Segoe UI" w:cs="Segoe UI"/>
      <w:sz w:val="18"/>
      <w:szCs w:val="18"/>
    </w:rPr>
  </w:style>
  <w:style w:type="paragraph" w:styleId="FootnoteText">
    <w:name w:val="footnote text"/>
    <w:basedOn w:val="Normal"/>
    <w:link w:val="FootnoteTextChar"/>
    <w:uiPriority w:val="99"/>
    <w:unhideWhenUsed/>
    <w:rsid w:val="002C1C5F"/>
    <w:pPr>
      <w:spacing w:after="0" w:line="240" w:lineRule="auto"/>
    </w:pPr>
    <w:rPr>
      <w:sz w:val="20"/>
      <w:szCs w:val="20"/>
      <w:lang w:val="en-US"/>
    </w:rPr>
  </w:style>
  <w:style w:type="paragraph" w:styleId="NormalWeb">
    <w:name w:val="Normal (Web)"/>
    <w:uiPriority w:val="99"/>
    <w:qFormat/>
    <w:rsid w:val="00B07611"/>
    <w:pPr>
      <w:spacing w:beforeAutospacing="1" w:afterAutospacing="1" w:line="259" w:lineRule="auto"/>
    </w:pPr>
    <w:rPr>
      <w:rFonts w:ascii="Times New Roman" w:eastAsia="SimSun" w:hAnsi="Times New Roman" w:cs="Times New Roman"/>
      <w:sz w:val="24"/>
      <w:szCs w:val="24"/>
      <w:lang w:val="en-US" w:eastAsia="zh-CN"/>
    </w:rPr>
  </w:style>
  <w:style w:type="paragraph" w:styleId="TOC3">
    <w:name w:val="toc 3"/>
    <w:basedOn w:val="Normal"/>
    <w:next w:val="Normal"/>
    <w:autoRedefine/>
    <w:uiPriority w:val="39"/>
    <w:unhideWhenUsed/>
    <w:rsid w:val="004D7E7C"/>
    <w:pPr>
      <w:tabs>
        <w:tab w:val="right" w:leader="dot" w:pos="9016"/>
      </w:tabs>
      <w:spacing w:after="60"/>
      <w:ind w:left="442"/>
    </w:pPr>
  </w:style>
  <w:style w:type="paragraph" w:customStyle="1" w:styleId="YDIHeading3">
    <w:name w:val="YDI Heading 3"/>
    <w:basedOn w:val="Heading3"/>
    <w:link w:val="YDIHeading3Char"/>
    <w:qFormat/>
    <w:rsid w:val="009E4710"/>
    <w:pPr>
      <w:spacing w:before="120" w:after="120"/>
    </w:pPr>
    <w:rPr>
      <w:rFonts w:ascii="Trebuchet MS" w:hAnsi="Trebuchet MS"/>
      <w:b/>
      <w:i/>
      <w:color w:val="auto"/>
    </w:rPr>
  </w:style>
  <w:style w:type="paragraph" w:styleId="EndnoteText">
    <w:name w:val="endnote text"/>
    <w:basedOn w:val="Normal"/>
    <w:link w:val="EndnoteTextChar"/>
    <w:uiPriority w:val="99"/>
    <w:semiHidden/>
    <w:unhideWhenUsed/>
    <w:rsid w:val="007648FF"/>
    <w:pPr>
      <w:spacing w:after="0" w:line="240" w:lineRule="auto"/>
    </w:pPr>
    <w:rPr>
      <w:sz w:val="20"/>
      <w:szCs w:val="20"/>
    </w:rPr>
  </w:style>
  <w:style w:type="paragraph" w:styleId="Bibliography">
    <w:name w:val="Bibliography"/>
    <w:basedOn w:val="Normal"/>
    <w:next w:val="Normal"/>
    <w:uiPriority w:val="37"/>
    <w:unhideWhenUsed/>
    <w:qFormat/>
    <w:rsid w:val="008D0046"/>
    <w:pPr>
      <w:spacing w:after="0" w:line="480" w:lineRule="auto"/>
      <w:ind w:left="720" w:hanging="72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15DBB"/>
    <w:pPr>
      <w:tabs>
        <w:tab w:val="center" w:pos="4513"/>
        <w:tab w:val="right" w:pos="9026"/>
      </w:tabs>
      <w:spacing w:after="0" w:line="240" w:lineRule="auto"/>
    </w:pPr>
  </w:style>
  <w:style w:type="paragraph" w:styleId="Footer">
    <w:name w:val="footer"/>
    <w:basedOn w:val="Normal"/>
    <w:link w:val="FooterChar"/>
    <w:uiPriority w:val="99"/>
    <w:unhideWhenUsed/>
    <w:rsid w:val="00115DBB"/>
    <w:pPr>
      <w:tabs>
        <w:tab w:val="center" w:pos="4513"/>
        <w:tab w:val="right" w:pos="9026"/>
      </w:tabs>
      <w:spacing w:after="0" w:line="240" w:lineRule="auto"/>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2962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45DE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FootnoteReference">
    <w:name w:val="footnote reference"/>
    <w:basedOn w:val="DefaultParagraphFont"/>
    <w:uiPriority w:val="99"/>
    <w:semiHidden/>
    <w:unhideWhenUsed/>
    <w:rsid w:val="00E134A9"/>
    <w:rPr>
      <w:vertAlign w:val="superscript"/>
    </w:rPr>
  </w:style>
  <w:style w:type="character" w:customStyle="1" w:styleId="ms-rtethemeforecolor-2-0">
    <w:name w:val="ms-rtethemeforecolor-2-0"/>
    <w:basedOn w:val="DefaultParagraphFont"/>
    <w:rsid w:val="00B11F4C"/>
  </w:style>
  <w:style w:type="table" w:styleId="GridTable4">
    <w:name w:val="Grid Table 4"/>
    <w:basedOn w:val="TableNormal"/>
    <w:uiPriority w:val="49"/>
    <w:rsid w:val="00C9700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082101">
      <w:bodyDiv w:val="1"/>
      <w:marLeft w:val="0"/>
      <w:marRight w:val="0"/>
      <w:marTop w:val="0"/>
      <w:marBottom w:val="0"/>
      <w:divBdr>
        <w:top w:val="none" w:sz="0" w:space="0" w:color="auto"/>
        <w:left w:val="none" w:sz="0" w:space="0" w:color="auto"/>
        <w:bottom w:val="none" w:sz="0" w:space="0" w:color="auto"/>
        <w:right w:val="none" w:sz="0" w:space="0" w:color="auto"/>
      </w:divBdr>
    </w:div>
    <w:div w:id="540635654">
      <w:bodyDiv w:val="1"/>
      <w:marLeft w:val="0"/>
      <w:marRight w:val="0"/>
      <w:marTop w:val="0"/>
      <w:marBottom w:val="0"/>
      <w:divBdr>
        <w:top w:val="none" w:sz="0" w:space="0" w:color="auto"/>
        <w:left w:val="none" w:sz="0" w:space="0" w:color="auto"/>
        <w:bottom w:val="none" w:sz="0" w:space="0" w:color="auto"/>
        <w:right w:val="none" w:sz="0" w:space="0" w:color="auto"/>
      </w:divBdr>
    </w:div>
    <w:div w:id="1470321079">
      <w:bodyDiv w:val="1"/>
      <w:marLeft w:val="0"/>
      <w:marRight w:val="0"/>
      <w:marTop w:val="0"/>
      <w:marBottom w:val="0"/>
      <w:divBdr>
        <w:top w:val="none" w:sz="0" w:space="0" w:color="auto"/>
        <w:left w:val="none" w:sz="0" w:space="0" w:color="auto"/>
        <w:bottom w:val="none" w:sz="0" w:space="0" w:color="auto"/>
        <w:right w:val="none" w:sz="0" w:space="0" w:color="auto"/>
      </w:divBdr>
    </w:div>
    <w:div w:id="1510171684">
      <w:bodyDiv w:val="1"/>
      <w:marLeft w:val="0"/>
      <w:marRight w:val="0"/>
      <w:marTop w:val="0"/>
      <w:marBottom w:val="0"/>
      <w:divBdr>
        <w:top w:val="none" w:sz="0" w:space="0" w:color="auto"/>
        <w:left w:val="none" w:sz="0" w:space="0" w:color="auto"/>
        <w:bottom w:val="none" w:sz="0" w:space="0" w:color="auto"/>
        <w:right w:val="none" w:sz="0" w:space="0" w:color="auto"/>
      </w:divBdr>
    </w:div>
    <w:div w:id="1861427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drmkc.jrc.ec.europa.eu/inform-index/InDepth/Methodology" TargetMode="External"/><Relationship Id="rId13" Type="http://schemas.openxmlformats.org/officeDocument/2006/relationships/hyperlink" Target="https://epi.yale.edu/" TargetMode="External"/><Relationship Id="rId18" Type="http://schemas.openxmlformats.org/officeDocument/2006/relationships/hyperlink" Target="https://www.spglobal.com/ratings/en/about/intro-to-credit-ratings" TargetMode="External"/><Relationship Id="rId26" Type="http://schemas.openxmlformats.org/officeDocument/2006/relationships/hyperlink" Target="https://datacatalog.worldbank.org/rule-law-number-sources" TargetMode="External"/><Relationship Id="rId3" Type="http://schemas.openxmlformats.org/officeDocument/2006/relationships/hyperlink" Target="https://fragilestatesindex.org/indicators/c3/" TargetMode="External"/><Relationship Id="rId21" Type="http://schemas.openxmlformats.org/officeDocument/2006/relationships/hyperlink" Target="https://publicadministration.un.org/egovkb/en-us/About/Overview/E-Participation-Index" TargetMode="External"/><Relationship Id="rId7" Type="http://schemas.openxmlformats.org/officeDocument/2006/relationships/hyperlink" Target="https://www.md.undp.org/content/dam/moldova/docs/Publications/Inclusion_youth_NEET_EN_web.pdf" TargetMode="External"/><Relationship Id="rId12" Type="http://schemas.openxmlformats.org/officeDocument/2006/relationships/hyperlink" Target="https://drmkc.jrc.ec.europa.eu/inform-index/InDepth/Methodology" TargetMode="External"/><Relationship Id="rId17" Type="http://schemas.openxmlformats.org/officeDocument/2006/relationships/hyperlink" Target="https://igarape.org.br/en/o-que-torna-uma-cidade-fragil/" TargetMode="External"/><Relationship Id="rId25" Type="http://schemas.openxmlformats.org/officeDocument/2006/relationships/hyperlink" Target="https://www.idea.int/news-media/news/space-civil-society-really-shrinking" TargetMode="External"/><Relationship Id="rId2" Type="http://schemas.openxmlformats.org/officeDocument/2006/relationships/hyperlink" Target="http://reports.weforum.org/pdf/gci-2017-2018-scorecard/WEF_GCI_2017_2018_Scorecard_EOSQ041.pdf" TargetMode="External"/><Relationship Id="rId16" Type="http://schemas.openxmlformats.org/officeDocument/2006/relationships/hyperlink" Target="https://datacatalog.worldbank.org/urban-population-growth-annual" TargetMode="External"/><Relationship Id="rId20" Type="http://schemas.openxmlformats.org/officeDocument/2006/relationships/hyperlink" Target="https://www.itu.int/en/ITU-D/Cybersecurity/Pages/global-cybersecurity-index.aspx" TargetMode="External"/><Relationship Id="rId29" Type="http://schemas.openxmlformats.org/officeDocument/2006/relationships/hyperlink" Target="https://www.visionofhumanity.org/wp-content/uploads/2020/10/GPI_2020_web.pdf" TargetMode="External"/><Relationship Id="rId1" Type="http://schemas.openxmlformats.org/officeDocument/2006/relationships/hyperlink" Target="https://www.socialprogress.org/static/1aa2d19690906eb93c6cdb281e5ee68b/2020-social-progress-index-methodology.pdf" TargetMode="External"/><Relationship Id="rId6" Type="http://schemas.openxmlformats.org/officeDocument/2006/relationships/hyperlink" Target="https://www.oecd-ilibrary.org/docserver/gov_glance-2017-76-en.pdf?expires=1619478016&amp;id=id&amp;accname=guest&amp;checksum=2CA0C01A1CBEB9E8CC3B4EAB550170AE" TargetMode="External"/><Relationship Id="rId11" Type="http://schemas.openxmlformats.org/officeDocument/2006/relationships/hyperlink" Target="https://germanwatch.org/sites/default/files/Global%20Climate%20Risk%20Index%202021_1.pdf" TargetMode="External"/><Relationship Id="rId24" Type="http://schemas.openxmlformats.org/officeDocument/2006/relationships/hyperlink" Target="https://pubdocs.worldbank.org/en/587221475074960682/WDR16-BP-DAI-methodology.pdf" TargetMode="External"/><Relationship Id="rId5" Type="http://schemas.openxmlformats.org/officeDocument/2006/relationships/hyperlink" Target="http://archive.ipu.org/wmn-e/classif.htm" TargetMode="External"/><Relationship Id="rId15" Type="http://schemas.openxmlformats.org/officeDocument/2006/relationships/hyperlink" Target="https://www.visionofhumanity.org/wp-content/uploads/2020/10/PPR-2019-web.pdf" TargetMode="External"/><Relationship Id="rId23" Type="http://schemas.openxmlformats.org/officeDocument/2006/relationships/hyperlink" Target="https://papers.ssrn.com/sol3/papers.cfm?abstract_id=3557877" TargetMode="External"/><Relationship Id="rId28" Type="http://schemas.openxmlformats.org/officeDocument/2006/relationships/hyperlink" Target="https://papers.ssrn.com/sol3/papers.cfm?abstract_id=3557877" TargetMode="External"/><Relationship Id="rId10" Type="http://schemas.openxmlformats.org/officeDocument/2006/relationships/hyperlink" Target="http://hdr.undp.org/en/content/under-five-mortality-rate-1000-live-births" TargetMode="External"/><Relationship Id="rId19" Type="http://schemas.openxmlformats.org/officeDocument/2006/relationships/hyperlink" Target="https://www.ifo.de/DocDL/dicereport412-db2.pdf" TargetMode="External"/><Relationship Id="rId4" Type="http://schemas.openxmlformats.org/officeDocument/2006/relationships/hyperlink" Target="https://images.transparencycdn.org/images/2020_CPI_FAQs_ENv2.pdf" TargetMode="External"/><Relationship Id="rId9" Type="http://schemas.openxmlformats.org/officeDocument/2006/relationships/hyperlink" Target="https://www.visionofhumanity.org/wp-content/uploads/2020/10/GPI_2020_web.pdf" TargetMode="External"/><Relationship Id="rId14" Type="http://schemas.openxmlformats.org/officeDocument/2006/relationships/hyperlink" Target="https://databank.worldbank.org/metadataglossary/world-development-indicators/series/NY.ADJ.DRES.GN.ZS" TargetMode="External"/><Relationship Id="rId22" Type="http://schemas.openxmlformats.org/officeDocument/2006/relationships/hyperlink" Target="https://papers.ssrn.com/sol3/papers.cfm?abstract_id=3557877" TargetMode="External"/><Relationship Id="rId27" Type="http://schemas.openxmlformats.org/officeDocument/2006/relationships/hyperlink" Target="https://datacatalog.worldbank.org/voice-and-accountability-estimate" TargetMode="External"/><Relationship Id="rId30" Type="http://schemas.openxmlformats.org/officeDocument/2006/relationships/hyperlink" Target="https://www.oecd.org/els/soc/handbookonconstructingcompositeindicatorsmethodologyanduserguide.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FE8E3-4BD0-4D58-A88D-06A2E277F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4656</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Sorensen</dc:creator>
  <dc:description/>
  <cp:lastModifiedBy>David Hammond</cp:lastModifiedBy>
  <cp:revision>2</cp:revision>
  <dcterms:created xsi:type="dcterms:W3CDTF">2021-07-22T05:21:00Z</dcterms:created>
  <dcterms:modified xsi:type="dcterms:W3CDTF">2021-07-22T05:21:00Z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