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3362F0"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50E70C61"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Pr>
          <w:rFonts w:ascii="Times New Roman" w:hAnsi="Times New Roman" w:cs="Times New Roman"/>
          <w:i/>
          <w:iCs/>
        </w:rPr>
        <w:t>website</w:t>
      </w:r>
      <w:r w:rsidR="007B1F27">
        <w:rPr>
          <w:rFonts w:ascii="Times New Roman" w:hAnsi="Times New Roman" w:cs="Times New Roman"/>
        </w:rPr>
        <w:t xml:space="preserve">] by using the available dropdown menus to include all information about the game context, pitch type, pitch characteristics, and pitch </w:t>
      </w:r>
      <w:r w:rsidR="007B1F27">
        <w:rPr>
          <w:rFonts w:ascii="Times New Roman" w:hAnsi="Times New Roman" w:cs="Times New Roman"/>
        </w:rPr>
        <w:lastRenderedPageBreak/>
        <w:t>outcome for every pitcher in MLB during the 2016-2019 Major League Baseball (MLB) seasons. These seasons were chosen because [</w:t>
      </w:r>
      <w:r w:rsidR="007B1F27" w:rsidRPr="007B1F27">
        <w:rPr>
          <w:rFonts w:ascii="Times New Roman" w:hAnsi="Times New Roman" w:cs="Times New Roman"/>
          <w:i/>
          <w:iCs/>
        </w:rPr>
        <w:t>reason</w:t>
      </w:r>
      <w:r w:rsidR="007B1F27">
        <w:rPr>
          <w:rFonts w:ascii="Times New Roman" w:hAnsi="Times New Roman" w:cs="Times New Roman"/>
        </w:rPr>
        <w:t xml:space="preserve">]. All data can be found </w:t>
      </w:r>
      <w:r w:rsidR="000B4E74">
        <w:rPr>
          <w:rFonts w:ascii="Times New Roman" w:hAnsi="Times New Roman" w:cs="Times New Roman"/>
        </w:rPr>
        <w:t xml:space="preserve">in the </w:t>
      </w:r>
      <w:proofErr w:type="gramStart"/>
      <w:r w:rsidR="000B4E74">
        <w:rPr>
          <w:rFonts w:ascii="Times New Roman" w:hAnsi="Times New Roman" w:cs="Times New Roman"/>
        </w:rPr>
        <w:t>“</w:t>
      </w:r>
      <w:r w:rsidR="009F6E99">
        <w:rPr>
          <w:rFonts w:ascii="Times New Roman" w:hAnsi="Times New Roman" w:cs="Times New Roman"/>
        </w:rPr>
        <w:t>./</w:t>
      </w:r>
      <w:proofErr w:type="gramEnd"/>
      <w:r w:rsidR="000B4E74">
        <w:rPr>
          <w:rFonts w:ascii="Times New Roman" w:hAnsi="Times New Roman" w:cs="Times New Roman"/>
        </w:rPr>
        <w:t>MLB Data</w:t>
      </w:r>
      <w:r w:rsidR="009F6E99">
        <w:rPr>
          <w:rFonts w:ascii="Times New Roman" w:hAnsi="Times New Roman" w:cs="Times New Roman"/>
        </w:rPr>
        <w:t>/Team Data/</w:t>
      </w:r>
      <w:r w:rsidR="000B4E74">
        <w:rPr>
          <w:rFonts w:ascii="Times New Roman" w:hAnsi="Times New Roman" w:cs="Times New Roman"/>
        </w:rPr>
        <w:t xml:space="preserve">” folder </w:t>
      </w:r>
      <w:r w:rsidR="007B1F27">
        <w:rPr>
          <w:rFonts w:ascii="Times New Roman" w:hAnsi="Times New Roman" w:cs="Times New Roman"/>
        </w:rPr>
        <w:t xml:space="preserve">at </w:t>
      </w:r>
      <w:commentRangeStart w:id="0"/>
      <w:r w:rsidR="007B1F27">
        <w:rPr>
          <w:rFonts w:ascii="Times New Roman" w:hAnsi="Times New Roman" w:cs="Times New Roman"/>
        </w:rPr>
        <w:t xml:space="preserve">Cox </w:t>
      </w:r>
      <w:commentRangeEnd w:id="0"/>
      <w:r w:rsidR="0049513F">
        <w:rPr>
          <w:rStyle w:val="CommentReference"/>
        </w:rPr>
        <w:commentReference w:id="0"/>
      </w:r>
      <w:r w:rsidR="007B1F27">
        <w:rPr>
          <w:rFonts w:ascii="Times New Roman" w:hAnsi="Times New Roman" w:cs="Times New Roman"/>
        </w:rPr>
        <w:t xml:space="preserve">(2020).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3362F0"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sidR="00F56478">
        <w:rPr>
          <w:rFonts w:ascii="Times New Roman" w:eastAsiaTheme="minorEastAsia" w:hAnsi="Times New Roman" w:cs="Times New Roman"/>
        </w:rPr>
        <w:t xml:space="preserve">.                                  </w:t>
      </w:r>
      <w:r w:rsidR="00F56478">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w:t>
      </w:r>
      <w:proofErr w:type="spellStart"/>
      <w:r>
        <w:rPr>
          <w:rFonts w:ascii="Times New Roman" w:hAnsi="Times New Roman" w:cs="Times New Roman"/>
        </w:rPr>
        <w:t>Falligant</w:t>
      </w:r>
      <w:proofErr w:type="spellEnd"/>
      <w:r>
        <w:rPr>
          <w:rFonts w:ascii="Times New Roman" w:hAnsi="Times New Roman" w:cs="Times New Roman"/>
        </w:rPr>
        <w:t xml:space="preserve">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0D6A0A10" w:rsidR="00F56478"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Past research that has examined matching of pitch type in baseball contexts has used strikes/outs as the reinforcers in Equation 1. However, it is possible that different pitchers are sensitive to more subtle changes in game states than simple strikes and outs. For example, throwing a strike on the first pitch to the first batter in an inning is unlikely to have a large impact on the outcome of the game when it is the first inning and the score is 0-to-0. However, throwing a strike on the first pitch to the first batter in an inning is more likely to impact the outcome of the game when it is the last inning and the pitcher’s team is winning by one run. </w:t>
      </w:r>
      <w:r>
        <w:rPr>
          <w:rFonts w:ascii="Times New Roman" w:hAnsi="Times New Roman" w:cs="Times New Roman"/>
        </w:rPr>
        <w:lastRenderedPageBreak/>
        <w:t xml:space="preserve">Stated differently, contacting strikes or outs for throwing a pitch might be more or less meaningful depending on the context of the game in a manner akin to changing the amount of reinforcement delivered following a level press by rats in an operant chamber (e.g., </w:t>
      </w:r>
      <w:r>
        <w:rPr>
          <w:rFonts w:ascii="Times New Roman" w:hAnsi="Times New Roman" w:cs="Times New Roman"/>
          <w:i/>
          <w:iCs/>
        </w:rPr>
        <w:t>citations</w:t>
      </w:r>
      <w:r>
        <w:rPr>
          <w:rFonts w:ascii="Times New Roman" w:hAnsi="Times New Roman" w:cs="Times New Roman"/>
        </w:rPr>
        <w:t xml:space="preserve">). </w:t>
      </w:r>
    </w:p>
    <w:p w14:paraId="3810B080" w14:textId="6A9C22BB" w:rsidR="00415A23"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To quantify the importance of different game states, baseball analysts have developed a metric termed run expectancy 24 (RE24). </w:t>
      </w:r>
      <w:r w:rsidRPr="009646C7">
        <w:rPr>
          <w:rFonts w:ascii="Times New Roman" w:hAnsi="Times New Roman" w:cs="Times New Roman"/>
          <w:color w:val="FF0000"/>
        </w:rPr>
        <w:t>[</w:t>
      </w:r>
      <w:r w:rsidRPr="009646C7">
        <w:rPr>
          <w:rFonts w:ascii="Times New Roman" w:hAnsi="Times New Roman" w:cs="Times New Roman"/>
          <w:i/>
          <w:iCs/>
          <w:color w:val="FF0000"/>
        </w:rPr>
        <w:t>Description of</w:t>
      </w:r>
      <w:r w:rsidRPr="009646C7">
        <w:rPr>
          <w:rFonts w:ascii="Times New Roman" w:hAnsi="Times New Roman" w:cs="Times New Roman"/>
          <w:color w:val="FF0000"/>
        </w:rPr>
        <w:t xml:space="preserve"> </w:t>
      </w:r>
      <w:r w:rsidRPr="009646C7">
        <w:rPr>
          <w:rFonts w:ascii="Times New Roman" w:hAnsi="Times New Roman" w:cs="Times New Roman"/>
          <w:i/>
          <w:iCs/>
          <w:color w:val="FF0000"/>
        </w:rPr>
        <w:t>RE24</w:t>
      </w:r>
      <w:r w:rsidRPr="009646C7">
        <w:rPr>
          <w:rFonts w:ascii="Times New Roman" w:hAnsi="Times New Roman" w:cs="Times New Roman"/>
          <w:color w:val="FF0000"/>
        </w:rPr>
        <w:t>]</w:t>
      </w:r>
      <w:r>
        <w:rPr>
          <w:rFonts w:ascii="Times New Roman" w:hAnsi="Times New Roman" w:cs="Times New Roman"/>
        </w:rPr>
        <w:t xml:space="preserve">. </w:t>
      </w:r>
      <w:r w:rsidR="009646C7">
        <w:rPr>
          <w:rFonts w:ascii="Times New Roman" w:hAnsi="Times New Roman" w:cs="Times New Roman"/>
        </w:rPr>
        <w:t xml:space="preserve">RE24 only accounts for the position of runners on the bases and the number of outs recorded to that point in the inning. It is possible that pitchers are sensitive to changing counts on the batter (number of balls and strikes). Combining the logic of RE24 with the addition of count, we can create RE288 to refer to the unique 288 possible combinations of position of runners on the bases, number of outs recorded to that point in the inning, and the current count on the hitter. </w:t>
      </w:r>
    </w:p>
    <w:p w14:paraId="430D021C" w14:textId="6214B6B2" w:rsidR="009646C7" w:rsidRPr="009646C7" w:rsidRDefault="009646C7" w:rsidP="00F56478">
      <w:pPr>
        <w:spacing w:line="480" w:lineRule="auto"/>
        <w:ind w:firstLine="720"/>
        <w:rPr>
          <w:rFonts w:ascii="Times New Roman" w:hAnsi="Times New Roman" w:cs="Times New Roman"/>
          <w:b/>
          <w:bCs/>
        </w:rPr>
      </w:pPr>
      <w:r>
        <w:rPr>
          <w:rFonts w:ascii="Times New Roman" w:hAnsi="Times New Roman" w:cs="Times New Roman"/>
        </w:rPr>
        <w:t xml:space="preserve">For the present analysis, we wanted to determine whether pitchers independently differed in their overall sensitivity of different outcomes following their pitches. Thus, for every pitcher, we fit the GME once using strikes/outs as the assumed reinforcer to replicate past research, once using change in RE24 as the assumed reinforcer, and once using change in RE288 as the assumed reinforcer. Here, the assumption is that the assumed reinforcer that </w:t>
      </w:r>
      <w:proofErr w:type="spellStart"/>
      <w:r>
        <w:rPr>
          <w:rFonts w:ascii="Times New Roman" w:hAnsi="Times New Roman" w:cs="Times New Roman"/>
        </w:rPr>
        <w:t>us</w:t>
      </w:r>
      <w:proofErr w:type="spellEnd"/>
      <w:r>
        <w:rPr>
          <w:rFonts w:ascii="Times New Roman" w:hAnsi="Times New Roman" w:cs="Times New Roman"/>
        </w:rPr>
        <w:t xml:space="preserve"> likely to be maintaining a pitcher’s individual responding is identified by a better fit of the GME to the pitcher’s data (i.e.,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closer to 1.0).  </w:t>
      </w:r>
    </w:p>
    <w:p w14:paraId="74747A97" w14:textId="56D41FA3" w:rsidR="00014B6C" w:rsidRPr="00014B6C"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r w:rsidR="000B4E74">
        <w:rPr>
          <w:rFonts w:ascii="Times New Roman" w:hAnsi="Times New Roman" w:cs="Times New Roman"/>
        </w:rPr>
        <w:t xml:space="preserve">To use strikes/outs as the assumed reinforcers, we counted the number of times per game that each pitch type resulted in a called or swinging strike, or the number of times that each pitch type was put into play and resulted in an out. </w:t>
      </w:r>
      <w:r w:rsidR="00014B6C">
        <w:rPr>
          <w:rFonts w:ascii="Times New Roman" w:hAnsi="Times New Roman" w:cs="Times New Roman"/>
        </w:rPr>
        <w:t xml:space="preserve">The number of strikes/outs contacted in a game following a fastball were summed to create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and the number of strikes/outs contacted in a game following all other pitches were summed to create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w:t>
      </w:r>
    </w:p>
    <w:p w14:paraId="2531CDB6" w14:textId="12C07EF9" w:rsidR="007B1F27" w:rsidRPr="00014B6C" w:rsidRDefault="000B4E74" w:rsidP="00F66ECE">
      <w:pPr>
        <w:spacing w:line="480" w:lineRule="auto"/>
        <w:ind w:firstLine="720"/>
        <w:rPr>
          <w:rFonts w:ascii="Times New Roman" w:hAnsi="Times New Roman" w:cs="Times New Roman"/>
        </w:rPr>
      </w:pPr>
      <w:r>
        <w:rPr>
          <w:rFonts w:ascii="Times New Roman" w:hAnsi="Times New Roman" w:cs="Times New Roman"/>
        </w:rPr>
        <w:lastRenderedPageBreak/>
        <w:t xml:space="preserve">To use RE24 as the assumed reinforcers, we </w:t>
      </w:r>
      <w:r w:rsidRPr="000B4E74">
        <w:rPr>
          <w:rFonts w:ascii="Times New Roman" w:hAnsi="Times New Roman" w:cs="Times New Roman"/>
          <w:color w:val="FF0000"/>
        </w:rPr>
        <w:t>[</w:t>
      </w:r>
      <w:r w:rsidRPr="000B4E74">
        <w:rPr>
          <w:rFonts w:ascii="Times New Roman" w:hAnsi="Times New Roman" w:cs="Times New Roman"/>
          <w:i/>
          <w:iCs/>
          <w:color w:val="FF0000"/>
        </w:rPr>
        <w:t>where did we get this again?</w:t>
      </w:r>
      <w:r w:rsidRPr="000B4E74">
        <w:rPr>
          <w:rFonts w:ascii="Times New Roman" w:hAnsi="Times New Roman" w:cs="Times New Roman"/>
          <w:color w:val="FF0000"/>
        </w:rPr>
        <w:t>]</w:t>
      </w:r>
      <w:r>
        <w:rPr>
          <w:rFonts w:ascii="Times New Roman" w:hAnsi="Times New Roman" w:cs="Times New Roman"/>
        </w:rPr>
        <w:t xml:space="preserve">. </w:t>
      </w:r>
      <w:r w:rsidR="004312F5">
        <w:rPr>
          <w:rFonts w:ascii="Times New Roman" w:hAnsi="Times New Roman" w:cs="Times New Roman"/>
        </w:rPr>
        <w:t>To quantify the “amount” of assumed reinforcer following a pitch, we subtracted the RE24 value after a pitch was thrown from the RE24 value before the pitch was thrown. Thus, a positive RE24 change score reflect</w:t>
      </w:r>
      <w:r w:rsidR="00FF7D22">
        <w:rPr>
          <w:rFonts w:ascii="Times New Roman" w:hAnsi="Times New Roman" w:cs="Times New Roman"/>
        </w:rPr>
        <w:t>ed</w:t>
      </w:r>
      <w:r w:rsidR="004312F5">
        <w:rPr>
          <w:rFonts w:ascii="Times New Roman" w:hAnsi="Times New Roman" w:cs="Times New Roman"/>
        </w:rPr>
        <w:t xml:space="preserve"> an improvement in the game context</w:t>
      </w:r>
      <w:r w:rsidR="00014B6C">
        <w:rPr>
          <w:rFonts w:ascii="Times New Roman" w:hAnsi="Times New Roman" w:cs="Times New Roman"/>
        </w:rPr>
        <w:t xml:space="preserve"> (potential reinforcer)</w:t>
      </w:r>
      <w:r w:rsidR="004312F5">
        <w:rPr>
          <w:rFonts w:ascii="Times New Roman" w:hAnsi="Times New Roman" w:cs="Times New Roman"/>
        </w:rPr>
        <w:t xml:space="preserve">, a negative RE24 </w:t>
      </w:r>
      <w:r w:rsidR="00FF7D22">
        <w:rPr>
          <w:rFonts w:ascii="Times New Roman" w:hAnsi="Times New Roman" w:cs="Times New Roman"/>
        </w:rPr>
        <w:t xml:space="preserve">change score </w:t>
      </w:r>
      <w:r w:rsidR="004312F5">
        <w:rPr>
          <w:rFonts w:ascii="Times New Roman" w:hAnsi="Times New Roman" w:cs="Times New Roman"/>
        </w:rPr>
        <w:t>reflect</w:t>
      </w:r>
      <w:r w:rsidR="00FF7D22">
        <w:rPr>
          <w:rFonts w:ascii="Times New Roman" w:hAnsi="Times New Roman" w:cs="Times New Roman"/>
        </w:rPr>
        <w:t>ed</w:t>
      </w:r>
      <w:r w:rsidR="004312F5">
        <w:rPr>
          <w:rFonts w:ascii="Times New Roman" w:hAnsi="Times New Roman" w:cs="Times New Roman"/>
        </w:rPr>
        <w:t xml:space="preserve"> a worsening of the game context</w:t>
      </w:r>
      <w:r w:rsidR="00014B6C">
        <w:rPr>
          <w:rFonts w:ascii="Times New Roman" w:hAnsi="Times New Roman" w:cs="Times New Roman"/>
        </w:rPr>
        <w:t xml:space="preserve"> (potential punisher)</w:t>
      </w:r>
      <w:r w:rsidR="004312F5">
        <w:rPr>
          <w:rFonts w:ascii="Times New Roman" w:hAnsi="Times New Roman" w:cs="Times New Roman"/>
        </w:rPr>
        <w:t xml:space="preserve">, and a </w:t>
      </w:r>
      <w:r w:rsidR="00FF7D22">
        <w:rPr>
          <w:rFonts w:ascii="Times New Roman" w:hAnsi="Times New Roman" w:cs="Times New Roman"/>
        </w:rPr>
        <w:t xml:space="preserve">change score of </w:t>
      </w:r>
      <w:r w:rsidR="004312F5">
        <w:rPr>
          <w:rFonts w:ascii="Times New Roman" w:hAnsi="Times New Roman" w:cs="Times New Roman"/>
        </w:rPr>
        <w:t>zero reflect</w:t>
      </w:r>
      <w:r w:rsidR="00FF7D22">
        <w:rPr>
          <w:rFonts w:ascii="Times New Roman" w:hAnsi="Times New Roman" w:cs="Times New Roman"/>
        </w:rPr>
        <w:t>ed</w:t>
      </w:r>
      <w:r w:rsidR="004312F5">
        <w:rPr>
          <w:rFonts w:ascii="Times New Roman" w:hAnsi="Times New Roman" w:cs="Times New Roman"/>
        </w:rPr>
        <w:t xml:space="preserve"> no change in the game context.</w:t>
      </w:r>
      <w:r w:rsidR="00014B6C">
        <w:rPr>
          <w:rFonts w:ascii="Times New Roman" w:hAnsi="Times New Roman" w:cs="Times New Roman"/>
        </w:rPr>
        <w:t xml:space="preserve"> Because Equation 1 only includes reinforcement, only positive RE24 change scores were summed to quantify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i/>
          <w:iCs/>
        </w:rPr>
        <w:t xml:space="preserve"> </w:t>
      </w:r>
      <w:r w:rsidR="00014B6C">
        <w:rPr>
          <w:rFonts w:ascii="Times New Roman" w:hAnsi="Times New Roman" w:cs="Times New Roman"/>
        </w:rPr>
        <w:t xml:space="preserve">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using RE24 as the assumed reinforcer.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was the summed positive RE24 change scores per game following all fastballs thrown. 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was the summed RE24 change scores per game following all other pitches. </w:t>
      </w:r>
    </w:p>
    <w:p w14:paraId="3EF54E21" w14:textId="795E8590" w:rsidR="004312F5" w:rsidRPr="009F6E99"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No known RE288 tables were available for this analysis. As a result, we combined all the data from the 2016-2019 seasons into a single dataframe consisting of </w:t>
      </w:r>
      <w:r w:rsidR="004312F5">
        <w:rPr>
          <w:rFonts w:ascii="Times New Roman" w:hAnsi="Times New Roman" w:cs="Times New Roman"/>
        </w:rPr>
        <w:t>2,891,247</w:t>
      </w:r>
      <w:r w:rsidRPr="000B4E74">
        <w:rPr>
          <w:rFonts w:ascii="Times New Roman" w:hAnsi="Times New Roman" w:cs="Times New Roman"/>
          <w:i/>
          <w:iCs/>
        </w:rPr>
        <w:t xml:space="preserve"> </w:t>
      </w:r>
      <w:r>
        <w:rPr>
          <w:rFonts w:ascii="Times New Roman" w:hAnsi="Times New Roman" w:cs="Times New Roman"/>
        </w:rPr>
        <w:t xml:space="preserve">observations. We then labeled every pitch </w:t>
      </w:r>
      <w:r w:rsidR="004312F5">
        <w:rPr>
          <w:rFonts w:ascii="Times New Roman" w:hAnsi="Times New Roman" w:cs="Times New Roman"/>
        </w:rPr>
        <w:t xml:space="preserve">with a corresponding game state number between 1 and 288 (see </w:t>
      </w:r>
      <w:r w:rsidR="004312F5">
        <w:rPr>
          <w:rFonts w:ascii="Times New Roman" w:hAnsi="Times New Roman" w:cs="Times New Roman"/>
          <w:i/>
          <w:iCs/>
        </w:rPr>
        <w:t>Appendix A</w:t>
      </w:r>
      <w:r w:rsidR="004312F5">
        <w:rPr>
          <w:rFonts w:ascii="Times New Roman" w:hAnsi="Times New Roman" w:cs="Times New Roman"/>
        </w:rPr>
        <w:t xml:space="preserve"> for game state labels). Once labeled, we calculated the number of runs that were scored after each pitch was thrown up until the end of that inning. Finally, we calculated the average number of runs scored until the end of an inning for each of the 288 different game states</w:t>
      </w:r>
      <w:r w:rsidR="00FF7D22">
        <w:rPr>
          <w:rFonts w:ascii="Times New Roman" w:hAnsi="Times New Roman" w:cs="Times New Roman"/>
        </w:rPr>
        <w:t xml:space="preserve"> which</w:t>
      </w:r>
      <w:r w:rsidR="004312F5">
        <w:rPr>
          <w:rFonts w:ascii="Times New Roman" w:hAnsi="Times New Roman" w:cs="Times New Roman"/>
        </w:rPr>
        <w:t xml:space="preserve"> became the RE288 </w:t>
      </w:r>
      <w:r w:rsidR="00FF7D22">
        <w:rPr>
          <w:rFonts w:ascii="Times New Roman" w:hAnsi="Times New Roman" w:cs="Times New Roman"/>
        </w:rPr>
        <w:t>value used for the analyses in this study. To quantify the “amount” of assumed reinforcer following a pitch, we subtracted the RE288 value after a pitch was thrown from the RE24 value before the pitch was thrown. Similar to RE24, a positive RE288 change score reflected an improvement in the game context</w:t>
      </w:r>
      <w:r w:rsidR="009F6E99">
        <w:rPr>
          <w:rFonts w:ascii="Times New Roman" w:hAnsi="Times New Roman" w:cs="Times New Roman"/>
        </w:rPr>
        <w:t xml:space="preserve"> (potential reinforcer)</w:t>
      </w:r>
      <w:r w:rsidR="00FF7D22">
        <w:rPr>
          <w:rFonts w:ascii="Times New Roman" w:hAnsi="Times New Roman" w:cs="Times New Roman"/>
        </w:rPr>
        <w:t>, a negative RE288 change score reflected a worsening in the game context</w:t>
      </w:r>
      <w:r w:rsidR="009F6E99">
        <w:rPr>
          <w:rFonts w:ascii="Times New Roman" w:hAnsi="Times New Roman" w:cs="Times New Roman"/>
        </w:rPr>
        <w:t xml:space="preserve"> (potential punisher)</w:t>
      </w:r>
      <w:r w:rsidR="00FF7D22">
        <w:rPr>
          <w:rFonts w:ascii="Times New Roman" w:hAnsi="Times New Roman" w:cs="Times New Roman"/>
        </w:rPr>
        <w:t xml:space="preserve">, and a change score of zero reflected no change in game context. </w:t>
      </w:r>
      <w:r w:rsidR="009F6E99">
        <w:rPr>
          <w:rFonts w:ascii="Times New Roman" w:hAnsi="Times New Roman" w:cs="Times New Roman"/>
        </w:rPr>
        <w:t xml:space="preserve">As with RE24, only positive RE288 </w:t>
      </w:r>
      <w:r w:rsidR="009F6E99">
        <w:rPr>
          <w:rFonts w:ascii="Times New Roman" w:hAnsi="Times New Roman" w:cs="Times New Roman"/>
        </w:rPr>
        <w:lastRenderedPageBreak/>
        <w:t xml:space="preserve">change scores per game were summed to quantify </w:t>
      </w:r>
      <w:r w:rsidR="009F6E99">
        <w:rPr>
          <w:rFonts w:ascii="Times New Roman" w:hAnsi="Times New Roman" w:cs="Times New Roman"/>
          <w:i/>
          <w:iCs/>
        </w:rPr>
        <w:t>R</w:t>
      </w:r>
      <w:r w:rsidR="009F6E99">
        <w:rPr>
          <w:rFonts w:ascii="Times New Roman" w:hAnsi="Times New Roman" w:cs="Times New Roman"/>
          <w:i/>
          <w:iCs/>
          <w:vertAlign w:val="subscript"/>
        </w:rPr>
        <w:t>i</w:t>
      </w:r>
      <w:r w:rsidR="009F6E99">
        <w:rPr>
          <w:rFonts w:ascii="Times New Roman" w:hAnsi="Times New Roman" w:cs="Times New Roman"/>
          <w:i/>
          <w:iCs/>
        </w:rPr>
        <w:t xml:space="preserve"> </w:t>
      </w:r>
      <w:r w:rsidR="009F6E99">
        <w:rPr>
          <w:rFonts w:ascii="Times New Roman" w:hAnsi="Times New Roman" w:cs="Times New Roman"/>
        </w:rPr>
        <w:t xml:space="preserve">and </w:t>
      </w:r>
      <w:r w:rsidR="009F6E99">
        <w:rPr>
          <w:rFonts w:ascii="Times New Roman" w:hAnsi="Times New Roman" w:cs="Times New Roman"/>
          <w:i/>
          <w:iCs/>
        </w:rPr>
        <w:t>R</w:t>
      </w:r>
      <w:r w:rsidR="009F6E99">
        <w:rPr>
          <w:rFonts w:ascii="Times New Roman" w:hAnsi="Times New Roman" w:cs="Times New Roman"/>
          <w:i/>
          <w:iCs/>
          <w:vertAlign w:val="subscript"/>
        </w:rPr>
        <w:t>o</w:t>
      </w:r>
      <w:r w:rsidR="009F6E99">
        <w:rPr>
          <w:rFonts w:ascii="Times New Roman" w:hAnsi="Times New Roman" w:cs="Times New Roman"/>
        </w:rPr>
        <w:t xml:space="preserve"> for fastballs and all other pitches, respectively. </w:t>
      </w:r>
    </w:p>
    <w:p w14:paraId="5BCF34F3" w14:textId="06EE30DA" w:rsidR="000B4E74" w:rsidRPr="000B4E74" w:rsidRDefault="009F6E99" w:rsidP="00F66ECE">
      <w:pPr>
        <w:spacing w:line="480" w:lineRule="auto"/>
        <w:ind w:firstLine="720"/>
        <w:rPr>
          <w:rFonts w:ascii="Times New Roman" w:hAnsi="Times New Roman" w:cs="Times New Roman"/>
        </w:rPr>
      </w:pPr>
      <w:r>
        <w:rPr>
          <w:rFonts w:ascii="Times New Roman" w:hAnsi="Times New Roman" w:cs="Times New Roman"/>
        </w:rPr>
        <w:t>Python notebooks containing the code used to create RE288 are located in the</w:t>
      </w:r>
      <w:r w:rsidR="000B4E74">
        <w:rPr>
          <w:rFonts w:ascii="Times New Roman" w:hAnsi="Times New Roman" w:cs="Times New Roman"/>
        </w:rPr>
        <w:t xml:space="preserve"> “</w:t>
      </w:r>
      <w:proofErr w:type="spellStart"/>
      <w:r w:rsidR="000B4E74">
        <w:rPr>
          <w:rFonts w:ascii="Times New Roman" w:hAnsi="Times New Roman" w:cs="Times New Roman"/>
        </w:rPr>
        <w:t>Python_Scripts_Notebooks</w:t>
      </w:r>
      <w:proofErr w:type="spellEnd"/>
      <w:r w:rsidR="000B4E74">
        <w:rPr>
          <w:rFonts w:ascii="Times New Roman" w:hAnsi="Times New Roman" w:cs="Times New Roman"/>
        </w:rPr>
        <w:t xml:space="preserve">” folder at Cox (2020). </w:t>
      </w:r>
      <w:r w:rsidR="00646E9A">
        <w:rPr>
          <w:rFonts w:ascii="Times New Roman" w:hAnsi="Times New Roman" w:cs="Times New Roman"/>
        </w:rPr>
        <w:t>The</w:t>
      </w:r>
      <w:r>
        <w:rPr>
          <w:rFonts w:ascii="Times New Roman" w:hAnsi="Times New Roman" w:cs="Times New Roman"/>
        </w:rPr>
        <w:t xml:space="preserve"> final dataframe that contains all data related to the game context, pitch type and characteristics, pitch outcomes, RE24 change score, RE288, and RE288 change score </w:t>
      </w:r>
      <w:r w:rsidR="00646E9A">
        <w:rPr>
          <w:rFonts w:ascii="Times New Roman" w:hAnsi="Times New Roman" w:cs="Times New Roman"/>
        </w:rPr>
        <w:t>was too large to be housed in GitHub. Readers interested in obtaining these data can contact the corresponding author</w:t>
      </w:r>
      <w:r w:rsidR="00F15EE2">
        <w:rPr>
          <w:rFonts w:ascii="Times New Roman" w:hAnsi="Times New Roman" w:cs="Times New Roman"/>
        </w:rPr>
        <w:t xml:space="preserve">. </w:t>
      </w:r>
    </w:p>
    <w:p w14:paraId="6BA46A2D" w14:textId="08B8367B" w:rsidR="00F66ECE" w:rsidRDefault="007348B4" w:rsidP="00F66ECE">
      <w:pPr>
        <w:spacing w:line="480" w:lineRule="auto"/>
        <w:ind w:firstLine="720"/>
        <w:rPr>
          <w:rFonts w:ascii="Times New Roman" w:hAnsi="Times New Roman" w:cs="Times New Roman"/>
        </w:rPr>
      </w:pPr>
      <w:r>
        <w:rPr>
          <w:rFonts w:ascii="Times New Roman" w:hAnsi="Times New Roman" w:cs="Times New Roman"/>
          <w:b/>
          <w:bCs/>
        </w:rPr>
        <w:t xml:space="preserve">GME </w:t>
      </w:r>
      <w:r w:rsidR="00F66ECE">
        <w:rPr>
          <w:rFonts w:ascii="Times New Roman" w:hAnsi="Times New Roman" w:cs="Times New Roman"/>
          <w:b/>
          <w:bCs/>
        </w:rPr>
        <w:t xml:space="preserve">Scripts and Computational Environment. </w:t>
      </w:r>
      <w:r w:rsidR="00F66ECE">
        <w:rPr>
          <w:rFonts w:ascii="Times New Roman" w:hAnsi="Times New Roman" w:cs="Times New Roman"/>
        </w:rPr>
        <w:t xml:space="preserve">Words. </w:t>
      </w:r>
    </w:p>
    <w:p w14:paraId="58BB2DED" w14:textId="3873020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Analyses. </w:t>
      </w: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2F22C38E" w14:textId="0B79A8DD"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0FA589F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in Population for the Individual.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6281DD3D" w:rsidR="007D664B" w:rsidRDefault="007D664B" w:rsidP="007D664B">
      <w:pPr>
        <w:spacing w:line="480" w:lineRule="auto"/>
        <w:rPr>
          <w:rFonts w:ascii="Times New Roman" w:hAnsi="Times New Roman" w:cs="Times New Roman"/>
        </w:rPr>
      </w:pP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xml:space="preserve">,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525882D8"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 xml:space="preserve">Cox, D. J. (2020). </w:t>
      </w:r>
      <w:r w:rsidR="0049513F">
        <w:rPr>
          <w:rFonts w:ascii="Times New Roman" w:hAnsi="Times New Roman" w:cs="Times New Roman"/>
          <w:sz w:val="22"/>
          <w:szCs w:val="22"/>
        </w:rPr>
        <w:t xml:space="preserve">MLB Data. Man-vs-Machine </w:t>
      </w:r>
      <w:proofErr w:type="spellStart"/>
      <w:r w:rsidR="0049513F">
        <w:rPr>
          <w:rFonts w:ascii="Times New Roman" w:hAnsi="Times New Roman" w:cs="Times New Roman"/>
          <w:sz w:val="22"/>
          <w:szCs w:val="22"/>
        </w:rPr>
        <w:t>Github</w:t>
      </w:r>
      <w:proofErr w:type="spellEnd"/>
      <w:r w:rsidR="0049513F">
        <w:rPr>
          <w:rFonts w:ascii="Times New Roman" w:hAnsi="Times New Roman" w:cs="Times New Roman"/>
          <w:sz w:val="22"/>
          <w:szCs w:val="22"/>
        </w:rPr>
        <w:t xml:space="preserve"> repository [data sets]. https://doi.org/10.5281/zenodo.4088070</w:t>
      </w:r>
    </w:p>
    <w:p w14:paraId="73CC1DC1" w14:textId="7FC98A85"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3DB9D6A7" w14:textId="1A400C3A"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5416F7C4"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lastRenderedPageBreak/>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xml:space="preserve">,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x, David" w:date="2020-10-14T06:39:00Z" w:initials="CD">
    <w:p w14:paraId="07ABECCF" w14:textId="524DF85A" w:rsidR="0049513F" w:rsidRDefault="0049513F">
      <w:pPr>
        <w:pStyle w:val="CommentText"/>
      </w:pPr>
      <w:r>
        <w:rPr>
          <w:rStyle w:val="CommentReference"/>
        </w:rPr>
        <w:annotationRef/>
      </w:r>
      <w:proofErr w:type="spellStart"/>
      <w:r>
        <w:t>Github</w:t>
      </w:r>
      <w:proofErr w:type="spellEnd"/>
      <w:r>
        <w:t xml:space="preserve"> repo. Let me know if either of you want to be added as authors. I set it up to have a DOI so the data or code can be cited.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ABE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11BBE" w16cex:dateUtc="2020-10-1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ABECCF" w16cid:durableId="23311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351ED" w14:textId="77777777" w:rsidR="003362F0" w:rsidRDefault="003362F0" w:rsidP="00AF30C4">
      <w:r>
        <w:separator/>
      </w:r>
    </w:p>
  </w:endnote>
  <w:endnote w:type="continuationSeparator" w:id="0">
    <w:p w14:paraId="66CE7788" w14:textId="77777777" w:rsidR="003362F0" w:rsidRDefault="003362F0"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38B36" w14:textId="77777777" w:rsidR="003362F0" w:rsidRDefault="003362F0" w:rsidP="00AF30C4">
      <w:r>
        <w:separator/>
      </w:r>
    </w:p>
  </w:footnote>
  <w:footnote w:type="continuationSeparator" w:id="0">
    <w:p w14:paraId="01CCF9AF" w14:textId="77777777" w:rsidR="003362F0" w:rsidRDefault="003362F0"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014B6C"/>
    <w:rsid w:val="000B4E74"/>
    <w:rsid w:val="00122E3C"/>
    <w:rsid w:val="00180940"/>
    <w:rsid w:val="003362F0"/>
    <w:rsid w:val="00357CC7"/>
    <w:rsid w:val="00380170"/>
    <w:rsid w:val="003E5DC9"/>
    <w:rsid w:val="00415A23"/>
    <w:rsid w:val="004312F5"/>
    <w:rsid w:val="0049513F"/>
    <w:rsid w:val="0052704C"/>
    <w:rsid w:val="00646E9A"/>
    <w:rsid w:val="007348B4"/>
    <w:rsid w:val="007B1F27"/>
    <w:rsid w:val="007D664B"/>
    <w:rsid w:val="008B0273"/>
    <w:rsid w:val="009317F4"/>
    <w:rsid w:val="00936B57"/>
    <w:rsid w:val="009646C7"/>
    <w:rsid w:val="009A53C3"/>
    <w:rsid w:val="009B5178"/>
    <w:rsid w:val="009F6E99"/>
    <w:rsid w:val="00AB7B55"/>
    <w:rsid w:val="00AD2322"/>
    <w:rsid w:val="00AF30C4"/>
    <w:rsid w:val="00B87579"/>
    <w:rsid w:val="00C378D4"/>
    <w:rsid w:val="00DE0B65"/>
    <w:rsid w:val="00E16D72"/>
    <w:rsid w:val="00F15EE2"/>
    <w:rsid w:val="00F56478"/>
    <w:rsid w:val="00F66ECE"/>
    <w:rsid w:val="00F675B3"/>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19</cp:revision>
  <dcterms:created xsi:type="dcterms:W3CDTF">2020-10-13T10:18:00Z</dcterms:created>
  <dcterms:modified xsi:type="dcterms:W3CDTF">2020-10-14T12:18:00Z</dcterms:modified>
</cp:coreProperties>
</file>