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line="480" w:lineRule="auto"/>
        <w:jc w:val="center"/>
      </w:pPr>
      <w:r>
        <w:rPr>
          <w:rFonts w:ascii="Times New Roman" w:hAnsi="Times New Roman"/>
          <w:b/>
          <w:sz w:val="24"/>
        </w:rPr>
        <w:t>Measuring the Relative Influence of Multiple Variables on Behavior Using Transition Operators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sz w:val="24"/>
        </w:rPr>
        <w:t>David J. Cox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sz w:val="24"/>
        </w:rPr>
        <w:t>Endicott College</w:t>
      </w: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Measuring the Relative Influence of Multiple Variables on Behavior Using Transition Operators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Behavior is seldom under the control of a single variable. At any moment,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several features of the environment covary with responding, and both applied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and experimental analyses require an estimate of which features control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behavior and in what proportion.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Magnitude as the Prevailing Metric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The measures in general use express influence as a magnitude. Discriminability,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log </w:t>
      </w:r>
      <w:r>
        <w:rPr>
          <w:rFonts w:ascii="Times New Roman" w:hAnsi="Times New Roman"/>
          <w:i/>
          <w:sz w:val="24"/>
        </w:rPr>
        <w:t>d</w:t>
      </w:r>
      <w:r>
        <w:rPr>
          <w:rFonts w:ascii="Times New Roman" w:hAnsi="Times New Roman"/>
          <w:sz w:val="24"/>
        </w:rPr>
        <w:t xml:space="preserve"> (Davison &amp; Tustin, 1978), indexes the degree to which a stimulus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dimension separates responding. Sensitivity in the generalized matching law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indexes the degree to which allocation follows a reinforcer ratio.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discrimination ratio (Vyazovska et al., 2014) indexes the degree to which a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dimension separates responding to S+ from responding to S−. Each yields, for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each variable, a single value for amount of control.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Magnitude does not exhaust influence. An effect that is large but dissipates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within three responses may contribute less to subsequent behavior than an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effect that is small but remains detectable a minute later. The measures above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cannot distinguish these cases, because none represents time.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Quantitative Accounts That Represent Time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Three research programs have measured persistence. They developed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independently, report in incommensurate units, and are not ordinarily cited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together.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McDowell et al. (1992) expressed behavior as the convolution of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reinforcement stream with an impulse-response kernel,</w:t>
      </w:r>
    </w:p>
    <w:p>
      <w:pPr>
        <w:spacing w:line="480" w:lineRule="auto"/>
        <w:ind w:left="720"/>
      </w:pPr>
      <w:r>
        <w:rPr>
          <w:rFonts w:ascii="Times New Roman" w:hAnsi="Times New Roman"/>
          <w:i/>
          <w:sz w:val="24"/>
        </w:rPr>
        <w:t>B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) = ∫ 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′) 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′) d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′,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and identified the critical test of the framework as the invariance of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kernel under a change of schedule. The kernel has both a height and a time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constant, so magnitude and persistence are distinct within it. The formulation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admits a single input.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Baum and Davison (2009) modeled log choice as updated at each food delivery,</w:t>
      </w:r>
    </w:p>
    <w:p>
      <w:pPr>
        <w:spacing w:line="480" w:lineRule="auto"/>
        <w:ind w:left="720"/>
      </w:pPr>
      <w:r>
        <w:rPr>
          <w:rFonts w:ascii="Times New Roman" w:hAnsi="Times New Roman"/>
          <w:i/>
          <w:sz w:val="24"/>
        </w:rPr>
        <w:t>B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i</w:t>
      </w:r>
      <w:r>
        <w:rPr>
          <w:rFonts w:ascii="Times New Roman" w:hAnsi="Times New Roman"/>
          <w:sz w:val="24"/>
        </w:rPr>
        <w:t xml:space="preserve"> + 1) = (1 − </w:t>
      </w:r>
      <w:r>
        <w:rPr>
          <w:rFonts w:ascii="Times New Roman" w:hAnsi="Times New Roman"/>
          <w:i/>
          <w:sz w:val="24"/>
        </w:rPr>
        <w:t>w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  <w:i/>
          <w:sz w:val="24"/>
        </w:rPr>
        <w:t>B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i</w:t>
      </w:r>
      <w:r>
        <w:rPr>
          <w:rFonts w:ascii="Times New Roman" w:hAnsi="Times New Roman"/>
          <w:sz w:val="24"/>
        </w:rPr>
        <w:t xml:space="preserve">) + </w:t>
      </w:r>
      <w:r>
        <w:rPr>
          <w:rFonts w:ascii="Times New Roman" w:hAnsi="Times New Roman"/>
          <w:i/>
          <w:sz w:val="24"/>
        </w:rPr>
        <w:t>wA</w:t>
      </w:r>
      <w:r>
        <w:rPr>
          <w:rFonts w:ascii="Times New Roman" w:hAnsi="Times New Roman"/>
          <w:sz w:val="24"/>
        </w:rPr>
        <w:t>,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 xml:space="preserve">with fitted values of </w:t>
      </w:r>
      <w:r>
        <w:rPr>
          <w:rFonts w:ascii="Times New Roman" w:hAnsi="Times New Roman"/>
          <w:i/>
          <w:sz w:val="24"/>
        </w:rPr>
        <w:t>w</w:t>
      </w:r>
      <w:r>
        <w:rPr>
          <w:rFonts w:ascii="Times New Roman" w:hAnsi="Times New Roman"/>
          <w:sz w:val="24"/>
        </w:rPr>
        <w:t xml:space="preserve"> between .42 and .66. Magnitude and persistence are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distinct in this account as well, and are separately manipulable: a changeover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delay altered the asymptote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, whereas overall food rate altered the rate </w:t>
      </w:r>
      <w:r>
        <w:rPr>
          <w:rFonts w:ascii="Times New Roman" w:hAnsi="Times New Roman"/>
          <w:i/>
          <w:sz w:val="24"/>
        </w:rPr>
        <w:t>w</w:t>
      </w:r>
      <w:r>
        <w:rPr>
          <w:rFonts w:ascii="Times New Roman" w:hAnsi="Times New Roman"/>
          <w:sz w:val="24"/>
        </w:rPr>
        <w:t>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operator is scalar and therefore admits a single rate. Reported fits were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obtained from data pooled across six pigeons and 60 to 85 sessions.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Nevin (1992) indexed behavioral strength by resistance to change under a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disrupter. The central claim of behavioral momentum theory is that response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rate and resistance to change constitute independent dimensions of behavior.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Resistance is estimated for one response class at a time. Nevin et al. (2005)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extended the account with an unmeasured probability of attending, which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introduces a latent variable while remaining an account of steady states and of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decay under disruption.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Each account distinguishes magnitude from persistence for a single influence.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None distinguishes them across several concurrent influences. The limitation is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structural rather than historical: a scalar operator admits one rate, a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single-input kernel one time constant, and a resistance measure one response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class.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The Transition Operator and Its Spectrum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Consider an operator fitted to an individual's response series,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sz w:val="24"/>
        </w:rPr>
        <w:t>x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 + 1) = </w:t>
      </w:r>
      <w:r>
        <w:rPr>
          <w:rFonts w:ascii="Times New Roman" w:hAnsi="Times New Roman"/>
          <w:b/>
          <w:sz w:val="24"/>
        </w:rPr>
        <w:t>A x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) + </w:t>
      </w:r>
      <w:r>
        <w:rPr>
          <w:rFonts w:ascii="Times New Roman" w:hAnsi="Times New Roman"/>
          <w:b/>
          <w:sz w:val="24"/>
        </w:rPr>
        <w:t>B u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) + </w:t>
      </w:r>
      <w:r>
        <w:rPr>
          <w:rFonts w:ascii="Times New Roman" w:hAnsi="Times New Roman"/>
          <w:b/>
          <w:sz w:val="24"/>
        </w:rPr>
        <w:t>c</w:t>
      </w:r>
      <w:r>
        <w:rPr>
          <w:rFonts w:ascii="Times New Roman" w:hAnsi="Times New Roman"/>
          <w:sz w:val="24"/>
        </w:rPr>
        <w:t>,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 xml:space="preserve">in which </w:t>
      </w:r>
      <w:r>
        <w:rPr>
          <w:rFonts w:ascii="Times New Roman" w:hAnsi="Times New Roman"/>
          <w:b/>
          <w:sz w:val="24"/>
        </w:rPr>
        <w:t>x</w:t>
      </w:r>
      <w:r>
        <w:rPr>
          <w:rFonts w:ascii="Times New Roman" w:hAnsi="Times New Roman"/>
          <w:sz w:val="24"/>
        </w:rPr>
        <w:t xml:space="preserve"> is a vector of behavioral measures and </w:t>
      </w:r>
      <w:r>
        <w:rPr>
          <w:rFonts w:ascii="Times New Roman" w:hAnsi="Times New Roman"/>
          <w:b/>
          <w:sz w:val="24"/>
        </w:rPr>
        <w:t>u</w:t>
      </w:r>
      <w:r>
        <w:rPr>
          <w:rFonts w:ascii="Times New Roman" w:hAnsi="Times New Roman"/>
          <w:sz w:val="24"/>
        </w:rPr>
        <w:t xml:space="preserve"> a vector of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manipulated environmental variables.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Relative influence resides in </w:t>
      </w:r>
      <w:r>
        <w:rPr>
          <w:rFonts w:ascii="Times New Roman" w:hAnsi="Times New Roman"/>
          <w:b/>
          <w:sz w:val="24"/>
        </w:rPr>
        <w:t>B</w:t>
      </w:r>
      <w:r>
        <w:rPr>
          <w:rFonts w:ascii="Times New Roman" w:hAnsi="Times New Roman"/>
          <w:sz w:val="24"/>
        </w:rPr>
        <w:t xml:space="preserve"> rather than in the spectrum of </w:t>
      </w:r>
      <w:r>
        <w:rPr>
          <w:rFonts w:ascii="Times New Roman" w:hAnsi="Times New Roman"/>
          <w:b/>
          <w:sz w:val="24"/>
        </w:rPr>
        <w:t>A</w:t>
      </w:r>
      <w:r>
        <w:rPr>
          <w:rFonts w:ascii="Times New Roman" w:hAnsi="Times New Roman"/>
          <w:sz w:val="24"/>
        </w:rPr>
        <w:t>. Column</w:t>
      </w:r>
    </w:p>
    <w:p>
      <w:pPr>
        <w:spacing w:line="480" w:lineRule="auto"/>
        <w:ind w:firstLine="720"/>
      </w:pPr>
      <w:r>
        <w:rPr>
          <w:rFonts w:ascii="Times New Roman" w:hAnsi="Times New Roman"/>
          <w:i/>
          <w:sz w:val="24"/>
        </w:rPr>
        <w:t>k</w:t>
      </w:r>
      <w:r>
        <w:rPr>
          <w:rFonts w:ascii="Times New Roman" w:hAnsi="Times New Roman"/>
          <w:sz w:val="24"/>
        </w:rPr>
        <w:t xml:space="preserve"> of </w:t>
      </w:r>
      <w:r>
        <w:rPr>
          <w:rFonts w:ascii="Times New Roman" w:hAnsi="Times New Roman"/>
          <w:b/>
          <w:sz w:val="24"/>
        </w:rPr>
        <w:t>B</w:t>
      </w:r>
      <w:r>
        <w:rPr>
          <w:rFonts w:ascii="Times New Roman" w:hAnsi="Times New Roman"/>
          <w:sz w:val="24"/>
        </w:rPr>
        <w:t xml:space="preserve"> estimates the effect of variable </w:t>
      </w:r>
      <w:r>
        <w:rPr>
          <w:rFonts w:ascii="Times New Roman" w:hAnsi="Times New Roman"/>
          <w:i/>
          <w:sz w:val="24"/>
        </w:rPr>
        <w:t>k</w:t>
      </w:r>
      <w:r>
        <w:rPr>
          <w:rFonts w:ascii="Times New Roman" w:hAnsi="Times New Roman"/>
          <w:sz w:val="24"/>
        </w:rPr>
        <w:t xml:space="preserve"> on behavior with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organism's own carryover already accommodated in </w:t>
      </w:r>
      <w:r>
        <w:rPr>
          <w:rFonts w:ascii="Times New Roman" w:hAnsi="Times New Roman"/>
          <w:b/>
          <w:sz w:val="24"/>
        </w:rPr>
        <w:t>A</w:t>
      </w:r>
      <w:r>
        <w:rPr>
          <w:rFonts w:ascii="Times New Roman" w:hAnsi="Times New Roman"/>
          <w:sz w:val="24"/>
        </w:rPr>
        <w:t>. This is the quantity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magnitude measures above estimate, with autocorrelation partialed out.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The spectrum supplies two quantities that </w:t>
      </w:r>
      <w:r>
        <w:rPr>
          <w:rFonts w:ascii="Times New Roman" w:hAnsi="Times New Roman"/>
          <w:b/>
          <w:sz w:val="24"/>
        </w:rPr>
        <w:t>B</w:t>
      </w:r>
      <w:r>
        <w:rPr>
          <w:rFonts w:ascii="Times New Roman" w:hAnsi="Times New Roman"/>
          <w:sz w:val="24"/>
        </w:rPr>
        <w:t xml:space="preserve"> does not. For a diagonalizable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operator, </w:t>
      </w:r>
      <w:r>
        <w:rPr>
          <w:rFonts w:ascii="Times New Roman" w:hAnsi="Times New Roman"/>
          <w:b/>
          <w:sz w:val="24"/>
        </w:rPr>
        <w:t>A</w:t>
      </w:r>
      <w:r>
        <w:rPr>
          <w:rFonts w:ascii="Times New Roman" w:hAnsi="Times New Roman"/>
          <w:sz w:val="24"/>
        </w:rPr>
        <w:t xml:space="preserve"> = </w:t>
      </w:r>
      <w:r>
        <w:rPr>
          <w:rFonts w:ascii="Times New Roman" w:hAnsi="Times New Roman"/>
          <w:b/>
          <w:sz w:val="24"/>
        </w:rPr>
        <w:t>V</w:t>
      </w:r>
      <w:r>
        <w:rPr>
          <w:rFonts w:ascii="Times New Roman" w:hAnsi="Times New Roman"/>
          <w:sz w:val="24"/>
        </w:rPr>
        <w:t>Λ</w:t>
      </w:r>
      <w:r>
        <w:rPr>
          <w:rFonts w:ascii="Times New Roman" w:hAnsi="Times New Roman"/>
          <w:b/>
          <w:sz w:val="24"/>
        </w:rPr>
        <w:t>V</w:t>
      </w:r>
      <w:r>
        <w:rPr>
          <w:rFonts w:ascii="Times New Roman" w:hAnsi="Times New Roman"/>
          <w:sz w:val="24"/>
        </w:rPr>
        <w:t xml:space="preserve">⁻¹ and </w:t>
      </w:r>
      <w:r>
        <w:rPr>
          <w:rFonts w:ascii="Times New Roman" w:hAnsi="Times New Roman"/>
          <w:b/>
          <w:sz w:val="24"/>
        </w:rPr>
        <w:t>A</w:t>
      </w:r>
      <w:r>
        <w:rPr>
          <w:rFonts w:ascii="Times New Roman" w:hAnsi="Times New Roman"/>
          <w:sz w:val="24"/>
        </w:rPr>
        <w:t>^</w:t>
      </w:r>
      <w:r>
        <w:rPr>
          <w:rFonts w:ascii="Times New Roman" w:hAnsi="Times New Roman"/>
          <w:i/>
          <w:sz w:val="24"/>
        </w:rPr>
        <w:t>k</w:t>
      </w:r>
      <w:r>
        <w:rPr>
          <w:rFonts w:ascii="Times New Roman" w:hAnsi="Times New Roman"/>
          <w:sz w:val="24"/>
        </w:rPr>
        <w:t xml:space="preserve"> = </w:t>
      </w:r>
      <w:r>
        <w:rPr>
          <w:rFonts w:ascii="Times New Roman" w:hAnsi="Times New Roman"/>
          <w:b/>
          <w:sz w:val="24"/>
        </w:rPr>
        <w:t>V</w:t>
      </w:r>
      <w:r>
        <w:rPr>
          <w:rFonts w:ascii="Times New Roman" w:hAnsi="Times New Roman"/>
          <w:sz w:val="24"/>
        </w:rPr>
        <w:t>Λ^</w:t>
      </w:r>
      <w:r>
        <w:rPr>
          <w:rFonts w:ascii="Times New Roman" w:hAnsi="Times New Roman"/>
          <w:i/>
          <w:sz w:val="24"/>
        </w:rPr>
        <w:t>k</w:t>
      </w:r>
      <w:r>
        <w:rPr>
          <w:rFonts w:ascii="Times New Roman" w:hAnsi="Times New Roman"/>
          <w:b/>
          <w:sz w:val="24"/>
        </w:rPr>
        <w:t>V</w:t>
      </w:r>
      <w:r>
        <w:rPr>
          <w:rFonts w:ascii="Times New Roman" w:hAnsi="Times New Roman"/>
          <w:sz w:val="24"/>
        </w:rPr>
        <w:t>⁻¹, so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operator's action reduces to independent scaling along each eigenvector.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eigenvalues then give the persistence of each mode: |λ| &lt; 1 decays with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half-life log(.5)/log|λ|, and complex λ introduces oscillation with period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2π/arg(λ). A variable with a small effect on a slowly decaying mode may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therefore exert more influence over subsequent behavior than a variable with a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large effect on a rapidly decaying one. The eigenvectors identify which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measured variables constitute a single mode, and thus whether a set of recorded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variables represents that many influences or fewer.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Two of the three correspondences are exact. For any linear state-space model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the impulse response is </w:t>
      </w:r>
      <w:r>
        <w:rPr>
          <w:rFonts w:ascii="Times New Roman" w:hAnsi="Times New Roman"/>
          <w:b/>
          <w:sz w:val="24"/>
        </w:rPr>
        <w:t>A</w:t>
      </w:r>
      <w:r>
        <w:rPr>
          <w:rFonts w:ascii="Times New Roman" w:hAnsi="Times New Roman"/>
          <w:sz w:val="24"/>
        </w:rPr>
        <w:t>^(</w:t>
      </w:r>
      <w:r>
        <w:rPr>
          <w:rFonts w:ascii="Times New Roman" w:hAnsi="Times New Roman"/>
          <w:i/>
          <w:sz w:val="24"/>
        </w:rPr>
        <w:t>k</w:t>
      </w:r>
      <w:r>
        <w:rPr>
          <w:rFonts w:ascii="Times New Roman" w:hAnsi="Times New Roman"/>
          <w:sz w:val="24"/>
        </w:rPr>
        <w:t>−1)</w:t>
      </w:r>
      <w:r>
        <w:rPr>
          <w:rFonts w:ascii="Times New Roman" w:hAnsi="Times New Roman"/>
          <w:b/>
          <w:sz w:val="24"/>
        </w:rPr>
        <w:t>B</w:t>
      </w:r>
      <w:r>
        <w:rPr>
          <w:rFonts w:ascii="Times New Roman" w:hAnsi="Times New Roman"/>
          <w:sz w:val="24"/>
        </w:rPr>
        <w:t>, which expands as Σ</w:t>
      </w:r>
      <w:r>
        <w:rPr>
          <w:rFonts w:ascii="Times New Roman" w:hAnsi="Times New Roman"/>
          <w:i/>
          <w:sz w:val="24"/>
        </w:rPr>
        <w:t>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cⱼ</w:t>
      </w:r>
      <w:r>
        <w:rPr>
          <w:rFonts w:ascii="Times New Roman" w:hAnsi="Times New Roman"/>
          <w:sz w:val="24"/>
        </w:rPr>
        <w:t xml:space="preserve"> λ</w:t>
      </w:r>
      <w:r>
        <w:rPr>
          <w:rFonts w:ascii="Times New Roman" w:hAnsi="Times New Roman"/>
          <w:i/>
          <w:sz w:val="24"/>
        </w:rPr>
        <w:t>ⱼ</w:t>
      </w:r>
      <w:r>
        <w:rPr>
          <w:rFonts w:ascii="Times New Roman" w:hAnsi="Times New Roman"/>
          <w:sz w:val="24"/>
        </w:rPr>
        <w:t>^(</w:t>
      </w:r>
      <w:r>
        <w:rPr>
          <w:rFonts w:ascii="Times New Roman" w:hAnsi="Times New Roman"/>
          <w:i/>
          <w:sz w:val="24"/>
        </w:rPr>
        <w:t>k</w:t>
      </w:r>
      <w:r>
        <w:rPr>
          <w:rFonts w:ascii="Times New Roman" w:hAnsi="Times New Roman"/>
          <w:sz w:val="24"/>
        </w:rPr>
        <w:t>−1);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kernel of McDowell et al. (1992) is therefore a sum of exponentials whose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rates are the eigenvalues, a correspondence verified on fitted operators to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5 × 10⁻¹⁶. The model of Baum and Davison (2009) is the present formulation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restricted to a single state coordinate with a single real eigenvalue (1 − </w:t>
      </w:r>
      <w:r>
        <w:rPr>
          <w:rFonts w:ascii="Times New Roman" w:hAnsi="Times New Roman"/>
          <w:i/>
          <w:sz w:val="24"/>
        </w:rPr>
        <w:t>w</w:t>
      </w:r>
      <w:r>
        <w:rPr>
          <w:rFonts w:ascii="Times New Roman" w:hAnsi="Times New Roman"/>
          <w:sz w:val="24"/>
        </w:rPr>
        <w:t>)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on (0, 1), and is thus the rank-one case. The third correspondence, between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resistance to change and |λ| for the mode a disrupter excites, is proposed and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remains untested.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Evidence From a Preliminary Study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A preliminary study fitted individual operators to 23 participants foraging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between two alternatives under an ABAB contingency reversal. The cue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coefficient reversed sign with the contingency in 21 of 23 participants, and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the spectrum of </w:t>
      </w:r>
      <w:r>
        <w:rPr>
          <w:rFonts w:ascii="Times New Roman" w:hAnsi="Times New Roman"/>
          <w:b/>
          <w:sz w:val="24"/>
        </w:rPr>
        <w:t>A</w:t>
      </w:r>
      <w:r>
        <w:rPr>
          <w:rFonts w:ascii="Times New Roman" w:hAnsi="Times New Roman"/>
          <w:sz w:val="24"/>
        </w:rPr>
        <w:t xml:space="preserve"> remained within each participant's own same-operator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reference distribution in 23 of 23. The latter constitutes the invariance test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specified by McDowell et al. (1992). The scalar restriction imposed by the model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of Baum and Davison (2009) was violated by 23 of 23 participants when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series was examined at a temporal resolution at which behavior varies.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That study does not address relative influence, because it manipulated a single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cue. With one manipulated variable there is no relative influence to estimate.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dominant eigenvector loaded on proportion of responses to the left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alternative for 17 of 23 participants and on mean log inter-response time for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remainder, and did not differ across conditions, which is the expected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outcome for a design in which nothing competes.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 discrete-trial procedure was also examined. Four compound stimulus dimensions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were arranged following Vyazovska et al. (2014), who reported approximately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equal attention across their four dimensions and stated that they could not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construct a null-hypothesis test for the attentional tradeoffs they observed.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Human participants reproduced the equality, for the reason the arrangement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produces it: when every dimension must match for reinforcement, each is equally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predictive. Rendering only a subset of dimensions relevant resolves this, and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resulting static estimate of per-dimension control was validated against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constructed ground truth. However, four-alternative forced choice conveys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approximately two bits per trial, most of which is expended on whether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correct alternative was selected, and the dynamics of control proved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unidentifiable: against agents constructed with attentional half-lives of 2, 8,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and 32 trials, the correct ordering was recovered on 8 of 10 runs only at 2,400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trials per participant, against a chance rate of one in six. A free-operant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procedure yields 375 to 1,329 state transitions in 20 min where forced choice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yields approximately 120 choices.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The Present Study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Several environmental variables are manipulated within a free-operant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two-alternative procedure. The variables are imperfectly correlated with one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another: a stimulus uncorrelated with reinforcement acquires no discriminative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function, whereas a stimulus perfectly correlated with reinforcement rate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contributes no variance that rate does not already explain, and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corresponding columns of </w:t>
      </w:r>
      <w:r>
        <w:rPr>
          <w:rFonts w:ascii="Times New Roman" w:hAnsi="Times New Roman"/>
          <w:b/>
          <w:sz w:val="24"/>
        </w:rPr>
        <w:t>B</w:t>
      </w:r>
      <w:r>
        <w:rPr>
          <w:rFonts w:ascii="Times New Roman" w:hAnsi="Times New Roman"/>
          <w:sz w:val="24"/>
        </w:rPr>
        <w:t xml:space="preserve"> are unidentifiable. Imperfect correlation renders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each variable both predictive and separately estimable.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critical requirement is that variables be arranged to differ in persistence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while matched in magnitude. An analysis based on the matching law or on log </w:t>
      </w:r>
      <w:r>
        <w:rPr>
          <w:rFonts w:ascii="Times New Roman" w:hAnsi="Times New Roman"/>
          <w:i/>
          <w:sz w:val="24"/>
        </w:rPr>
        <w:t>d</w:t>
      </w:r>
      <w:r>
        <w:rPr>
          <w:rFonts w:ascii="Times New Roman" w:hAnsi="Times New Roman"/>
          <w:sz w:val="24"/>
        </w:rPr>
        <w:t>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having no representation of time, must return equivalent values for two such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variables. The spectrum returns different eigenvalues. This divergence,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computed on the same responses, constitutes the test.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design further requires brief perturbations followed by recovery windows.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Eigenvalues are decay rates, and estimating them requires observing return from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 displacement rather than inferring it from steady-state performance. Such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windows are themselves measurements of resistance to change, and therefore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provide a test of the third correspondence noted above.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Method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Participants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Adults recruited through Prolific and restricted to desktop or laptop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computers. Participants who completed earlier studies in this program are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excluded by identifier. Sample size is fixed in advance at </w:t>
      </w:r>
      <w:r>
        <w:rPr>
          <w:rFonts w:ascii="Times New Roman" w:hAnsi="Times New Roman"/>
          <w:i/>
          <w:sz w:val="24"/>
        </w:rPr>
        <w:t>n</w:t>
      </w:r>
      <w:r>
        <w:rPr>
          <w:rFonts w:ascii="Times New Roman" w:hAnsi="Times New Roman"/>
          <w:sz w:val="24"/>
        </w:rPr>
        <w:t xml:space="preserve"> = 15. The design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is single-subject; each effect is estimated and reported for each participant,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and </w:t>
      </w:r>
      <w:r>
        <w:rPr>
          <w:rFonts w:ascii="Times New Roman" w:hAnsi="Times New Roman"/>
          <w:i/>
          <w:sz w:val="24"/>
        </w:rPr>
        <w:t>n</w:t>
      </w:r>
      <w:r>
        <w:rPr>
          <w:rFonts w:ascii="Times New Roman" w:hAnsi="Times New Roman"/>
          <w:sz w:val="24"/>
        </w:rPr>
        <w:t xml:space="preserve"> indexes the number of independent replications of a within-subject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result rather than the denominator of a group test.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Apparatus and Display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The procedure is administered in the participant's browser. The display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comprises a dark neutral background, two identical light-gray response panels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arranged side by side, and a cumulative point counter. The panels are visually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indistinguishable from one another and remain so throughout the session except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when a momentary stimulus is scheduled. No feature of the display marks block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transitions, the state of the reinforcement schedule, or responses remaining,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so that no event other than those under experimental control can acquire a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discriminative function.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Responding is free-operant. A response consists of a click or tap on either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panel; there are no trials, no enforced inter-response interval, and no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programmed delays. A brief point indicator appears at the selected panel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immediately following each response, indicating a gain, a loss, or neither. In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 previous study employing this procedure, 23 participants emitted a median of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4,136 responses at 223 responses per minute (</w:t>
      </w:r>
      <w:r>
        <w:rPr>
          <w:rFonts w:ascii="Times New Roman" w:hAnsi="Times New Roman"/>
          <w:i/>
          <w:sz w:val="24"/>
        </w:rPr>
        <w:t>IQR</w:t>
      </w:r>
      <w:r>
        <w:rPr>
          <w:rFonts w:ascii="Times New Roman" w:hAnsi="Times New Roman"/>
          <w:sz w:val="24"/>
        </w:rPr>
        <w:t xml:space="preserve"> = 185–242, range = 62–315).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Reinforcement Schedule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Each response produces a point with a probability determined by the panel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selected and the current state of the schedule. Probabilities are properties of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schedule state and are independent of the participant's recent allocation.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No alternative depletes and no interval accrues.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This constitutes a departure from the previous study in this program, which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employed depleting patches. Under depletion, allocation toward the richer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alternative reduces its yield, so responding returns toward indifference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irrespective of what the participant has learned. A decay rate estimated under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such a schedule is confounded with the restoring force of the schedule itself.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Because the present study concerns decay rates, the schedule is held constant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while behavior varies.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Independent Variables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Three variables are manipulated.</w:t>
      </w:r>
    </w:p>
    <w:p>
      <w:pPr>
        <w:spacing w:line="480" w:lineRule="auto"/>
        <w:ind w:firstLine="720"/>
      </w:pPr>
      <w:r>
        <w:rPr>
          <w:rFonts w:ascii="Times New Roman" w:hAnsi="Times New Roman"/>
          <w:b/>
          <w:sz w:val="24"/>
        </w:rPr>
        <w:t xml:space="preserve">Reinforcement Rate (V1; Unsignaled). </w:t>
      </w:r>
      <w:r>
        <w:rPr>
          <w:rFonts w:ascii="Times New Roman" w:hAnsi="Times New Roman"/>
          <w:sz w:val="24"/>
        </w:rPr>
        <w:t>The pair of reinforcement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probabilities associated with the two panels. In the neutral state both panels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deliver points with </w:t>
      </w:r>
      <w:r>
        <w:rPr>
          <w:rFonts w:ascii="Times New Roman" w:hAnsi="Times New Roman"/>
          <w:i/>
          <w:sz w:val="24"/>
        </w:rPr>
        <w:t>p</w:t>
      </w:r>
      <w:r>
        <w:rPr>
          <w:rFonts w:ascii="Times New Roman" w:hAnsi="Times New Roman"/>
          <w:sz w:val="24"/>
        </w:rPr>
        <w:t xml:space="preserve"> = .25. In a biased state one panel delivers points with</w:t>
      </w:r>
    </w:p>
    <w:p>
      <w:pPr>
        <w:spacing w:line="480" w:lineRule="auto"/>
        <w:ind w:firstLine="720"/>
      </w:pPr>
      <w:r>
        <w:rPr>
          <w:rFonts w:ascii="Times New Roman" w:hAnsi="Times New Roman"/>
          <w:i/>
          <w:sz w:val="24"/>
        </w:rPr>
        <w:t>p</w:t>
      </w:r>
      <w:r>
        <w:rPr>
          <w:rFonts w:ascii="Times New Roman" w:hAnsi="Times New Roman"/>
          <w:sz w:val="24"/>
        </w:rPr>
        <w:t xml:space="preserve"> = .45 and the other with </w:t>
      </w:r>
      <w:r>
        <w:rPr>
          <w:rFonts w:ascii="Times New Roman" w:hAnsi="Times New Roman"/>
          <w:i/>
          <w:sz w:val="24"/>
        </w:rPr>
        <w:t>p</w:t>
      </w:r>
      <w:r>
        <w:rPr>
          <w:rFonts w:ascii="Times New Roman" w:hAnsi="Times New Roman"/>
          <w:sz w:val="24"/>
        </w:rPr>
        <w:t xml:space="preserve"> = .10. The display does not change when this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variable changes; the current state is available only from the distribution of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obtained outcomes across responses.</w:t>
      </w:r>
    </w:p>
    <w:p>
      <w:pPr>
        <w:spacing w:line="480" w:lineRule="auto"/>
        <w:ind w:firstLine="720"/>
      </w:pPr>
      <w:r>
        <w:rPr>
          <w:rFonts w:ascii="Times New Roman" w:hAnsi="Times New Roman"/>
          <w:b/>
          <w:sz w:val="24"/>
        </w:rPr>
        <w:t xml:space="preserve">Momentary Appetitive Stimulus (V2; Signaled). </w:t>
      </w:r>
      <w:r>
        <w:rPr>
          <w:rFonts w:ascii="Times New Roman" w:hAnsi="Times New Roman"/>
          <w:sz w:val="24"/>
        </w:rPr>
        <w:t>On scheduled responses,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border of one panel changes to gold before the response is emitted and reverts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immediately thereafter. On that response only, the bordered panel delivers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points with </w:t>
      </w:r>
      <w:r>
        <w:rPr>
          <w:rFonts w:ascii="Times New Roman" w:hAnsi="Times New Roman"/>
          <w:i/>
          <w:sz w:val="24"/>
        </w:rPr>
        <w:t>p</w:t>
      </w:r>
      <w:r>
        <w:rPr>
          <w:rFonts w:ascii="Times New Roman" w:hAnsi="Times New Roman"/>
          <w:sz w:val="24"/>
        </w:rPr>
        <w:t xml:space="preserve"> = .60 and the alternative with </w:t>
      </w:r>
      <w:r>
        <w:rPr>
          <w:rFonts w:ascii="Times New Roman" w:hAnsi="Times New Roman"/>
          <w:i/>
          <w:sz w:val="24"/>
        </w:rPr>
        <w:t>p</w:t>
      </w:r>
      <w:r>
        <w:rPr>
          <w:rFonts w:ascii="Times New Roman" w:hAnsi="Times New Roman"/>
          <w:sz w:val="24"/>
        </w:rPr>
        <w:t xml:space="preserve"> = .05, superseding V1.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gold border appears on the panel favored by V1 on 60% of occurrences and on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alternative panel on 40%.</w:t>
      </w:r>
    </w:p>
    <w:p>
      <w:pPr>
        <w:spacing w:line="480" w:lineRule="auto"/>
        <w:ind w:firstLine="720"/>
      </w:pPr>
      <w:r>
        <w:rPr>
          <w:rFonts w:ascii="Times New Roman" w:hAnsi="Times New Roman"/>
          <w:b/>
          <w:sz w:val="24"/>
        </w:rPr>
        <w:t xml:space="preserve">Momentary Aversive Stimulus (V3; Signaled). </w:t>
      </w:r>
      <w:r>
        <w:rPr>
          <w:rFonts w:ascii="Times New Roman" w:hAnsi="Times New Roman"/>
          <w:sz w:val="24"/>
        </w:rPr>
        <w:t>On scheduled responses,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border of one panel changes to dark red under the same timing rules as V2. A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response to a red-bordered panel subtracts one point; a response to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alternative panel is unaffected and produces points at the rate specified by V1.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red border appears on the panel favored by V1 on 40% of occurrences and on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alternative panel on 60%.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partial correlations among V1, V2, and V3 are essential to identification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and are set deliberately. Congruence is arranged in opposite directions for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appetitive and aversive stimuli so that the two are not collinear with each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other.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Design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Block Structure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The session is divided into blocks of 100 consecutive responses. V1 changes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state at each block boundary, alternating between a biased state and its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reversal, with the favored panel drawn subject to the constraint that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consecutive blocks differ. Block boundaries are not marked on the display.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Block length follows from measurement. In the previous study, an unsignaled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reversal of the reinforcement contingency produced a displacement in allocation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that reached maximum 16 to 23 responses after onset and returned to baseline by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24 to 32 responses. A block of 100 responses therefore contains the complete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transition together with approximately 68 subsequent responses at the new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steady state. Shorter blocks would yield additional transitions but would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terminate before allocation had stabilized, so that the magnitude of each shift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would be underestimated; longer blocks would estimate magnitudes more precisely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while yielding too few transitions to characterize their time course.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Scheduling of Momentary Stimuli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V2 and V3 are scheduled on a variable-response schedule with a minimum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inter-stimulus interval of 15 responses and a mean of 20, drawn independently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for each stimulus type. The minimum interval is required for identification. If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momentary stimuli occurred at a fixed probability per response, successive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occurrences would fall within one another's recovery windows and lags beyond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mean interval would be uninterpretable. The constraint guarantees that each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occurrence is followed by at least 15 responses free of further stimuli of that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type.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constraint reduces the rate of momentary stimuli to approximately 5% of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responses, in place of the 20% that unconstrained scheduling would permit, so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that magnitude estimates for V2 and V3 rest on fewer observations. Because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experimental question concerns decay rather than magnitude, precision is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sacrificed on the dimension on which the question does not depend.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Perturbations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At scheduled points, V1 is reversed for exactly 8 responses and then restored,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with no accompanying change to the display. Each perturbation is followed by at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least 40 responses during which V1 is held constant and no momentary stimulus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of either type is scheduled, so that return is observed without further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disturbance. Perturbations are positioned to fall entirely within a block.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Session Parameters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The procedure terminates after 2,400 responses or 28 min, whichever occurs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first. At the median response rate previously observed this corresponds to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approximately 11 min and 24 blocks; at the slowest rate previously observed, to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28 min and approximately 17 blocks. The number of blocks completed is recorded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and treated as a quantity of interest, because it bounds the number of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within-subject replications a participant contributes.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Participants receive fixed payment independent of points earned. Points serve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as feedback only, and this is stated in the instructions.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 w:val="0"/>
          <w:sz w:val="24"/>
        </w:rPr>
        <w:t>Data Analysis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Recorded Variables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One record per response comprises the panel selected, the outcome, the state of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V1, the presence and location of V2 or V3, the inter-response time, the block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index, the ordinal position of the response within its block, whether a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perturbation was in effect, and the number of responses since the most recent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perturbation offset. Every quantity described below is derivable from these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records without reference to a separate randomization file.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State Vector and Operator Estimation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 xml:space="preserve">Let </w:t>
      </w:r>
      <w:r>
        <w:rPr>
          <w:rFonts w:ascii="Times New Roman" w:hAnsi="Times New Roman"/>
          <w:b/>
          <w:sz w:val="24"/>
        </w:rPr>
        <w:t>x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) denote a vector of behavioral measures evaluated at response </w:t>
      </w:r>
      <w:r>
        <w:rPr>
          <w:rFonts w:ascii="Times New Roman" w:hAnsi="Times New Roman"/>
          <w:i/>
          <w:sz w:val="24"/>
        </w:rPr>
        <w:t>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and </w:t>
      </w:r>
      <w:r>
        <w:rPr>
          <w:rFonts w:ascii="Times New Roman" w:hAnsi="Times New Roman"/>
          <w:b/>
          <w:sz w:val="24"/>
        </w:rPr>
        <w:t>u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) the vector of environmental variables in effect. Operators are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estimated for each participant as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sz w:val="24"/>
        </w:rPr>
        <w:t>x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 + 1) = </w:t>
      </w:r>
      <w:r>
        <w:rPr>
          <w:rFonts w:ascii="Times New Roman" w:hAnsi="Times New Roman"/>
          <w:b/>
          <w:sz w:val="24"/>
        </w:rPr>
        <w:t>A x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) + </w:t>
      </w:r>
      <w:r>
        <w:rPr>
          <w:rFonts w:ascii="Times New Roman" w:hAnsi="Times New Roman"/>
          <w:b/>
          <w:sz w:val="24"/>
        </w:rPr>
        <w:t>B u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 xml:space="preserve">) + </w:t>
      </w:r>
      <w:r>
        <w:rPr>
          <w:rFonts w:ascii="Times New Roman" w:hAnsi="Times New Roman"/>
          <w:b/>
          <w:sz w:val="24"/>
        </w:rPr>
        <w:t>c</w:t>
      </w:r>
      <w:r>
        <w:rPr>
          <w:rFonts w:ascii="Times New Roman" w:hAnsi="Times New Roman"/>
          <w:sz w:val="24"/>
        </w:rPr>
        <w:t>.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The state is constructed without aggregation into bins. In the previous study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state comprised proportions computed over a window of responses, which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requires a window width, and that width was selected on a sampling-noise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criterion that argues only for wider windows. A window also functions as a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low-pass filter: at the width selected, an unconstrained operator predicted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held-out behavior no better than a scalar operator for 13 of 23 participants,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whereas at the narrowest width examined it did so for 23 of 23. In the present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study the state is a lag embedding of the response series, comprising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recorded response-level measures over the preceding </w:t>
      </w:r>
      <w:r>
        <w:rPr>
          <w:rFonts w:ascii="Times New Roman" w:hAnsi="Times New Roman"/>
          <w:i/>
          <w:sz w:val="24"/>
        </w:rPr>
        <w:t>k</w:t>
      </w:r>
      <w:r>
        <w:rPr>
          <w:rFonts w:ascii="Times New Roman" w:hAnsi="Times New Roman"/>
          <w:sz w:val="24"/>
        </w:rPr>
        <w:t xml:space="preserve"> responses, so that each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response contributes a transition. Embedding order </w:t>
      </w:r>
      <w:r>
        <w:rPr>
          <w:rFonts w:ascii="Times New Roman" w:hAnsi="Times New Roman"/>
          <w:i/>
          <w:sz w:val="24"/>
        </w:rPr>
        <w:t>k</w:t>
      </w:r>
      <w:r>
        <w:rPr>
          <w:rFonts w:ascii="Times New Roman" w:hAnsi="Times New Roman"/>
          <w:sz w:val="24"/>
        </w:rPr>
        <w:t xml:space="preserve"> is selected for each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participant by held-out predictive likelihood.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Fits are evaluated as skill relative to a persistence baseline on temporally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held-out responses, 1 − </w:t>
      </w:r>
      <w:r>
        <w:rPr>
          <w:rFonts w:ascii="Times New Roman" w:hAnsi="Times New Roman"/>
          <w:i/>
          <w:sz w:val="24"/>
        </w:rPr>
        <w:t>MSE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MSE</w:t>
      </w:r>
      <w:r>
        <w:rPr>
          <w:rFonts w:ascii="Times New Roman" w:hAnsi="Times New Roman"/>
          <w:sz w:val="24"/>
        </w:rPr>
        <w:t>persistence, and not by within-sample fit.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Analysis of Individual Transitions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Each block boundary constitutes a within-subject replication. For each boundary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following are computed: the direction of change in allocation over the 32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responses following the boundary relative to the 32 preceding it, the magnitude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of that change, and whether the direction corresponds to the arrangement.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Results are reported for each participant as counts of replications, in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 xml:space="preserve">form </w:t>
      </w:r>
      <w:r>
        <w:rPr>
          <w:rFonts w:ascii="Times New Roman" w:hAnsi="Times New Roman"/>
          <w:i/>
          <w:sz w:val="24"/>
        </w:rPr>
        <w:t>k</w:t>
      </w:r>
      <w:r>
        <w:rPr>
          <w:rFonts w:ascii="Times New Roman" w:hAnsi="Times New Roman"/>
          <w:sz w:val="24"/>
        </w:rPr>
        <w:t xml:space="preserve"> of </w:t>
      </w:r>
      <w:r>
        <w:rPr>
          <w:rFonts w:ascii="Times New Roman" w:hAnsi="Times New Roman"/>
          <w:i/>
          <w:sz w:val="24"/>
        </w:rPr>
        <w:t>m</w:t>
      </w:r>
      <w:r>
        <w:rPr>
          <w:rFonts w:ascii="Times New Roman" w:hAnsi="Times New Roman"/>
          <w:sz w:val="24"/>
        </w:rPr>
        <w:t xml:space="preserve"> boundaries exhibited the arranged effect, rather than as a mean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across boundaries, which would obscure a participant who reversed on half of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them.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Decay rates are estimated for each participant across that participant's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transitions, because a single transition of approximately 32 binary responses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does not support a reliable rate estimate.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Primary Comparison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The hypothesis under test is that influence comprises two separable components,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magnitude and persistence, and that measures without a representation of time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conflate them.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Two quantities are estimated per participant for each of V1, V2, and V3.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first is magnitude: the asymptotic displacement in allocation attributable to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variable, obtained from the steady-state portion of blocks for V1 and from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immediate response (lags 0 and 1) for V2 and V3. The second is persistence: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decay of that displacement, obtained without reference to any model as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profile of allocation at lags 1 through 15 following each momentary stimulus,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and at lags 1 through 40 following each perturbation offset.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model-free decay profile serves as the criterion against which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estimated operator is evaluated. The spectral prediction is that the eigenvalue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associated with the mode a variable drives corresponds to that variable's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measured decay; this correspondence is tested rather than assumed.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critical comparison concerns variables matched in magnitude and differing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in persistence. The arranged effect of V2 terminates with the response on which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it occurs, whereas V1 must be integrated across responses to be detected. Any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influence of V2 at lag 1 or beyond therefore constitutes behavioral persistence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rather than continued arrangement. Where the estimated magnitudes of two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variables are statistically indistinguishable for a participant while their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measured decay profiles differ, an analysis based on the matching law and one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based on signal-detection theory must return equivalent values for both,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because neither represents time. The spectrum returns different eigenvalues.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Comparison Measures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 xml:space="preserve">Sensitivity to reinforcement in the generalized matching law and log </w:t>
      </w:r>
      <w:r>
        <w:rPr>
          <w:rFonts w:ascii="Times New Roman" w:hAnsi="Times New Roman"/>
          <w:i/>
          <w:sz w:val="24"/>
        </w:rPr>
        <w:t>d</w:t>
      </w:r>
      <w:r>
        <w:rPr>
          <w:rFonts w:ascii="Times New Roman" w:hAnsi="Times New Roman"/>
          <w:sz w:val="24"/>
        </w:rPr>
        <w:t xml:space="preserve"> for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each signaled stimulus are computed on the identical response series for each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participant. These constitute the established measures of relative influence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and are reported alongside the operator estimates rather than in place of them.</w:t>
      </w:r>
    </w:p>
    <w:p>
      <w:pPr>
        <w:spacing w:line="480" w:lineRule="auto" w:before="0" w:after="0"/>
      </w:pPr>
      <w:r>
        <w:rPr>
          <w:rFonts w:ascii="Times New Roman" w:hAnsi="Times New Roman"/>
          <w:b/>
          <w:i/>
          <w:sz w:val="24"/>
        </w:rPr>
        <w:t>Reference Distributions and Validation</w:t>
      </w:r>
    </w:p>
    <w:p>
      <w:pPr>
        <w:spacing w:line="480" w:lineRule="auto"/>
        <w:ind w:firstLine="0"/>
      </w:pPr>
      <w:r>
        <w:rPr>
          <w:rFonts w:ascii="Times New Roman" w:hAnsi="Times New Roman"/>
          <w:sz w:val="24"/>
        </w:rPr>
        <w:t>No estimate is interpreted without a reference distribution computed from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same participant's data. For operator invariance, the reference is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distribution of spectral distances between two independent estimates of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same operator at equal sample size. For eigenvector comparisons, the reference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is the same-operator cosine floor. For per-variable control, the reference is a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permutation that removes the identity of each variable while preserving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choice structure and the participant's responses.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complete analysis is validated against constructed ground truth before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application. The procedure's own code generates response sequences for agents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whose influence structure is fixed by construction, including agents whose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control is directed toward a variable carrying no information and agents whose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influence decays at specified rates, and the analysis is required to recover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the arrangement. This validation is repeated following any change to the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procedure, the recorded schema, or the estimator, and is required to fail when</w:t>
      </w:r>
    </w:p>
    <w:p>
      <w:pPr>
        <w:spacing w:line="480" w:lineRule="auto"/>
        <w:ind w:firstLine="720"/>
      </w:pPr>
      <w:r>
        <w:rPr>
          <w:rFonts w:ascii="Times New Roman" w:hAnsi="Times New Roman"/>
          <w:sz w:val="24"/>
        </w:rPr>
        <w:t>a deliberately misspecified estimator is substituted.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Baum, W. M. (2010). Dynamics of choice: A tutorial. </w:t>
      </w:r>
      <w:r>
        <w:rPr>
          <w:rFonts w:ascii="Times New Roman" w:hAnsi="Times New Roman"/>
          <w:i/>
          <w:sz w:val="24"/>
        </w:rPr>
        <w:t>Journal of the Experimental Analysis of Behavior, 94</w:t>
      </w:r>
      <w:r>
        <w:rPr>
          <w:rFonts w:ascii="Times New Roman" w:hAnsi="Times New Roman"/>
          <w:sz w:val="24"/>
        </w:rPr>
        <w:t>(2), 161–174. https://doi.org/10.1901/jeab.2010.94-161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Baum, W. M., &amp; Davison, M. (2009). Modeling the dynamics of choice. </w:t>
      </w:r>
      <w:r>
        <w:rPr>
          <w:rFonts w:ascii="Times New Roman" w:hAnsi="Times New Roman"/>
          <w:i/>
          <w:sz w:val="24"/>
        </w:rPr>
        <w:t>Behavioural Processes, 81</w:t>
      </w:r>
      <w:r>
        <w:rPr>
          <w:rFonts w:ascii="Times New Roman" w:hAnsi="Times New Roman"/>
          <w:sz w:val="24"/>
        </w:rPr>
        <w:t>(2), 189–194. https://doi.org/10.1016/j.beproc.2009.01.005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Davison, M. (2018). Divided stimulus control: Which key did you peck, or what color was it? </w:t>
      </w:r>
      <w:r>
        <w:rPr>
          <w:rFonts w:ascii="Times New Roman" w:hAnsi="Times New Roman"/>
          <w:i/>
          <w:sz w:val="24"/>
        </w:rPr>
        <w:t>Journal of the Experimental Analysis of Behavior, 109</w:t>
      </w:r>
      <w:r>
        <w:rPr>
          <w:rFonts w:ascii="Times New Roman" w:hAnsi="Times New Roman"/>
          <w:sz w:val="24"/>
        </w:rPr>
        <w:t>(1), 107–124. https://doi.org/10.1002/jeab.295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Davison, M., &amp; Elliffe, D. (2010). Divided stimulus control: A replication and a quantitative model. </w:t>
      </w:r>
      <w:r>
        <w:rPr>
          <w:rFonts w:ascii="Times New Roman" w:hAnsi="Times New Roman"/>
          <w:i/>
          <w:sz w:val="24"/>
        </w:rPr>
        <w:t>Journal of the Experimental Analysis of Behavior, 94</w:t>
      </w:r>
      <w:r>
        <w:rPr>
          <w:rFonts w:ascii="Times New Roman" w:hAnsi="Times New Roman"/>
          <w:sz w:val="24"/>
        </w:rPr>
        <w:t>(1), 13–23. https://doi.org/10.1901/jeab.2010.94-13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Davison, M., &amp; Nevin, J. A. (1999). Stimuli, reinforcers, and behavior: An integration. </w:t>
      </w:r>
      <w:r>
        <w:rPr>
          <w:rFonts w:ascii="Times New Roman" w:hAnsi="Times New Roman"/>
          <w:i/>
          <w:sz w:val="24"/>
        </w:rPr>
        <w:t>Journal of the Experimental Analysis of Behavior, 71</w:t>
      </w:r>
      <w:r>
        <w:rPr>
          <w:rFonts w:ascii="Times New Roman" w:hAnsi="Times New Roman"/>
          <w:sz w:val="24"/>
        </w:rPr>
        <w:t>(3), 439–482. https://doi.org/10.1901/jeab.1999.71-439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Davison, M., &amp; Tustin, R. D. (1978). The relation between the generalized matching law and signal-detection theory. </w:t>
      </w:r>
      <w:r>
        <w:rPr>
          <w:rFonts w:ascii="Times New Roman" w:hAnsi="Times New Roman"/>
          <w:i/>
          <w:sz w:val="24"/>
        </w:rPr>
        <w:t>Journal of the Experimental Analysis of Behavior, 29</w:t>
      </w:r>
      <w:r>
        <w:rPr>
          <w:rFonts w:ascii="Times New Roman" w:hAnsi="Times New Roman"/>
          <w:sz w:val="24"/>
        </w:rPr>
        <w:t>(2), 331–336. https://doi.org/10.1901/jeab.1978.29-331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Gomes-Ng, S., Austin, T., Bai, J. Y. H., Landon, J., &amp; Cowie, S. (2026). Divided control by past behavior, present stimuli, and future outcome value in a concurrent-chains procedure. </w:t>
      </w:r>
      <w:r>
        <w:rPr>
          <w:rFonts w:ascii="Times New Roman" w:hAnsi="Times New Roman"/>
          <w:i/>
          <w:sz w:val="24"/>
        </w:rPr>
        <w:t>Journal of the Experimental Analysis of Behavior, 125</w:t>
      </w:r>
      <w:r>
        <w:rPr>
          <w:rFonts w:ascii="Times New Roman" w:hAnsi="Times New Roman"/>
          <w:sz w:val="24"/>
        </w:rPr>
        <w:t>, e70087. https://doi.org/10.1002/jeab.70087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Gomes-Ng, S., Cowie, S., &amp; Elliffe, D. (2023). Divided stimulus control depends on differential and nondifferential reinforcement: Testing a quantitative model. </w:t>
      </w:r>
      <w:r>
        <w:rPr>
          <w:rFonts w:ascii="Times New Roman" w:hAnsi="Times New Roman"/>
          <w:i/>
          <w:sz w:val="24"/>
        </w:rPr>
        <w:t>Journal of the Experimental Analysis of Behavior, 120</w:t>
      </w:r>
      <w:r>
        <w:rPr>
          <w:rFonts w:ascii="Times New Roman" w:hAnsi="Times New Roman"/>
          <w:sz w:val="24"/>
        </w:rPr>
        <w:t>(3), 344–362. https://doi.org/10.1002/jeab.876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Gomes-Ng, S., Elliffe, D., &amp; Cowie, S. (2026). Divided stimulus control depends on global, but not local, reinforcement contingencies. </w:t>
      </w:r>
      <w:r>
        <w:rPr>
          <w:rFonts w:ascii="Times New Roman" w:hAnsi="Times New Roman"/>
          <w:i/>
          <w:sz w:val="24"/>
        </w:rPr>
        <w:t>Journal of the Experimental Analysis of Behavior, 126</w:t>
      </w:r>
      <w:r>
        <w:rPr>
          <w:rFonts w:ascii="Times New Roman" w:hAnsi="Times New Roman"/>
          <w:sz w:val="24"/>
        </w:rPr>
        <w:t>(2), e70127. https://doi.org/10.1002/jeab.70127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McDowell, J. J, Bass, R., &amp; Kessel, R. (1992). Applying linear systems analysis to dynamic behavior. </w:t>
      </w:r>
      <w:r>
        <w:rPr>
          <w:rFonts w:ascii="Times New Roman" w:hAnsi="Times New Roman"/>
          <w:i/>
          <w:sz w:val="24"/>
        </w:rPr>
        <w:t>Journal of the Experimental Analysis of Behavior, 57</w:t>
      </w:r>
      <w:r>
        <w:rPr>
          <w:rFonts w:ascii="Times New Roman" w:hAnsi="Times New Roman"/>
          <w:sz w:val="24"/>
        </w:rPr>
        <w:t>(3), 377–391. https://doi.org/10.1901/jeab.1992.57-377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Nevin, J. A. (1992). An integrative model for the study of behavioral momentum. </w:t>
      </w:r>
      <w:r>
        <w:rPr>
          <w:rFonts w:ascii="Times New Roman" w:hAnsi="Times New Roman"/>
          <w:i/>
          <w:sz w:val="24"/>
        </w:rPr>
        <w:t>Journal of the Experimental Analysis of Behavior, 57</w:t>
      </w:r>
      <w:r>
        <w:rPr>
          <w:rFonts w:ascii="Times New Roman" w:hAnsi="Times New Roman"/>
          <w:sz w:val="24"/>
        </w:rPr>
        <w:t>(3), 301–316. https://doi.org/10.1901/jeab.1992.57-301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Nevin, J. A., Davison, M., &amp; Shahan, T. A. (2005). A theory of attending and reinforcement in conditional discriminations. </w:t>
      </w:r>
      <w:r>
        <w:rPr>
          <w:rFonts w:ascii="Times New Roman" w:hAnsi="Times New Roman"/>
          <w:i/>
          <w:sz w:val="24"/>
        </w:rPr>
        <w:t>Journal of the Experimental Analysis of Behavior, 84</w:t>
      </w:r>
      <w:r>
        <w:rPr>
          <w:rFonts w:ascii="Times New Roman" w:hAnsi="Times New Roman"/>
          <w:sz w:val="24"/>
        </w:rPr>
        <w:t>(2), 281–303. https://doi.org/10.1901/jeab.2005.97-04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Reynolds, G. S. (1961). Attention in the pigeon. </w:t>
      </w:r>
      <w:r>
        <w:rPr>
          <w:rFonts w:ascii="Times New Roman" w:hAnsi="Times New Roman"/>
          <w:i/>
          <w:sz w:val="24"/>
        </w:rPr>
        <w:t>Journal of the Experimental Analysis of Behavior, 4</w:t>
      </w:r>
      <w:r>
        <w:rPr>
          <w:rFonts w:ascii="Times New Roman" w:hAnsi="Times New Roman"/>
          <w:sz w:val="24"/>
        </w:rPr>
        <w:t>(3), 203–208. https://doi.org/10.1901/jeab.1961.4-203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Shahan, T. A., &amp; Podlesnik, C. A. (2006). Divided attention performance and the matching law. </w:t>
      </w:r>
      <w:r>
        <w:rPr>
          <w:rFonts w:ascii="Times New Roman" w:hAnsi="Times New Roman"/>
          <w:i/>
          <w:sz w:val="24"/>
        </w:rPr>
        <w:t>Learning &amp; Behavior, 34</w:t>
      </w:r>
      <w:r>
        <w:rPr>
          <w:rFonts w:ascii="Times New Roman" w:hAnsi="Times New Roman"/>
          <w:sz w:val="24"/>
        </w:rPr>
        <w:t>(3), 255–261. https://doi.org/10.3758/BF03192881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 xml:space="preserve">Vyazovska, O. V., Teng, Y., &amp; Wasserman, E. A. (2014). Attentional tradeoffs in the pigeon. </w:t>
      </w:r>
      <w:r>
        <w:rPr>
          <w:rFonts w:ascii="Times New Roman" w:hAnsi="Times New Roman"/>
          <w:i/>
          <w:sz w:val="24"/>
        </w:rPr>
        <w:t>Journal of the Experimental Analysis of Behavior, 101</w:t>
      </w:r>
      <w:r>
        <w:rPr>
          <w:rFonts w:ascii="Times New Roman" w:hAnsi="Times New Roman"/>
          <w:sz w:val="24"/>
        </w:rPr>
        <w:t>(3), 337–354. https://doi.org/10.1002/jeab.84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jc w:val="left"/>
    </w:pPr>
    <w:r>
      <w:rPr>
        <w:rFonts w:ascii="Times New Roman" w:hAnsi="Times New Roman"/>
        <w:sz w:val="24"/>
      </w:rPr>
      <w:t>TRANSITION OPERATORS AND MULTIPLE CONTROL</w:t>
    </w:r>
    <w:r>
      <w:rPr>
        <w:rFonts w:ascii="Times New Roman" w:hAnsi="Times New Roman"/>
        <w:sz w:val="24"/>
      </w:rPr>
      <w:tab/>
    </w: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