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29ACC3" w14:textId="6FE5B156" w:rsidR="00671CCE" w:rsidRDefault="00671CCE"/>
    <w:p w14:paraId="7BD5713B" w14:textId="77777777" w:rsidR="00671CCE" w:rsidRDefault="00671CCE"/>
    <w:p w14:paraId="4665CDB5" w14:textId="77777777" w:rsidR="00671CCE" w:rsidRDefault="00671CCE"/>
    <w:p w14:paraId="4A917A89" w14:textId="77777777" w:rsidR="00671CCE" w:rsidRDefault="00671CCE"/>
    <w:p w14:paraId="4A16B52F" w14:textId="77777777" w:rsidR="00671CCE" w:rsidRDefault="00000000">
      <w:pPr>
        <w:jc w:val="center"/>
      </w:pPr>
      <w:r>
        <w:rPr>
          <w:b/>
        </w:rPr>
        <w:t>Measuring the Relative Influence of Multiple Variables on Behavior Using Transition Operators</w:t>
      </w:r>
    </w:p>
    <w:p w14:paraId="643196A0" w14:textId="77777777" w:rsidR="00671CCE" w:rsidRDefault="00671CCE">
      <w:pPr>
        <w:jc w:val="center"/>
      </w:pPr>
    </w:p>
    <w:p w14:paraId="5D6C6E10" w14:textId="77777777" w:rsidR="00671CCE" w:rsidRDefault="00000000">
      <w:pPr>
        <w:jc w:val="center"/>
      </w:pPr>
      <w:r>
        <w:t>David J. Cox</w:t>
      </w:r>
    </w:p>
    <w:p w14:paraId="23C731E8" w14:textId="77777777" w:rsidR="00671CCE" w:rsidRDefault="00000000">
      <w:pPr>
        <w:jc w:val="center"/>
      </w:pPr>
      <w:r>
        <w:t>Endicott College</w:t>
      </w:r>
    </w:p>
    <w:p w14:paraId="2BD25FCF" w14:textId="77777777" w:rsidR="00671CCE" w:rsidRDefault="00000000">
      <w:r>
        <w:br w:type="page"/>
      </w:r>
    </w:p>
    <w:p w14:paraId="40B24976" w14:textId="77777777" w:rsidR="00671CCE" w:rsidRDefault="00000000">
      <w:pPr>
        <w:jc w:val="center"/>
      </w:pPr>
      <w:r>
        <w:rPr>
          <w:b/>
        </w:rPr>
        <w:lastRenderedPageBreak/>
        <w:t>Measuring the Relative Influence of Multiple Variables on Behavior Using Transition Operators</w:t>
      </w:r>
    </w:p>
    <w:p w14:paraId="12B915BA" w14:textId="77777777" w:rsidR="00671CCE" w:rsidRDefault="00000000" w:rsidP="00E447EC">
      <w:pPr>
        <w:ind w:firstLine="720"/>
      </w:pPr>
      <w:r>
        <w:t>Behavior is seldom under the control of a single variable. At any moment, several features of the environment covary with responding, and both applied and experimental analyses require an estimate of which features control behavior and in what proportion.</w:t>
      </w:r>
    </w:p>
    <w:p w14:paraId="61833C96" w14:textId="77777777" w:rsidR="00671CCE" w:rsidRDefault="00000000">
      <w:r>
        <w:rPr>
          <w:b/>
        </w:rPr>
        <w:t>Magnitude as the Prevailing Metric</w:t>
      </w:r>
    </w:p>
    <w:p w14:paraId="02B8334B" w14:textId="5C4D9661" w:rsidR="00671CCE" w:rsidRDefault="00000000" w:rsidP="00E447EC">
      <w:pPr>
        <w:ind w:firstLine="720"/>
      </w:pPr>
      <w:commentRangeStart w:id="0"/>
      <w:r>
        <w:t xml:space="preserve">The measures in general </w:t>
      </w:r>
      <w:commentRangeEnd w:id="0"/>
      <w:r w:rsidR="00AB05D7">
        <w:rPr>
          <w:rStyle w:val="CommentReference"/>
          <w:sz w:val="24"/>
          <w:szCs w:val="22"/>
        </w:rPr>
        <w:commentReference w:id="0"/>
      </w:r>
      <w:r>
        <w:t xml:space="preserve">use express influence as a magnitude. </w:t>
      </w:r>
      <w:commentRangeStart w:id="1"/>
      <w:r>
        <w:t xml:space="preserve">Discriminability, log </w:t>
      </w:r>
      <w:r>
        <w:rPr>
          <w:i/>
        </w:rPr>
        <w:t>d</w:t>
      </w:r>
      <w:r>
        <w:t xml:space="preserve"> (Davison &amp; Tustin, 1978), indexes the degree to which a stimulus dimension separates responding</w:t>
      </w:r>
      <w:commentRangeEnd w:id="1"/>
      <w:r w:rsidR="00AB05D7">
        <w:rPr>
          <w:rStyle w:val="CommentReference"/>
          <w:sz w:val="24"/>
          <w:szCs w:val="22"/>
        </w:rPr>
        <w:commentReference w:id="1"/>
      </w:r>
      <w:r>
        <w:t xml:space="preserve">. </w:t>
      </w:r>
      <w:commentRangeStart w:id="2"/>
      <w:r>
        <w:t>Sensitivity in the generalized matching law indexes the degree to which allocation follows a reinforcer ratio</w:t>
      </w:r>
      <w:commentRangeEnd w:id="2"/>
      <w:r w:rsidR="00AB05D7">
        <w:rPr>
          <w:rStyle w:val="CommentReference"/>
          <w:sz w:val="24"/>
          <w:szCs w:val="22"/>
        </w:rPr>
        <w:commentReference w:id="2"/>
      </w:r>
      <w:r>
        <w:t xml:space="preserve">. </w:t>
      </w:r>
      <w:commentRangeStart w:id="3"/>
      <w:r>
        <w:t>The discrimination ratio (Vyazovska et al., 2014) indexes the degree to which a dimension separates responding to S+ from responding to S−</w:t>
      </w:r>
      <w:commentRangeEnd w:id="3"/>
      <w:r w:rsidR="00AB05D7">
        <w:rPr>
          <w:rStyle w:val="CommentReference"/>
          <w:sz w:val="24"/>
          <w:szCs w:val="22"/>
        </w:rPr>
        <w:commentReference w:id="3"/>
      </w:r>
      <w:r>
        <w:t>. Each yields a single value for amount of control</w:t>
      </w:r>
      <w:r w:rsidR="00AB05D7">
        <w:t xml:space="preserve"> </w:t>
      </w:r>
      <w:r w:rsidR="00AB05D7">
        <w:t>for each variable</w:t>
      </w:r>
      <w:r>
        <w:t>.</w:t>
      </w:r>
    </w:p>
    <w:p w14:paraId="6F946DD4" w14:textId="77777777" w:rsidR="00671CCE" w:rsidRDefault="00000000">
      <w:pPr>
        <w:ind w:firstLine="720"/>
      </w:pPr>
      <w:commentRangeStart w:id="4"/>
      <w:r>
        <w:t>Magnitude does not exhaust influence</w:t>
      </w:r>
      <w:commentRangeEnd w:id="4"/>
      <w:r w:rsidR="00573C03">
        <w:rPr>
          <w:rStyle w:val="CommentReference"/>
          <w:sz w:val="24"/>
          <w:szCs w:val="22"/>
        </w:rPr>
        <w:commentReference w:id="4"/>
      </w:r>
      <w:r>
        <w:t xml:space="preserve">. An effect that is large but dissipates within three responses may contribute less to subsequent behavior than an effect that is small </w:t>
      </w:r>
      <w:commentRangeStart w:id="5"/>
      <w:r>
        <w:t>but remains detectable a minute later</w:t>
      </w:r>
      <w:commentRangeEnd w:id="5"/>
      <w:r w:rsidR="00AB05D7">
        <w:rPr>
          <w:rStyle w:val="CommentReference"/>
          <w:sz w:val="24"/>
          <w:szCs w:val="22"/>
        </w:rPr>
        <w:commentReference w:id="5"/>
      </w:r>
      <w:r>
        <w:t xml:space="preserve">. </w:t>
      </w:r>
      <w:commentRangeStart w:id="6"/>
      <w:r>
        <w:t>The measures above cannot distinguish these cases, because none represents time</w:t>
      </w:r>
      <w:commentRangeEnd w:id="6"/>
      <w:r w:rsidR="00573C03">
        <w:rPr>
          <w:rStyle w:val="CommentReference"/>
          <w:sz w:val="24"/>
          <w:szCs w:val="22"/>
        </w:rPr>
        <w:commentReference w:id="6"/>
      </w:r>
      <w:r>
        <w:t>.</w:t>
      </w:r>
    </w:p>
    <w:p w14:paraId="2C4656F4" w14:textId="77777777" w:rsidR="00671CCE" w:rsidRDefault="00000000">
      <w:r>
        <w:rPr>
          <w:b/>
        </w:rPr>
        <w:t>Quantitative Accounts That Represent Time</w:t>
      </w:r>
    </w:p>
    <w:p w14:paraId="2B2D57E0" w14:textId="366C0785" w:rsidR="00671CCE" w:rsidRDefault="00000000">
      <w:pPr>
        <w:ind w:firstLine="720"/>
      </w:pPr>
      <w:r>
        <w:t xml:space="preserve">Three research programs </w:t>
      </w:r>
      <w:commentRangeStart w:id="7"/>
      <w:r>
        <w:t>have measured persistence</w:t>
      </w:r>
      <w:commentRangeEnd w:id="7"/>
      <w:r w:rsidR="00573C03">
        <w:rPr>
          <w:rStyle w:val="CommentReference"/>
          <w:sz w:val="24"/>
          <w:szCs w:val="22"/>
        </w:rPr>
        <w:commentReference w:id="7"/>
      </w:r>
      <w:r>
        <w:t>. They developed independently, report in incommensurate units, and are not ordinarily cited together.</w:t>
      </w:r>
      <w:r w:rsidR="00573C03">
        <w:t xml:space="preserve"> </w:t>
      </w:r>
      <w:r>
        <w:t xml:space="preserve">McDowell et al. (1992) expressed behavior as the </w:t>
      </w:r>
      <w:commentRangeStart w:id="8"/>
      <w:r>
        <w:t>convolution of the reinforcement stream with an impulse-response kernel</w:t>
      </w:r>
      <w:commentRangeEnd w:id="8"/>
      <w:r w:rsidR="00CA41E3">
        <w:rPr>
          <w:rStyle w:val="CommentReference"/>
          <w:sz w:val="24"/>
          <w:szCs w:val="22"/>
        </w:rPr>
        <w:commentReference w:id="8"/>
      </w:r>
      <w:r w:rsidR="00573C03">
        <w:t>:</w:t>
      </w:r>
    </w:p>
    <w:p w14:paraId="05910193" w14:textId="68B8A4B6" w:rsidR="00671CCE" w:rsidRDefault="00000000" w:rsidP="00573C03">
      <w:pPr>
        <w:ind w:left="720"/>
        <w:jc w:val="center"/>
      </w:pPr>
      <w:r>
        <w:rPr>
          <w:i/>
        </w:rPr>
        <w:t>B</w:t>
      </w:r>
      <w:r>
        <w:t>(</w:t>
      </w:r>
      <w:r>
        <w:rPr>
          <w:i/>
        </w:rPr>
        <w:t>t</w:t>
      </w:r>
      <w:r>
        <w:t xml:space="preserve">) = ∫ </w:t>
      </w:r>
      <w:r>
        <w:rPr>
          <w:i/>
        </w:rPr>
        <w:t>G</w:t>
      </w:r>
      <w:r>
        <w:t>(</w:t>
      </w:r>
      <w:r>
        <w:rPr>
          <w:i/>
        </w:rPr>
        <w:t>t</w:t>
      </w:r>
      <w:r>
        <w:t xml:space="preserve"> − </w:t>
      </w:r>
      <w:r>
        <w:rPr>
          <w:i/>
        </w:rPr>
        <w:t>t</w:t>
      </w:r>
      <w:r>
        <w:t xml:space="preserve">′) </w:t>
      </w:r>
      <w:r>
        <w:rPr>
          <w:i/>
        </w:rPr>
        <w:t>R</w:t>
      </w:r>
      <w:r>
        <w:t>(</w:t>
      </w:r>
      <w:r>
        <w:rPr>
          <w:i/>
        </w:rPr>
        <w:t>t</w:t>
      </w:r>
      <w:r>
        <w:t>′) d</w:t>
      </w:r>
      <w:r>
        <w:rPr>
          <w:i/>
        </w:rPr>
        <w:t>t</w:t>
      </w:r>
      <w:r>
        <w:t>′</w:t>
      </w:r>
      <w:r w:rsidR="00573C03">
        <w:t xml:space="preserve">. </w:t>
      </w:r>
    </w:p>
    <w:p w14:paraId="26F605AC" w14:textId="71B65993" w:rsidR="00671CCE" w:rsidRDefault="00573C03">
      <w:r>
        <w:lastRenderedPageBreak/>
        <w:t>Here, [</w:t>
      </w:r>
      <w:r>
        <w:rPr>
          <w:i/>
          <w:iCs/>
        </w:rPr>
        <w:t>define explicitly what each term in this equation means moving left to right</w:t>
      </w:r>
      <w:r>
        <w:t>].</w:t>
      </w:r>
      <w:r w:rsidR="003C4E58">
        <w:t xml:space="preserve"> McDowell et al. (1992) </w:t>
      </w:r>
      <w:r w:rsidR="00000000">
        <w:t xml:space="preserve">identified the critical test of </w:t>
      </w:r>
      <w:r w:rsidR="003C4E58">
        <w:t xml:space="preserve">this </w:t>
      </w:r>
      <w:r w:rsidR="00000000">
        <w:t>framework as the invariance of the kernel under a change of schedule. The kernel has a height and a time constant, so magnitude and persistence are distinct within it. The formulation admits a single input</w:t>
      </w:r>
      <w:r w:rsidR="003C4E58">
        <w:t xml:space="preserve"> [</w:t>
      </w:r>
      <w:r w:rsidR="003C4E58">
        <w:rPr>
          <w:i/>
          <w:iCs/>
        </w:rPr>
        <w:t>of what</w:t>
      </w:r>
      <w:r w:rsidR="003C4E58">
        <w:t>—</w:t>
      </w:r>
      <w:r w:rsidR="003C4E58" w:rsidRPr="003C4E58">
        <w:rPr>
          <w:i/>
          <w:iCs/>
        </w:rPr>
        <w:t>help your</w:t>
      </w:r>
      <w:r w:rsidR="003C4E58">
        <w:t xml:space="preserve"> </w:t>
      </w:r>
      <w:r w:rsidR="003C4E58" w:rsidRPr="003C4E58">
        <w:rPr>
          <w:i/>
          <w:iCs/>
        </w:rPr>
        <w:t>reade</w:t>
      </w:r>
      <w:r w:rsidR="003C4E58">
        <w:rPr>
          <w:i/>
          <w:iCs/>
        </w:rPr>
        <w:t>r out to understand what you</w:t>
      </w:r>
      <w:r w:rsidR="001572C9">
        <w:rPr>
          <w:i/>
          <w:iCs/>
        </w:rPr>
        <w:t>’</w:t>
      </w:r>
      <w:r w:rsidR="003C4E58">
        <w:rPr>
          <w:i/>
          <w:iCs/>
        </w:rPr>
        <w:t>re referencing, be explicit</w:t>
      </w:r>
      <w:r w:rsidR="003C4E58">
        <w:t>]</w:t>
      </w:r>
      <w:r w:rsidR="00000000">
        <w:t>.</w:t>
      </w:r>
    </w:p>
    <w:p w14:paraId="474463D6" w14:textId="5ED88439" w:rsidR="00671CCE" w:rsidRDefault="00000000">
      <w:pPr>
        <w:ind w:firstLine="720"/>
      </w:pPr>
      <w:r>
        <w:t>Baum and Davison (2009) modeled log choice as updated at each food delivery</w:t>
      </w:r>
      <w:r w:rsidR="003C4E58">
        <w:t>:</w:t>
      </w:r>
    </w:p>
    <w:p w14:paraId="25B6E61B" w14:textId="6FA25CF4" w:rsidR="00671CCE" w:rsidRDefault="00000000" w:rsidP="003C4E58">
      <w:pPr>
        <w:ind w:left="720"/>
        <w:jc w:val="center"/>
      </w:pPr>
      <w:r>
        <w:rPr>
          <w:i/>
        </w:rPr>
        <w:t>B</w:t>
      </w:r>
      <w:r>
        <w:t>(</w:t>
      </w:r>
      <w:r>
        <w:rPr>
          <w:i/>
        </w:rPr>
        <w:t>i</w:t>
      </w:r>
      <w:r>
        <w:t xml:space="preserve"> + 1) = (1 − </w:t>
      </w:r>
      <w:r>
        <w:rPr>
          <w:i/>
        </w:rPr>
        <w:t>w</w:t>
      </w:r>
      <w:r>
        <w:t xml:space="preserve">) </w:t>
      </w:r>
      <w:r>
        <w:rPr>
          <w:i/>
        </w:rPr>
        <w:t>B</w:t>
      </w:r>
      <w:r>
        <w:t>(</w:t>
      </w:r>
      <w:r>
        <w:rPr>
          <w:i/>
        </w:rPr>
        <w:t>i</w:t>
      </w:r>
      <w:r>
        <w:t xml:space="preserve">) + </w:t>
      </w:r>
      <w:r>
        <w:rPr>
          <w:i/>
        </w:rPr>
        <w:t>wA</w:t>
      </w:r>
      <w:r w:rsidR="003C4E58">
        <w:t>.</w:t>
      </w:r>
    </w:p>
    <w:p w14:paraId="74A659B8" w14:textId="78A5F99B" w:rsidR="00671CCE" w:rsidRPr="003C4E58" w:rsidRDefault="003C4E58">
      <w:pPr>
        <w:rPr>
          <w:i/>
          <w:iCs/>
        </w:rPr>
      </w:pPr>
      <w:r>
        <w:t xml:space="preserve">Here, </w:t>
      </w:r>
      <w:r>
        <w:t>[</w:t>
      </w:r>
      <w:r>
        <w:rPr>
          <w:i/>
          <w:iCs/>
        </w:rPr>
        <w:t>define explicitly what each term in this equation means moving left to right</w:t>
      </w:r>
      <w:r>
        <w:t>].</w:t>
      </w:r>
      <w:r>
        <w:t xml:space="preserve"> Baum and Davison (2009) observed </w:t>
      </w:r>
      <w:r w:rsidR="00000000">
        <w:t xml:space="preserve">fitted values of </w:t>
      </w:r>
      <w:r w:rsidR="00000000">
        <w:rPr>
          <w:i/>
        </w:rPr>
        <w:t>w</w:t>
      </w:r>
      <w:r w:rsidR="00000000">
        <w:t xml:space="preserve"> between .42 and .66</w:t>
      </w:r>
      <w:r>
        <w:t xml:space="preserve"> indicating [</w:t>
      </w:r>
      <w:r>
        <w:rPr>
          <w:i/>
          <w:iCs/>
        </w:rPr>
        <w:t xml:space="preserve">state what this means directly for the conversation </w:t>
      </w:r>
      <w:r w:rsidRPr="003C4E58">
        <w:rPr>
          <w:i/>
          <w:iCs/>
        </w:rPr>
        <w:t>here</w:t>
      </w:r>
      <w:r>
        <w:t xml:space="preserve">]. </w:t>
      </w:r>
      <w:r w:rsidR="00000000" w:rsidRPr="003C4E58">
        <w:t>Magnitude</w:t>
      </w:r>
      <w:r w:rsidR="00000000">
        <w:t xml:space="preserve"> and persistence are distinct in this account as well and are separately manipulable</w:t>
      </w:r>
      <w:r>
        <w:t>. For example,</w:t>
      </w:r>
      <w:r w:rsidR="00000000">
        <w:t xml:space="preserve"> a changeover delay altered the asymptote </w:t>
      </w:r>
      <w:r w:rsidR="00000000">
        <w:rPr>
          <w:i/>
        </w:rPr>
        <w:t>A</w:t>
      </w:r>
      <w:r w:rsidR="00000000">
        <w:t xml:space="preserve"> whereas overall food rate altered the rate </w:t>
      </w:r>
      <w:r w:rsidR="00000000">
        <w:rPr>
          <w:i/>
        </w:rPr>
        <w:t>w</w:t>
      </w:r>
      <w:r w:rsidR="00000000">
        <w:t xml:space="preserve">. The operator </w:t>
      </w:r>
      <w:r>
        <w:t xml:space="preserve">(i.e., </w:t>
      </w:r>
      <w:r>
        <w:rPr>
          <w:i/>
          <w:iCs/>
        </w:rPr>
        <w:t>add a definition since this is the first time you</w:t>
      </w:r>
      <w:r w:rsidR="001572C9">
        <w:rPr>
          <w:i/>
          <w:iCs/>
        </w:rPr>
        <w:t>’</w:t>
      </w:r>
      <w:r>
        <w:rPr>
          <w:i/>
          <w:iCs/>
        </w:rPr>
        <w:t>re using this term in the manuscript</w:t>
      </w:r>
      <w:r>
        <w:t xml:space="preserve">) </w:t>
      </w:r>
      <w:r w:rsidR="00000000">
        <w:t>is scalar and</w:t>
      </w:r>
      <w:r>
        <w:t xml:space="preserve">, </w:t>
      </w:r>
      <w:r w:rsidR="00000000">
        <w:t>therefore</w:t>
      </w:r>
      <w:r>
        <w:t xml:space="preserve">, </w:t>
      </w:r>
      <w:commentRangeStart w:id="9"/>
      <w:r w:rsidR="00000000">
        <w:t>admits a single rate</w:t>
      </w:r>
      <w:commentRangeEnd w:id="9"/>
      <w:r>
        <w:rPr>
          <w:rStyle w:val="CommentReference"/>
          <w:sz w:val="24"/>
          <w:szCs w:val="22"/>
        </w:rPr>
        <w:commentReference w:id="9"/>
      </w:r>
      <w:r w:rsidR="00000000">
        <w:t xml:space="preserve">. </w:t>
      </w:r>
      <w:commentRangeStart w:id="10"/>
      <w:r w:rsidR="00000000">
        <w:t>Reported fits were obtained from data pooled across six pigeons and 60 to 85 sessions</w:t>
      </w:r>
      <w:commentRangeEnd w:id="10"/>
      <w:r>
        <w:rPr>
          <w:rStyle w:val="CommentReference"/>
          <w:sz w:val="24"/>
          <w:szCs w:val="22"/>
        </w:rPr>
        <w:commentReference w:id="10"/>
      </w:r>
      <w:r w:rsidR="00000000">
        <w:t>.</w:t>
      </w:r>
    </w:p>
    <w:p w14:paraId="2CCCE5BA" w14:textId="473E7DEF" w:rsidR="00671CCE" w:rsidRDefault="00000000">
      <w:pPr>
        <w:ind w:firstLine="720"/>
      </w:pPr>
      <w:r>
        <w:t>Nevin (1992) indexed behavioral strength by resistance to change under a disrupter. The central claim of behavioral momentum theory is that response rate and resistance to change constitute independent dimensions of behavior</w:t>
      </w:r>
      <w:r w:rsidR="003C4E58">
        <w:t xml:space="preserve"> (</w:t>
      </w:r>
      <w:r w:rsidR="003C4E58">
        <w:rPr>
          <w:i/>
          <w:iCs/>
        </w:rPr>
        <w:t>citation where this claim is made explicitly</w:t>
      </w:r>
      <w:r w:rsidR="003C4E58">
        <w:t>)</w:t>
      </w:r>
      <w:r>
        <w:t xml:space="preserve">. Resistance is </w:t>
      </w:r>
      <w:commentRangeStart w:id="11"/>
      <w:r w:rsidR="003C4E58">
        <w:t xml:space="preserve">often </w:t>
      </w:r>
      <w:commentRangeEnd w:id="11"/>
      <w:r w:rsidR="003C4E58">
        <w:rPr>
          <w:rStyle w:val="CommentReference"/>
          <w:sz w:val="24"/>
          <w:szCs w:val="22"/>
        </w:rPr>
        <w:commentReference w:id="11"/>
      </w:r>
      <w:r>
        <w:t>estimated for one response class at a time</w:t>
      </w:r>
      <w:r w:rsidR="003C4E58">
        <w:t xml:space="preserve"> (</w:t>
      </w:r>
      <w:r w:rsidR="003C4E58">
        <w:rPr>
          <w:i/>
          <w:iCs/>
        </w:rPr>
        <w:t>citation</w:t>
      </w:r>
      <w:r w:rsidR="003C4E58">
        <w:t>)</w:t>
      </w:r>
      <w:r>
        <w:t xml:space="preserve">. </w:t>
      </w:r>
      <w:commentRangeStart w:id="12"/>
      <w:r>
        <w:t>Nevin et al. (2005) extended the account with an unmeasured probability of attending, which introduces a latent variable while remaining an account of steady states and of decay under disruption.</w:t>
      </w:r>
      <w:commentRangeEnd w:id="12"/>
      <w:r w:rsidR="00CA41E3">
        <w:rPr>
          <w:rStyle w:val="CommentReference"/>
          <w:sz w:val="24"/>
          <w:szCs w:val="22"/>
        </w:rPr>
        <w:commentReference w:id="12"/>
      </w:r>
    </w:p>
    <w:p w14:paraId="4B95CA0A" w14:textId="64D45000" w:rsidR="00671CCE" w:rsidRDefault="00000000">
      <w:pPr>
        <w:ind w:firstLine="720"/>
      </w:pPr>
      <w:r>
        <w:t xml:space="preserve">Each </w:t>
      </w:r>
      <w:r w:rsidR="00CA41E3">
        <w:t xml:space="preserve">of the above three </w:t>
      </w:r>
      <w:r>
        <w:t>account</w:t>
      </w:r>
      <w:r w:rsidR="00CA41E3">
        <w:t>s</w:t>
      </w:r>
      <w:r>
        <w:t xml:space="preserve"> distinguish magnitude from persistence for </w:t>
      </w:r>
      <w:commentRangeStart w:id="13"/>
      <w:r>
        <w:t>a single influence</w:t>
      </w:r>
      <w:commentRangeEnd w:id="13"/>
      <w:r w:rsidR="00CA41E3">
        <w:rPr>
          <w:rStyle w:val="CommentReference"/>
          <w:sz w:val="24"/>
          <w:szCs w:val="22"/>
        </w:rPr>
        <w:commentReference w:id="13"/>
      </w:r>
      <w:r>
        <w:t xml:space="preserve">. </w:t>
      </w:r>
      <w:commentRangeStart w:id="14"/>
      <w:r>
        <w:t xml:space="preserve">None distinguishes </w:t>
      </w:r>
      <w:r w:rsidR="00CA41E3">
        <w:t xml:space="preserve">the magnitude of influence from persistence of that influence </w:t>
      </w:r>
      <w:r>
        <w:t>across several concurrent influences</w:t>
      </w:r>
      <w:commentRangeEnd w:id="14"/>
      <w:r w:rsidR="00CA41E3">
        <w:rPr>
          <w:rStyle w:val="CommentReference"/>
          <w:sz w:val="24"/>
          <w:szCs w:val="22"/>
        </w:rPr>
        <w:commentReference w:id="14"/>
      </w:r>
      <w:r>
        <w:t xml:space="preserve">. </w:t>
      </w:r>
      <w:commentRangeStart w:id="15"/>
      <w:r>
        <w:t>The limitation is structural rather than historical</w:t>
      </w:r>
      <w:commentRangeEnd w:id="15"/>
      <w:r w:rsidR="00CA41E3">
        <w:rPr>
          <w:rStyle w:val="CommentReference"/>
          <w:sz w:val="24"/>
          <w:szCs w:val="22"/>
        </w:rPr>
        <w:commentReference w:id="15"/>
      </w:r>
      <w:r>
        <w:t xml:space="preserve">: a scalar </w:t>
      </w:r>
      <w:r>
        <w:lastRenderedPageBreak/>
        <w:t>operator admits one rate, a single-input kernel one time constant, and a resistance measure one response class.</w:t>
      </w:r>
    </w:p>
    <w:p w14:paraId="2A61B299" w14:textId="3A7886B5" w:rsidR="000437F9" w:rsidRDefault="000437F9">
      <w:pPr>
        <w:rPr>
          <w:b/>
        </w:rPr>
      </w:pPr>
      <w:r>
        <w:rPr>
          <w:b/>
        </w:rPr>
        <w:t>Brief Overview of Eigen Analysis</w:t>
      </w:r>
    </w:p>
    <w:p w14:paraId="46B5324D" w14:textId="5EF1AA07" w:rsidR="000437F9" w:rsidRPr="000437F9" w:rsidRDefault="000437F9" w:rsidP="000437F9">
      <w:pPr>
        <w:ind w:firstLine="720"/>
        <w:rPr>
          <w:bCs/>
          <w:i/>
          <w:iCs/>
        </w:rPr>
      </w:pPr>
      <w:r>
        <w:rPr>
          <w:bCs/>
        </w:rPr>
        <w:t>[</w:t>
      </w:r>
      <w:r w:rsidRPr="000437F9">
        <w:rPr>
          <w:bCs/>
          <w:i/>
          <w:iCs/>
        </w:rPr>
        <w:t>See</w:t>
      </w:r>
      <w:r>
        <w:rPr>
          <w:bCs/>
          <w:i/>
          <w:iCs/>
        </w:rPr>
        <w:t xml:space="preserve"> comment below about needing to introduce the core framework, definitions, and its utility in the analysis of dynamical systems in other sciences that have parallels to what we</w:t>
      </w:r>
      <w:r w:rsidR="001572C9">
        <w:rPr>
          <w:bCs/>
          <w:i/>
          <w:iCs/>
        </w:rPr>
        <w:t>’</w:t>
      </w:r>
      <w:r>
        <w:rPr>
          <w:bCs/>
          <w:i/>
          <w:iCs/>
        </w:rPr>
        <w:t>re after here. The reader needs this info before we start getting into using it below. As far as I know, I am the only one thinking about these things in behavior analysis. So we need to bring people along with us.</w:t>
      </w:r>
      <w:r w:rsidRPr="000437F9">
        <w:rPr>
          <w:bCs/>
        </w:rPr>
        <w:t>]</w:t>
      </w:r>
    </w:p>
    <w:p w14:paraId="4C74C7AF" w14:textId="011F5738" w:rsidR="00671CCE" w:rsidRDefault="00000000">
      <w:r>
        <w:rPr>
          <w:b/>
        </w:rPr>
        <w:t>The Transition Operator and Its Spectrum</w:t>
      </w:r>
    </w:p>
    <w:p w14:paraId="371D6D8D" w14:textId="5040F316" w:rsidR="00671CCE" w:rsidRDefault="00000000" w:rsidP="00CA41E3">
      <w:pPr>
        <w:ind w:firstLine="720"/>
      </w:pPr>
      <w:r>
        <w:t>Consider an operator fitted to an individual</w:t>
      </w:r>
      <w:r w:rsidR="001572C9">
        <w:t>’</w:t>
      </w:r>
      <w:r>
        <w:t>s response series</w:t>
      </w:r>
      <w:r w:rsidR="00CA41E3">
        <w:t>:</w:t>
      </w:r>
    </w:p>
    <w:p w14:paraId="7F00800D" w14:textId="77777777" w:rsidR="00671CCE" w:rsidRDefault="00000000" w:rsidP="00CA41E3">
      <w:pPr>
        <w:ind w:left="720"/>
        <w:jc w:val="center"/>
      </w:pPr>
      <w:r>
        <w:rPr>
          <w:b/>
        </w:rPr>
        <w:t>x</w:t>
      </w:r>
      <w:r>
        <w:t>(</w:t>
      </w:r>
      <w:r>
        <w:rPr>
          <w:i/>
        </w:rPr>
        <w:t>t</w:t>
      </w:r>
      <w:r>
        <w:t xml:space="preserve"> + 1) = </w:t>
      </w:r>
      <w:r>
        <w:rPr>
          <w:b/>
        </w:rPr>
        <w:t>A x</w:t>
      </w:r>
      <w:r>
        <w:t>(</w:t>
      </w:r>
      <w:r>
        <w:rPr>
          <w:i/>
        </w:rPr>
        <w:t>t</w:t>
      </w:r>
      <w:r>
        <w:t xml:space="preserve">) + </w:t>
      </w:r>
      <w:r>
        <w:rPr>
          <w:b/>
        </w:rPr>
        <w:t>B u</w:t>
      </w:r>
      <w:r>
        <w:t>(</w:t>
      </w:r>
      <w:r>
        <w:rPr>
          <w:i/>
        </w:rPr>
        <w:t>t</w:t>
      </w:r>
      <w:r>
        <w:t xml:space="preserve">) + </w:t>
      </w:r>
      <w:r>
        <w:rPr>
          <w:b/>
        </w:rPr>
        <w:t>c</w:t>
      </w:r>
      <w:r>
        <w:t>,</w:t>
      </w:r>
    </w:p>
    <w:p w14:paraId="419C1412" w14:textId="5F86943B" w:rsidR="00CA41E3" w:rsidRPr="00CA41E3" w:rsidRDefault="00000000" w:rsidP="00CA41E3">
      <w:r>
        <w:t xml:space="preserve">in which </w:t>
      </w:r>
      <w:r>
        <w:rPr>
          <w:b/>
        </w:rPr>
        <w:t>x</w:t>
      </w:r>
      <w:r>
        <w:t xml:space="preserve"> is a vector of behavioral measures</w:t>
      </w:r>
      <w:r w:rsidR="00CA41E3">
        <w:t xml:space="preserve">, </w:t>
      </w:r>
      <w:r w:rsidR="00CA41E3">
        <w:rPr>
          <w:b/>
          <w:bCs/>
        </w:rPr>
        <w:t>A</w:t>
      </w:r>
      <w:r w:rsidR="00CA41E3">
        <w:t xml:space="preserve"> is [</w:t>
      </w:r>
      <w:r w:rsidR="00CA41E3">
        <w:rPr>
          <w:i/>
          <w:iCs/>
        </w:rPr>
        <w:t>define</w:t>
      </w:r>
      <w:r w:rsidR="00CA41E3">
        <w:t xml:space="preserve">], </w:t>
      </w:r>
      <w:r w:rsidR="00CA41E3" w:rsidRPr="00CA41E3">
        <w:rPr>
          <w:b/>
          <w:bCs/>
        </w:rPr>
        <w:t>B</w:t>
      </w:r>
      <w:r>
        <w:t xml:space="preserve"> </w:t>
      </w:r>
      <w:r w:rsidR="00CA41E3">
        <w:t>is [</w:t>
      </w:r>
      <w:r w:rsidR="00CA41E3" w:rsidRPr="00CA41E3">
        <w:rPr>
          <w:i/>
          <w:iCs/>
        </w:rPr>
        <w:t>define</w:t>
      </w:r>
      <w:r w:rsidR="00CA41E3">
        <w:t xml:space="preserve">], </w:t>
      </w:r>
      <w:r>
        <w:rPr>
          <w:b/>
        </w:rPr>
        <w:t>u</w:t>
      </w:r>
      <w:r>
        <w:t xml:space="preserve"> </w:t>
      </w:r>
      <w:r w:rsidR="00CA41E3">
        <w:t xml:space="preserve">is </w:t>
      </w:r>
      <w:r>
        <w:t>a vector of manipulated environmental variables</w:t>
      </w:r>
      <w:r w:rsidR="00CA41E3">
        <w:t xml:space="preserve">, and </w:t>
      </w:r>
      <w:r w:rsidR="00CA41E3">
        <w:rPr>
          <w:b/>
          <w:bCs/>
        </w:rPr>
        <w:t>c</w:t>
      </w:r>
      <w:r w:rsidR="00CA41E3">
        <w:t xml:space="preserve"> is [</w:t>
      </w:r>
      <w:r w:rsidR="00CA41E3">
        <w:rPr>
          <w:i/>
          <w:iCs/>
        </w:rPr>
        <w:t>define</w:t>
      </w:r>
      <w:r w:rsidR="00CA41E3">
        <w:t>]</w:t>
      </w:r>
      <w:r>
        <w:t>.</w:t>
      </w:r>
      <w:r w:rsidR="00CA41E3">
        <w:t xml:space="preserve"> For example, [</w:t>
      </w:r>
      <w:r w:rsidR="00CA41E3">
        <w:rPr>
          <w:i/>
          <w:iCs/>
        </w:rPr>
        <w:t>provide a realistic example involving a pigeon pecking keys or a rat pressing a lever to make the example tractable to the reader unfamiliar with linear algebra</w:t>
      </w:r>
      <w:r w:rsidR="00E57A9F">
        <w:rPr>
          <w:i/>
          <w:iCs/>
        </w:rPr>
        <w:t>. Tie each of the variables in this equation to that example</w:t>
      </w:r>
      <w:r w:rsidR="00CA41E3">
        <w:t>].</w:t>
      </w:r>
    </w:p>
    <w:p w14:paraId="3F182CB4" w14:textId="18D13A59" w:rsidR="00671CCE" w:rsidRDefault="00CA41E3" w:rsidP="00CA41E3">
      <w:pPr>
        <w:ind w:firstLine="720"/>
      </w:pPr>
      <w:r>
        <w:t xml:space="preserve">In equation </w:t>
      </w:r>
      <w:commentRangeStart w:id="16"/>
      <w:r>
        <w:t>N</w:t>
      </w:r>
      <w:commentRangeEnd w:id="16"/>
      <w:r>
        <w:rPr>
          <w:rStyle w:val="CommentReference"/>
          <w:sz w:val="24"/>
          <w:szCs w:val="22"/>
        </w:rPr>
        <w:commentReference w:id="16"/>
      </w:r>
      <w:r>
        <w:t xml:space="preserve">, the </w:t>
      </w:r>
      <w:commentRangeStart w:id="17"/>
      <w:r>
        <w:t>r</w:t>
      </w:r>
      <w:r w:rsidR="00000000">
        <w:t xml:space="preserve">elative influence resides in </w:t>
      </w:r>
      <w:r w:rsidR="00000000">
        <w:rPr>
          <w:b/>
        </w:rPr>
        <w:t>B</w:t>
      </w:r>
      <w:r w:rsidR="00000000">
        <w:t xml:space="preserve"> rather than in the spectrum of </w:t>
      </w:r>
      <w:r w:rsidR="00000000">
        <w:rPr>
          <w:b/>
        </w:rPr>
        <w:t>A</w:t>
      </w:r>
      <w:r w:rsidR="00000000">
        <w:t>.</w:t>
      </w:r>
      <w:commentRangeEnd w:id="17"/>
      <w:r>
        <w:rPr>
          <w:rStyle w:val="CommentReference"/>
          <w:sz w:val="24"/>
          <w:szCs w:val="22"/>
        </w:rPr>
        <w:commentReference w:id="17"/>
      </w:r>
      <w:r w:rsidR="00000000">
        <w:t xml:space="preserve"> Column </w:t>
      </w:r>
      <w:r w:rsidR="00000000">
        <w:rPr>
          <w:i/>
        </w:rPr>
        <w:t>k</w:t>
      </w:r>
      <w:r w:rsidR="00000000">
        <w:t xml:space="preserve"> of </w:t>
      </w:r>
      <w:r w:rsidR="00000000">
        <w:rPr>
          <w:b/>
        </w:rPr>
        <w:t>B</w:t>
      </w:r>
      <w:r w:rsidR="00000000">
        <w:t xml:space="preserve"> estimates the effect of variable </w:t>
      </w:r>
      <w:r w:rsidR="00000000">
        <w:rPr>
          <w:i/>
        </w:rPr>
        <w:t>k</w:t>
      </w:r>
      <w:r w:rsidR="00000000">
        <w:t xml:space="preserve"> on behavior with the </w:t>
      </w:r>
      <w:commentRangeStart w:id="18"/>
      <w:r w:rsidR="00000000">
        <w:t>organism</w:t>
      </w:r>
      <w:r w:rsidR="001572C9">
        <w:t>’</w:t>
      </w:r>
      <w:r w:rsidR="00000000">
        <w:t xml:space="preserve">s own carryover </w:t>
      </w:r>
      <w:commentRangeEnd w:id="18"/>
      <w:r w:rsidR="00872E93">
        <w:rPr>
          <w:rStyle w:val="CommentReference"/>
          <w:sz w:val="24"/>
          <w:szCs w:val="22"/>
        </w:rPr>
        <w:commentReference w:id="18"/>
      </w:r>
      <w:r w:rsidR="00000000">
        <w:t xml:space="preserve">already </w:t>
      </w:r>
      <w:commentRangeStart w:id="19"/>
      <w:r w:rsidR="00000000">
        <w:t xml:space="preserve">accommodated in </w:t>
      </w:r>
      <w:r w:rsidR="00000000">
        <w:rPr>
          <w:b/>
        </w:rPr>
        <w:t>A</w:t>
      </w:r>
      <w:commentRangeEnd w:id="19"/>
      <w:r w:rsidR="00872E93">
        <w:rPr>
          <w:rStyle w:val="CommentReference"/>
          <w:sz w:val="24"/>
          <w:szCs w:val="22"/>
        </w:rPr>
        <w:commentReference w:id="19"/>
      </w:r>
      <w:r w:rsidR="00000000">
        <w:t xml:space="preserve">. </w:t>
      </w:r>
      <w:commentRangeStart w:id="20"/>
      <w:r w:rsidR="00000000">
        <w:t>This is the quantity the magnitude measures above estimate, with autocorrelation partialed out.</w:t>
      </w:r>
      <w:commentRangeEnd w:id="20"/>
      <w:r w:rsidR="00872E93">
        <w:rPr>
          <w:rStyle w:val="CommentReference"/>
          <w:sz w:val="24"/>
          <w:szCs w:val="22"/>
        </w:rPr>
        <w:commentReference w:id="20"/>
      </w:r>
    </w:p>
    <w:p w14:paraId="47702E9C" w14:textId="77777777" w:rsidR="00872E93" w:rsidRDefault="00000000">
      <w:pPr>
        <w:ind w:firstLine="720"/>
      </w:pPr>
      <w:r>
        <w:t xml:space="preserve">The spectrum supplies two quantities that </w:t>
      </w:r>
      <w:r>
        <w:rPr>
          <w:b/>
        </w:rPr>
        <w:t>B</w:t>
      </w:r>
      <w:r>
        <w:t xml:space="preserve"> does not. For a </w:t>
      </w:r>
      <w:commentRangeStart w:id="21"/>
      <w:r>
        <w:t>diagonalizable operator</w:t>
      </w:r>
      <w:commentRangeEnd w:id="21"/>
      <w:r w:rsidR="00872E93">
        <w:rPr>
          <w:rStyle w:val="CommentReference"/>
          <w:sz w:val="24"/>
          <w:szCs w:val="22"/>
        </w:rPr>
        <w:commentReference w:id="21"/>
      </w:r>
      <w:r w:rsidR="00872E93">
        <w:t>:</w:t>
      </w:r>
      <w:r>
        <w:t xml:space="preserve"> </w:t>
      </w:r>
    </w:p>
    <w:p w14:paraId="4E5B669A" w14:textId="237BF9B0" w:rsidR="00872E93" w:rsidRDefault="00000000" w:rsidP="00872E93">
      <w:pPr>
        <w:jc w:val="center"/>
      </w:pPr>
      <w:r>
        <w:rPr>
          <w:b/>
        </w:rPr>
        <w:t>A</w:t>
      </w:r>
      <w:r>
        <w:t xml:space="preserve"> = </w:t>
      </w:r>
      <w:r>
        <w:rPr>
          <w:b/>
        </w:rPr>
        <w:t>V</w:t>
      </w:r>
      <w:r>
        <w:t>Λ</w:t>
      </w:r>
      <w:r>
        <w:rPr>
          <w:b/>
        </w:rPr>
        <w:t>V</w:t>
      </w:r>
      <w:r>
        <w:t xml:space="preserve">⁻¹ and </w:t>
      </w:r>
      <w:r>
        <w:rPr>
          <w:b/>
        </w:rPr>
        <w:t>A</w:t>
      </w:r>
      <w:r>
        <w:t>^</w:t>
      </w:r>
      <w:r>
        <w:rPr>
          <w:i/>
        </w:rPr>
        <w:t>k</w:t>
      </w:r>
      <w:r>
        <w:t xml:space="preserve"> = </w:t>
      </w:r>
      <w:r>
        <w:rPr>
          <w:b/>
        </w:rPr>
        <w:t>V</w:t>
      </w:r>
      <w:r>
        <w:t>Λ^</w:t>
      </w:r>
      <w:r>
        <w:rPr>
          <w:i/>
        </w:rPr>
        <w:t>k</w:t>
      </w:r>
      <w:r>
        <w:rPr>
          <w:b/>
        </w:rPr>
        <w:t>V</w:t>
      </w:r>
      <w:r>
        <w:t>⁻¹</w:t>
      </w:r>
      <w:r w:rsidR="00872E93">
        <w:t>.</w:t>
      </w:r>
    </w:p>
    <w:p w14:paraId="1D77D9A6" w14:textId="0B6BA1BC" w:rsidR="00671CCE" w:rsidRDefault="00872E93" w:rsidP="00872E93">
      <w:commentRangeStart w:id="22"/>
      <w:r>
        <w:lastRenderedPageBreak/>
        <w:t xml:space="preserve">Equation N indicates that </w:t>
      </w:r>
      <w:r w:rsidR="00000000">
        <w:t>the operator</w:t>
      </w:r>
      <w:r w:rsidR="001572C9">
        <w:t>’</w:t>
      </w:r>
      <w:r w:rsidR="00000000">
        <w:t>s action reduces to independent scaling along each eigenvector</w:t>
      </w:r>
      <w:commentRangeEnd w:id="22"/>
      <w:r w:rsidR="000437F9">
        <w:rPr>
          <w:rStyle w:val="CommentReference"/>
          <w:sz w:val="24"/>
          <w:szCs w:val="22"/>
        </w:rPr>
        <w:commentReference w:id="22"/>
      </w:r>
      <w:r w:rsidR="00000000">
        <w:t xml:space="preserve">. The eigenvalues then give the persistence of each mode: |λ| &lt; 1 decays with half-life log(.5)/log|λ|, and complex λ introduces oscillation with period 2π/arg(λ). A variable with a small effect on a slowly decaying mode may therefore exert more influence over subsequent behavior than a variable with a large effect on a rapidly decaying one. The eigenvectors identify which measured variables constitute a single mode, and </w:t>
      </w:r>
      <w:commentRangeStart w:id="23"/>
      <w:r w:rsidR="00000000">
        <w:t>thus whether a set of recorded variables represents that many influences or fewer</w:t>
      </w:r>
      <w:commentRangeEnd w:id="23"/>
      <w:r w:rsidR="00726E6C">
        <w:rPr>
          <w:rStyle w:val="CommentReference"/>
          <w:sz w:val="24"/>
          <w:szCs w:val="22"/>
        </w:rPr>
        <w:commentReference w:id="23"/>
      </w:r>
      <w:r w:rsidR="00000000">
        <w:t>.</w:t>
      </w:r>
    </w:p>
    <w:p w14:paraId="19E56A22" w14:textId="361B4E1A" w:rsidR="00671CCE" w:rsidRDefault="00000000">
      <w:pPr>
        <w:ind w:firstLine="720"/>
      </w:pPr>
      <w:commentRangeStart w:id="24"/>
      <w:r>
        <w:t>Two of the three correspondences are exact</w:t>
      </w:r>
      <w:commentRangeEnd w:id="24"/>
      <w:r w:rsidR="00726E6C">
        <w:rPr>
          <w:rStyle w:val="CommentReference"/>
          <w:sz w:val="24"/>
          <w:szCs w:val="22"/>
        </w:rPr>
        <w:commentReference w:id="24"/>
      </w:r>
      <w:r>
        <w:t xml:space="preserve">. For any linear state-space model the </w:t>
      </w:r>
      <w:commentRangeStart w:id="25"/>
      <w:r>
        <w:t xml:space="preserve">impulse response </w:t>
      </w:r>
      <w:commentRangeEnd w:id="25"/>
      <w:r w:rsidR="00726E6C">
        <w:rPr>
          <w:rStyle w:val="CommentReference"/>
          <w:sz w:val="24"/>
          <w:szCs w:val="22"/>
        </w:rPr>
        <w:commentReference w:id="25"/>
      </w:r>
      <w:r>
        <w:t xml:space="preserve">is </w:t>
      </w:r>
      <w:r>
        <w:rPr>
          <w:b/>
        </w:rPr>
        <w:t>A</w:t>
      </w:r>
      <w:r>
        <w:t>^(</w:t>
      </w:r>
      <w:r>
        <w:rPr>
          <w:i/>
        </w:rPr>
        <w:t>k</w:t>
      </w:r>
      <w:r>
        <w:t>−1)</w:t>
      </w:r>
      <w:r>
        <w:rPr>
          <w:b/>
        </w:rPr>
        <w:t>B</w:t>
      </w:r>
      <w:r>
        <w:t>, which expands as Σ</w:t>
      </w:r>
      <w:r>
        <w:rPr>
          <w:i/>
        </w:rPr>
        <w:t>ⱼ</w:t>
      </w:r>
      <w:r>
        <w:t xml:space="preserve"> </w:t>
      </w:r>
      <w:r>
        <w:rPr>
          <w:i/>
        </w:rPr>
        <w:t>cⱼ</w:t>
      </w:r>
      <w:r>
        <w:t xml:space="preserve"> λ</w:t>
      </w:r>
      <w:r>
        <w:rPr>
          <w:i/>
        </w:rPr>
        <w:t>ⱼ</w:t>
      </w:r>
      <w:r>
        <w:t>^(</w:t>
      </w:r>
      <w:r>
        <w:rPr>
          <w:i/>
        </w:rPr>
        <w:t>k</w:t>
      </w:r>
      <w:r>
        <w:t>−1)</w:t>
      </w:r>
      <w:r w:rsidR="00726E6C">
        <w:t>. T</w:t>
      </w:r>
      <w:r>
        <w:t>he kernel of McDowell et al. (1992) is</w:t>
      </w:r>
      <w:r w:rsidR="00726E6C">
        <w:t>,</w:t>
      </w:r>
      <w:r>
        <w:t xml:space="preserve"> therefore</w:t>
      </w:r>
      <w:r w:rsidR="00726E6C">
        <w:t xml:space="preserve">, </w:t>
      </w:r>
      <w:r>
        <w:t xml:space="preserve">a sum of exponentials whose rates are the eigenvalues, a correspondence verified on fitted operators to 5 × 10⁻¹⁶. The model of Baum and Davison (2009) is the present formulation restricted to a single state coordinate with a single real eigenvalue (1 − </w:t>
      </w:r>
      <w:r>
        <w:rPr>
          <w:i/>
        </w:rPr>
        <w:t>w</w:t>
      </w:r>
      <w:r>
        <w:t xml:space="preserve">) on (0, 1), and is thus the rank-one case. </w:t>
      </w:r>
      <w:commentRangeStart w:id="26"/>
      <w:r>
        <w:t>The third correspondence, between resistance to change and |λ| for the mode a disrupter excites, is proposed and remains untested.</w:t>
      </w:r>
      <w:commentRangeEnd w:id="26"/>
      <w:r w:rsidR="00726E6C">
        <w:rPr>
          <w:rStyle w:val="CommentReference"/>
          <w:sz w:val="24"/>
          <w:szCs w:val="22"/>
        </w:rPr>
        <w:commentReference w:id="26"/>
      </w:r>
    </w:p>
    <w:p w14:paraId="11255001" w14:textId="77777777" w:rsidR="00671CCE" w:rsidRDefault="00000000">
      <w:commentRangeStart w:id="27"/>
      <w:r>
        <w:rPr>
          <w:b/>
        </w:rPr>
        <w:t>Evidence From a Preliminary Study</w:t>
      </w:r>
    </w:p>
    <w:p w14:paraId="5F7AEBEF" w14:textId="19A68522" w:rsidR="00671CCE" w:rsidRDefault="00000000" w:rsidP="00726E6C">
      <w:pPr>
        <w:ind w:firstLine="720"/>
      </w:pPr>
      <w:r>
        <w:t xml:space="preserve">A preliminary study fitted individual operators to 23 participants foraging between two alternatives under an ABAB contingency reversal. The cue coefficient reversed sign with the contingency in 21 of 23 participants, and the spectrum of </w:t>
      </w:r>
      <w:r>
        <w:rPr>
          <w:b/>
        </w:rPr>
        <w:t>A</w:t>
      </w:r>
      <w:r>
        <w:t xml:space="preserve"> remained within each participant</w:t>
      </w:r>
      <w:r w:rsidR="001572C9">
        <w:t>’</w:t>
      </w:r>
      <w:r>
        <w:t>s own same-operator reference distribution in 23 of 23. The latter constitutes the invariance test specified by McDowell et al. (1992). The scalar restriction imposed by the model of Baum and Davison (2009) was violated by 23 of 23 participants when the series was examined at a temporal resolution at which behavior varies.</w:t>
      </w:r>
    </w:p>
    <w:p w14:paraId="09BA2B29" w14:textId="77777777" w:rsidR="00671CCE" w:rsidRDefault="00000000">
      <w:pPr>
        <w:ind w:firstLine="720"/>
      </w:pPr>
      <w:r>
        <w:lastRenderedPageBreak/>
        <w:t>That study does not address relative influence, because it manipulated a single cue. With one manipulated variable there is no relative influence to estimate. The dominant eigenvector loaded on proportion of responses to the left alternative for 17 of 23 participants and on mean log inter-response time for the remainder, and did not differ across conditions, which is the expected outcome for a design in which nothing competes.</w:t>
      </w:r>
    </w:p>
    <w:p w14:paraId="4616769F" w14:textId="77777777" w:rsidR="00671CCE" w:rsidRDefault="00000000">
      <w:pPr>
        <w:ind w:firstLine="720"/>
      </w:pPr>
      <w:r>
        <w:t>A discrete-trial procedure was also examined. Four compound stimulus dimensions were arranged following Vyazovska et al. (2014), who reported approximately equal attention across their four dimensions and stated that they could not construct a null-hypothesis test for the attentional tradeoffs they observed. Human participants reproduced the equality, for the reason the arrangement produces it: when every dimension must match for reinforcement, each is equally predictive. Rendering only a subset of dimensions relevant resolves this, and the resulting static estimate of per-dimension control was validated against constructed ground truth. However, four-alternative forced choice conveys approximately two bits per trial, most of which is expended on whether the correct alternative was selected, and the dynamics of control proved unidentifiable: against agents constructed with attentional half-lives of 2, 8, and 32 trials, the correct ordering was recovered on 8 of 10 runs only at 2,400 trials per participant, against a chance rate of one in six. A free-operant procedure yields 375 to 1,329 state transitions in 20 min where forced choice yields approximately 120 choices.</w:t>
      </w:r>
      <w:commentRangeEnd w:id="27"/>
      <w:r w:rsidR="00726E6C">
        <w:rPr>
          <w:rStyle w:val="CommentReference"/>
          <w:sz w:val="24"/>
          <w:szCs w:val="22"/>
        </w:rPr>
        <w:commentReference w:id="27"/>
      </w:r>
    </w:p>
    <w:p w14:paraId="66D18A7A" w14:textId="77777777" w:rsidR="00671CCE" w:rsidRDefault="00000000">
      <w:r>
        <w:rPr>
          <w:b/>
        </w:rPr>
        <w:t>The Present Study</w:t>
      </w:r>
    </w:p>
    <w:p w14:paraId="0FBA468F" w14:textId="78874E95" w:rsidR="00671CCE" w:rsidRDefault="00000000" w:rsidP="00726E6C">
      <w:pPr>
        <w:ind w:firstLine="720"/>
      </w:pPr>
      <w:r>
        <w:t xml:space="preserve">Several environmental variables are manipulated within a free-operant two-alternative procedure. The variables are imperfectly correlated with one another: a stimulus uncorrelated with reinforcement acquires no discriminative function, whereas a stimulus perfectly correlated with </w:t>
      </w:r>
      <w:r w:rsidR="009B5932">
        <w:t>reinforcement probability</w:t>
      </w:r>
      <w:r>
        <w:t xml:space="preserve"> contributes no variance that rate does not already explain, and the </w:t>
      </w:r>
      <w:r>
        <w:lastRenderedPageBreak/>
        <w:t xml:space="preserve">corresponding columns of </w:t>
      </w:r>
      <w:r>
        <w:rPr>
          <w:b/>
        </w:rPr>
        <w:t>B</w:t>
      </w:r>
      <w:r>
        <w:t xml:space="preserve"> are unidentifiable. Imperfect correlation renders each variable both predictive and separately estimable.</w:t>
      </w:r>
    </w:p>
    <w:p w14:paraId="7831A66D" w14:textId="77777777" w:rsidR="00671CCE" w:rsidRDefault="00000000">
      <w:pPr>
        <w:ind w:firstLine="720"/>
      </w:pPr>
      <w:r>
        <w:t xml:space="preserve">The critical requirement is that variables be arranged to differ in persistence while matched in magnitude. An analysis based on the matching law or on log </w:t>
      </w:r>
      <w:r>
        <w:rPr>
          <w:i/>
        </w:rPr>
        <w:t>d</w:t>
      </w:r>
      <w:r>
        <w:t>, having no representation of time, must return equivalent values for two such variables. The spectrum returns different eigenvalues. This divergence, computed on the same responses, constitutes the test.</w:t>
      </w:r>
    </w:p>
    <w:p w14:paraId="23CA9292" w14:textId="77777777" w:rsidR="00671CCE" w:rsidRDefault="00000000">
      <w:pPr>
        <w:ind w:firstLine="720"/>
      </w:pPr>
      <w:r>
        <w:t>The design further requires brief perturbations followed by recovery windows. Eigenvalues are decay rates, and estimating them requires observing return from a displacement rather than inferring it from steady-state performance. Such windows are themselves measurements of resistance to change, and therefore provide a test of the third correspondence noted above.</w:t>
      </w:r>
    </w:p>
    <w:p w14:paraId="2D659EF7" w14:textId="77777777" w:rsidR="00671CCE" w:rsidRDefault="00000000">
      <w:pPr>
        <w:jc w:val="center"/>
      </w:pPr>
      <w:r>
        <w:rPr>
          <w:b/>
        </w:rPr>
        <w:t>Method</w:t>
      </w:r>
    </w:p>
    <w:p w14:paraId="2E903EDA" w14:textId="77777777" w:rsidR="00671CCE" w:rsidRDefault="00000000">
      <w:r>
        <w:rPr>
          <w:b/>
        </w:rPr>
        <w:t>Participants</w:t>
      </w:r>
    </w:p>
    <w:p w14:paraId="6EC7F1DB" w14:textId="77777777" w:rsidR="00671CCE" w:rsidRDefault="00000000" w:rsidP="00726E6C">
      <w:pPr>
        <w:ind w:firstLine="720"/>
      </w:pPr>
      <w:r>
        <w:t xml:space="preserve">Adults recruited through Prolific and restricted to desktop or laptop computers. Participants who completed earlier studies in this program are excluded by identifier. Sample size is fixed in advance at </w:t>
      </w:r>
      <w:r>
        <w:rPr>
          <w:i/>
        </w:rPr>
        <w:t>n</w:t>
      </w:r>
      <w:r>
        <w:t xml:space="preserve"> = 15. The design is single-subject; each effect is estimated and reported for each participant, and </w:t>
      </w:r>
      <w:r>
        <w:rPr>
          <w:i/>
        </w:rPr>
        <w:t>n</w:t>
      </w:r>
      <w:r>
        <w:t xml:space="preserve"> indexes the number of independent replications of a within-subject result rather than the denominator of a group test.</w:t>
      </w:r>
    </w:p>
    <w:p w14:paraId="07965566" w14:textId="77777777" w:rsidR="00671CCE" w:rsidRDefault="00000000">
      <w:r>
        <w:rPr>
          <w:b/>
        </w:rPr>
        <w:t>Apparatus and Display</w:t>
      </w:r>
    </w:p>
    <w:p w14:paraId="2D56E0AE" w14:textId="67B414A5" w:rsidR="00671CCE" w:rsidRDefault="00000000" w:rsidP="00726E6C">
      <w:pPr>
        <w:ind w:firstLine="720"/>
      </w:pPr>
      <w:r>
        <w:t>The procedure is administered in the participant</w:t>
      </w:r>
      <w:r w:rsidR="001572C9">
        <w:t>’</w:t>
      </w:r>
      <w:r>
        <w:t xml:space="preserve">s browser. The display comprises a dark neutral background, two identical light-gray response panels arranged side by side, and a cumulative point counter. The panels are visually indistinguishable from one another and remain </w:t>
      </w:r>
      <w:r>
        <w:lastRenderedPageBreak/>
        <w:t>so throughout the session except when a momentary stimulus is scheduled. No feature of the display marks block transitions, the state of the reinforcement schedule, or responses remaining, so that no event other than those under experimental control can acquire a discriminative function.</w:t>
      </w:r>
    </w:p>
    <w:p w14:paraId="78F636A5" w14:textId="64C1D39B" w:rsidR="00671CCE" w:rsidRDefault="00000000">
      <w:pPr>
        <w:ind w:firstLine="720"/>
      </w:pPr>
      <w:r>
        <w:t>Responding is free-operant. A response consists of a click or tap on either panel; there are no trials, no enforced inter-response interval, and no programmed delays. A brief point indicator appears at the selected panel immediately following each response, indicating a gain, a loss, or neither. In a previous study employing this procedure</w:t>
      </w:r>
      <w:r w:rsidR="001572C9">
        <w:t xml:space="preserve"> (</w:t>
      </w:r>
      <w:r w:rsidR="001572C9">
        <w:rPr>
          <w:i/>
          <w:iCs/>
        </w:rPr>
        <w:t>citation</w:t>
      </w:r>
      <w:r w:rsidR="001572C9">
        <w:t>)</w:t>
      </w:r>
      <w:r>
        <w:t>, 23 participants emitted a median of 4,136 responses at 223 responses per minute (</w:t>
      </w:r>
      <w:r>
        <w:rPr>
          <w:i/>
        </w:rPr>
        <w:t>IQR</w:t>
      </w:r>
      <w:r>
        <w:t xml:space="preserve"> = 185–242, range = 62–315).</w:t>
      </w:r>
    </w:p>
    <w:p w14:paraId="189B4411" w14:textId="77777777" w:rsidR="00671CCE" w:rsidRDefault="00000000">
      <w:r>
        <w:rPr>
          <w:b/>
        </w:rPr>
        <w:t>Reinforcement Schedule</w:t>
      </w:r>
    </w:p>
    <w:p w14:paraId="178EF7DA" w14:textId="2DF73FAE" w:rsidR="00671CCE" w:rsidRDefault="00000000" w:rsidP="001572C9">
      <w:pPr>
        <w:ind w:firstLine="720"/>
      </w:pPr>
      <w:r>
        <w:t>Each response produces a point with a probability determined by the panel selected and the current state of the schedule. Probabilities are properties of the schedule state and are independent of the participant</w:t>
      </w:r>
      <w:r w:rsidR="001572C9">
        <w:t>’</w:t>
      </w:r>
      <w:r>
        <w:t>s recent allocation. No alternative depletes and no interval accrues.</w:t>
      </w:r>
    </w:p>
    <w:p w14:paraId="62C71819" w14:textId="77777777" w:rsidR="00671CCE" w:rsidRDefault="00000000">
      <w:pPr>
        <w:ind w:firstLine="720"/>
      </w:pPr>
      <w:commentRangeStart w:id="28"/>
      <w:r>
        <w:t>This constitutes a departure from the previous study in this program, which employed depleting patches. Under depletion, allocation toward the richer alternative reduces its yield, so responding returns toward indifference irrespective of what the participant has learned. A decay rate estimated under such a schedule is confounded with the restoring force of the schedule itself. Because the present study concerns decay rates, the schedule is held constant while behavior varies.</w:t>
      </w:r>
      <w:commentRangeEnd w:id="28"/>
      <w:r w:rsidR="002F5989">
        <w:rPr>
          <w:rStyle w:val="CommentReference"/>
          <w:sz w:val="24"/>
          <w:szCs w:val="22"/>
        </w:rPr>
        <w:commentReference w:id="28"/>
      </w:r>
    </w:p>
    <w:p w14:paraId="0AF44FE0" w14:textId="77777777" w:rsidR="00671CCE" w:rsidRDefault="00000000">
      <w:r>
        <w:rPr>
          <w:b/>
        </w:rPr>
        <w:t>Independent Variables</w:t>
      </w:r>
    </w:p>
    <w:p w14:paraId="0082CD60" w14:textId="6F86C19F" w:rsidR="00671CCE" w:rsidRDefault="009B5932" w:rsidP="002F5989">
      <w:pPr>
        <w:ind w:firstLine="720"/>
      </w:pPr>
      <w:r>
        <w:rPr>
          <w:b/>
        </w:rPr>
        <w:t>Reinforcement probability</w:t>
      </w:r>
      <w:r w:rsidR="00000000">
        <w:rPr>
          <w:b/>
        </w:rPr>
        <w:t xml:space="preserve"> (Unsignaled). </w:t>
      </w:r>
      <w:r w:rsidR="00000000">
        <w:t>The pair of reinforcement</w:t>
      </w:r>
      <w:r w:rsidR="002F5989">
        <w:t xml:space="preserve"> </w:t>
      </w:r>
      <w:r w:rsidR="00000000">
        <w:t xml:space="preserve">probabilities associated with the two panels. In the neutral state both panels deliver points with </w:t>
      </w:r>
      <w:r w:rsidR="00000000">
        <w:rPr>
          <w:i/>
        </w:rPr>
        <w:t>p</w:t>
      </w:r>
      <w:r w:rsidR="00000000">
        <w:t xml:space="preserve"> = .25. In a </w:t>
      </w:r>
      <w:r w:rsidR="00000000">
        <w:lastRenderedPageBreak/>
        <w:t>biased state</w:t>
      </w:r>
      <w:r w:rsidR="00CA7CFE">
        <w:t>,</w:t>
      </w:r>
      <w:r w:rsidR="00000000">
        <w:t xml:space="preserve"> one panel delivers points with </w:t>
      </w:r>
      <w:r w:rsidR="00000000">
        <w:rPr>
          <w:i/>
        </w:rPr>
        <w:t>p</w:t>
      </w:r>
      <w:r w:rsidR="00000000">
        <w:t xml:space="preserve"> = .45 and the other with </w:t>
      </w:r>
      <w:r w:rsidR="00000000">
        <w:rPr>
          <w:i/>
        </w:rPr>
        <w:t>p</w:t>
      </w:r>
      <w:r w:rsidR="00000000">
        <w:t xml:space="preserve"> = .10. The display does not change when this variable changes; the current state </w:t>
      </w:r>
      <w:r w:rsidR="00CA7CFE">
        <w:t>can be known</w:t>
      </w:r>
      <w:r w:rsidR="00000000">
        <w:t xml:space="preserve"> only from the distribution of obtained outcomes across responses.</w:t>
      </w:r>
    </w:p>
    <w:p w14:paraId="63C886CC" w14:textId="7985989D" w:rsidR="00671CCE" w:rsidRDefault="00000000">
      <w:pPr>
        <w:ind w:firstLine="720"/>
      </w:pPr>
      <w:r>
        <w:rPr>
          <w:b/>
        </w:rPr>
        <w:t xml:space="preserve">Momentary Appetitive Stimulus (Signaled). </w:t>
      </w:r>
      <w:r>
        <w:t>On scheduled responses, the</w:t>
      </w:r>
      <w:r w:rsidR="006657D3">
        <w:t xml:space="preserve"> </w:t>
      </w:r>
      <w:r>
        <w:t xml:space="preserve">border of one panel changes to gold before the response is emitted and reverts immediately thereafter. On that response only, the bordered panel delivers points with </w:t>
      </w:r>
      <w:r>
        <w:rPr>
          <w:i/>
        </w:rPr>
        <w:t>p</w:t>
      </w:r>
      <w:r>
        <w:t xml:space="preserve"> = .60 and the alternative with </w:t>
      </w:r>
      <w:r>
        <w:rPr>
          <w:i/>
        </w:rPr>
        <w:t>p</w:t>
      </w:r>
      <w:r>
        <w:t xml:space="preserve"> = .05, superseding V1. The gold border appears on the panel </w:t>
      </w:r>
      <w:r w:rsidR="006657D3">
        <w:t xml:space="preserve">already </w:t>
      </w:r>
      <w:r>
        <w:t xml:space="preserve">favored by </w:t>
      </w:r>
      <w:r w:rsidR="009B5932">
        <w:t>reinforcement probability</w:t>
      </w:r>
      <w:r w:rsidR="006657D3">
        <w:t xml:space="preserve"> </w:t>
      </w:r>
      <w:r>
        <w:t>on 60% of occurrences and on the alternative panel on 40%.</w:t>
      </w:r>
    </w:p>
    <w:p w14:paraId="762A25D3" w14:textId="017AF235" w:rsidR="00671CCE" w:rsidRDefault="00000000">
      <w:pPr>
        <w:ind w:firstLine="720"/>
      </w:pPr>
      <w:r>
        <w:rPr>
          <w:b/>
        </w:rPr>
        <w:t xml:space="preserve">Momentary Aversive Stimulus (Signaled). </w:t>
      </w:r>
      <w:r>
        <w:t>On scheduled responses, the</w:t>
      </w:r>
      <w:r w:rsidR="00D63E3E">
        <w:t xml:space="preserve"> </w:t>
      </w:r>
      <w:r>
        <w:t xml:space="preserve">border of one panel changes to dark red under the same timing rules as </w:t>
      </w:r>
      <w:r w:rsidR="00D63E3E">
        <w:t>the momentary appetitive stimulus</w:t>
      </w:r>
      <w:r>
        <w:t xml:space="preserve">. A response to a red-bordered panel subtracts one point; a response to the alternative panel is unaffected and produces points at the rate specified by </w:t>
      </w:r>
      <w:r w:rsidR="00C80752">
        <w:t xml:space="preserve">current </w:t>
      </w:r>
      <w:r w:rsidR="009B5932">
        <w:t>reinforcement probability</w:t>
      </w:r>
      <w:r>
        <w:t xml:space="preserve">. The red border appears on the panel </w:t>
      </w:r>
      <w:r w:rsidR="00D568F5">
        <w:t xml:space="preserve">already </w:t>
      </w:r>
      <w:r>
        <w:t xml:space="preserve">favored by </w:t>
      </w:r>
      <w:r w:rsidR="009B5932">
        <w:t>reinforcement probability</w:t>
      </w:r>
      <w:r w:rsidR="00D568F5">
        <w:t xml:space="preserve"> </w:t>
      </w:r>
      <w:r>
        <w:t>on 40% of occurrences and on the alternative panel on 60%.</w:t>
      </w:r>
      <w:r w:rsidR="00B14E71">
        <w:t xml:space="preserve"> </w:t>
      </w:r>
      <w:commentRangeStart w:id="29"/>
      <w:r>
        <w:t xml:space="preserve">The partial correlations among </w:t>
      </w:r>
      <w:r w:rsidR="009B5932">
        <w:t>reinforcement probability</w:t>
      </w:r>
      <w:r>
        <w:t xml:space="preserve">, </w:t>
      </w:r>
      <w:r w:rsidR="00B14E71">
        <w:t>appetitive stimulus</w:t>
      </w:r>
      <w:r>
        <w:t xml:space="preserve">, and </w:t>
      </w:r>
      <w:r w:rsidR="00B14E71">
        <w:t xml:space="preserve">aversive stimulus </w:t>
      </w:r>
      <w:r>
        <w:t xml:space="preserve">are essential to identification and are set deliberately. </w:t>
      </w:r>
      <w:commentRangeEnd w:id="29"/>
      <w:r w:rsidR="00B7025F">
        <w:rPr>
          <w:rStyle w:val="CommentReference"/>
          <w:sz w:val="24"/>
          <w:szCs w:val="22"/>
        </w:rPr>
        <w:commentReference w:id="29"/>
      </w:r>
      <w:r>
        <w:t>Congruence is arranged in opposite directions for the appetitive and aversive stimuli so that the two are not collinear with each other.</w:t>
      </w:r>
    </w:p>
    <w:p w14:paraId="49FA1553" w14:textId="77777777" w:rsidR="00671CCE" w:rsidRDefault="00000000">
      <w:r>
        <w:rPr>
          <w:b/>
        </w:rPr>
        <w:t>Design</w:t>
      </w:r>
    </w:p>
    <w:p w14:paraId="1A10ECCB" w14:textId="77777777" w:rsidR="00671CCE" w:rsidRDefault="00000000">
      <w:r>
        <w:rPr>
          <w:b/>
          <w:i/>
        </w:rPr>
        <w:t>Block Structure</w:t>
      </w:r>
    </w:p>
    <w:p w14:paraId="1658E0D8" w14:textId="7D9454B7" w:rsidR="00671CCE" w:rsidRDefault="00000000" w:rsidP="00B7025F">
      <w:pPr>
        <w:ind w:firstLine="720"/>
      </w:pPr>
      <w:r>
        <w:t xml:space="preserve">The session is divided into blocks of 100 consecutive responses. </w:t>
      </w:r>
      <w:r w:rsidR="009B5932">
        <w:t>Reinforcement probability</w:t>
      </w:r>
      <w:r>
        <w:t xml:space="preserve"> changes state at each block boundary, alternating between a biased state and its reversal, with the favored panel drawn subject to the constraint that consecutive blocks differ. Block boundaries are not marked on the display.</w:t>
      </w:r>
    </w:p>
    <w:p w14:paraId="6AB681AD" w14:textId="77777777" w:rsidR="00671CCE" w:rsidRDefault="00000000">
      <w:pPr>
        <w:ind w:firstLine="720"/>
      </w:pPr>
      <w:r>
        <w:lastRenderedPageBreak/>
        <w:t>Block length follows from measurement. In the previous study, an unsignaled reversal of the reinforcement contingency produced a displacement in allocation that reached maximum 16 to 23 responses after onset and returned to baseline by 24 to 32 responses. A block of 100 responses therefore contains the complete transition together with approximately 68 subsequent responses at the new steady state. Shorter blocks would yield additional transitions but would terminate before allocation had stabilized, so that the magnitude of each shift would be underestimated; longer blocks would estimate magnitudes more precisely while yielding too few transitions to characterize their time course.</w:t>
      </w:r>
    </w:p>
    <w:p w14:paraId="7699C76D" w14:textId="77777777" w:rsidR="00671CCE" w:rsidRDefault="00000000">
      <w:r>
        <w:rPr>
          <w:b/>
          <w:i/>
        </w:rPr>
        <w:t>Scheduling of Momentary Stimuli</w:t>
      </w:r>
    </w:p>
    <w:p w14:paraId="6BD24FFB" w14:textId="0050ADA7" w:rsidR="00671CCE" w:rsidRDefault="00863487">
      <w:pPr>
        <w:ind w:firstLine="720"/>
      </w:pPr>
      <w:r>
        <w:t xml:space="preserve">Appetitive and aversive stimuli </w:t>
      </w:r>
      <w:r w:rsidR="00000000">
        <w:t>are scheduled on a variable-response schedule with a minimum inter-stimulus interval of 15 responses and a mean of 20, drawn independently for each stimulus type. The minimum interval is required for identification. If momentary stimuli occurred at a fixed probability per response, successive occurrences would fall within one another</w:t>
      </w:r>
      <w:r w:rsidR="001572C9">
        <w:t>’</w:t>
      </w:r>
      <w:r w:rsidR="00000000">
        <w:t>s recovery windows and lags beyond the mean interval would be uninterpretable. The constraint guarantees that each occurrence is followed by at least 15 responses free of further stimuli of that type.</w:t>
      </w:r>
      <w:r w:rsidR="00C31A5E">
        <w:t xml:space="preserve"> </w:t>
      </w:r>
      <w:r w:rsidR="00000000">
        <w:t xml:space="preserve">The constraint reduces the rate of momentary stimuli to approximately 5% of responses, in place of the 20% that unconstrained scheduling would permit, so that magnitude estimates for </w:t>
      </w:r>
      <w:r w:rsidR="00C31A5E">
        <w:t>appetitive</w:t>
      </w:r>
      <w:r w:rsidR="00000000">
        <w:t xml:space="preserve"> and </w:t>
      </w:r>
      <w:r w:rsidR="00C31A5E">
        <w:t xml:space="preserve">aversive stimuli </w:t>
      </w:r>
      <w:r w:rsidR="00000000">
        <w:t>rest on fewer observations. Because the experimental question concerns decay rather than magnitude, precision is sacrificed on the dimension on which the question does not depend.</w:t>
      </w:r>
    </w:p>
    <w:p w14:paraId="7E533EA0" w14:textId="77777777" w:rsidR="00671CCE" w:rsidRDefault="00000000">
      <w:r>
        <w:rPr>
          <w:b/>
          <w:i/>
        </w:rPr>
        <w:t>Perturbations</w:t>
      </w:r>
    </w:p>
    <w:p w14:paraId="5A967649" w14:textId="283A96BB" w:rsidR="00671CCE" w:rsidRDefault="00000000" w:rsidP="005E2348">
      <w:pPr>
        <w:ind w:firstLine="720"/>
      </w:pPr>
      <w:r>
        <w:t xml:space="preserve">At scheduled points, </w:t>
      </w:r>
      <w:r w:rsidR="005E2348">
        <w:t>the appetitive stimulus</w:t>
      </w:r>
      <w:r>
        <w:t xml:space="preserve"> is reversed for exactly </w:t>
      </w:r>
      <w:r w:rsidR="00127522">
        <w:t>eight</w:t>
      </w:r>
      <w:r>
        <w:t xml:space="preserve"> responses and then restored, with no accompanying change to the display. Each perturbation is followed by at </w:t>
      </w:r>
      <w:r>
        <w:lastRenderedPageBreak/>
        <w:t xml:space="preserve">least 40 responses during which </w:t>
      </w:r>
      <w:r w:rsidR="000424BC">
        <w:t>appetitive stimulus</w:t>
      </w:r>
      <w:r>
        <w:t xml:space="preserve"> </w:t>
      </w:r>
      <w:r w:rsidR="000424BC">
        <w:t xml:space="preserve">presentation </w:t>
      </w:r>
      <w:r>
        <w:t>is held constant and no momentary stimulus of either type is scheduled, so that return is observed without further disturbance. Perturbations are positioned to fall entirely within a block.</w:t>
      </w:r>
    </w:p>
    <w:p w14:paraId="5944B997" w14:textId="77777777" w:rsidR="00671CCE" w:rsidRDefault="00000000">
      <w:r>
        <w:rPr>
          <w:b/>
          <w:i/>
        </w:rPr>
        <w:t>Session Parameters</w:t>
      </w:r>
    </w:p>
    <w:p w14:paraId="18EFCBF7" w14:textId="6EF79513" w:rsidR="00671CCE" w:rsidRDefault="00000000">
      <w:pPr>
        <w:ind w:firstLine="720"/>
      </w:pPr>
      <w:r>
        <w:t>The procedure terminates after 2,400 responses or 28 min, whichever occurs first. At the median response rate previously observed this corresponds to approximately 11 min and 24 blocks; at the slowest rate previously observed, to 28 min and approximately 17 blocks. The number of blocks completed is recorded and treated as a quantity of interest, because it bounds the number of within-subject replications a participant contributes.</w:t>
      </w:r>
      <w:r w:rsidR="00D27CAD">
        <w:t xml:space="preserve"> </w:t>
      </w:r>
      <w:r>
        <w:t>Participants receive fixed payment independent of points earned. Points serve as feedback only, and this is stated in the instructions.</w:t>
      </w:r>
    </w:p>
    <w:p w14:paraId="42707409" w14:textId="77777777" w:rsidR="00671CCE" w:rsidRDefault="00000000">
      <w:r>
        <w:rPr>
          <w:b/>
        </w:rPr>
        <w:t>Data Analysis</w:t>
      </w:r>
    </w:p>
    <w:p w14:paraId="6F2044AC" w14:textId="77777777" w:rsidR="00671CCE" w:rsidRDefault="00000000">
      <w:r>
        <w:rPr>
          <w:b/>
          <w:i/>
        </w:rPr>
        <w:t>Recorded Variables</w:t>
      </w:r>
    </w:p>
    <w:p w14:paraId="43F77EA8" w14:textId="4177AE63" w:rsidR="00671CCE" w:rsidRDefault="00000000" w:rsidP="004D0E05">
      <w:pPr>
        <w:ind w:firstLine="720"/>
      </w:pPr>
      <w:r>
        <w:t xml:space="preserve">One record per response </w:t>
      </w:r>
      <w:r w:rsidR="00F761B3">
        <w:t xml:space="preserve">contains </w:t>
      </w:r>
      <w:r>
        <w:t xml:space="preserve">the </w:t>
      </w:r>
      <w:r w:rsidR="00F761B3">
        <w:t xml:space="preserve">response option </w:t>
      </w:r>
      <w:r>
        <w:t xml:space="preserve">selected, the outcome, </w:t>
      </w:r>
      <w:r w:rsidR="00F761B3">
        <w:t xml:space="preserve">the </w:t>
      </w:r>
      <w:r w:rsidR="009B5932">
        <w:t>reinforcement probability</w:t>
      </w:r>
      <w:r w:rsidR="00F761B3">
        <w:t xml:space="preserve"> in effect</w:t>
      </w:r>
      <w:r>
        <w:t xml:space="preserve">, the presence and location of </w:t>
      </w:r>
      <w:r w:rsidR="00F761B3">
        <w:t xml:space="preserve">appetitive </w:t>
      </w:r>
      <w:r>
        <w:t xml:space="preserve">or </w:t>
      </w:r>
      <w:r w:rsidR="00F761B3">
        <w:t>aversive stimulus</w:t>
      </w:r>
      <w:r>
        <w:t>, the inter-response time, the block index, the ordinal position of the response within its block, whether a perturbation was in effect, and the number of responses since the most recent perturbation offset. Every quantity described below is derivable from these records without reference to a separate randomization file.</w:t>
      </w:r>
    </w:p>
    <w:p w14:paraId="08C2DCC2" w14:textId="77777777" w:rsidR="00671CCE" w:rsidRDefault="00000000">
      <w:r>
        <w:rPr>
          <w:b/>
          <w:i/>
        </w:rPr>
        <w:t>State Vector and Operator Estimation</w:t>
      </w:r>
    </w:p>
    <w:p w14:paraId="369BBD44" w14:textId="7F214C34" w:rsidR="00671CCE" w:rsidRDefault="00000000" w:rsidP="008C08B9">
      <w:pPr>
        <w:ind w:firstLine="720"/>
      </w:pPr>
      <w:r>
        <w:t xml:space="preserve">Let </w:t>
      </w:r>
      <w:r>
        <w:rPr>
          <w:b/>
        </w:rPr>
        <w:t>x</w:t>
      </w:r>
      <w:r>
        <w:t>(</w:t>
      </w:r>
      <w:r>
        <w:rPr>
          <w:i/>
        </w:rPr>
        <w:t>t</w:t>
      </w:r>
      <w:r>
        <w:t xml:space="preserve">) denote a vector of behavioral measures evaluated at response </w:t>
      </w:r>
      <w:r>
        <w:rPr>
          <w:i/>
        </w:rPr>
        <w:t>t</w:t>
      </w:r>
      <w:r>
        <w:t xml:space="preserve"> and </w:t>
      </w:r>
      <w:r>
        <w:rPr>
          <w:b/>
        </w:rPr>
        <w:t>u</w:t>
      </w:r>
      <w:r>
        <w:t>(</w:t>
      </w:r>
      <w:r>
        <w:rPr>
          <w:i/>
        </w:rPr>
        <w:t>t</w:t>
      </w:r>
      <w:r>
        <w:t>) the vector of environmental variables in effect. Operators are estimated for each participant as</w:t>
      </w:r>
      <w:r w:rsidR="008C08B9">
        <w:t>:</w:t>
      </w:r>
    </w:p>
    <w:p w14:paraId="0FB8BBCA" w14:textId="77777777" w:rsidR="00671CCE" w:rsidRDefault="00000000" w:rsidP="008C08B9">
      <w:pPr>
        <w:ind w:left="720"/>
        <w:jc w:val="center"/>
      </w:pPr>
      <w:r>
        <w:rPr>
          <w:b/>
        </w:rPr>
        <w:t>x</w:t>
      </w:r>
      <w:r>
        <w:t>(</w:t>
      </w:r>
      <w:r>
        <w:rPr>
          <w:i/>
        </w:rPr>
        <w:t>t</w:t>
      </w:r>
      <w:r>
        <w:t xml:space="preserve"> + 1) = </w:t>
      </w:r>
      <w:r>
        <w:rPr>
          <w:b/>
        </w:rPr>
        <w:t>A x</w:t>
      </w:r>
      <w:r>
        <w:t>(</w:t>
      </w:r>
      <w:r>
        <w:rPr>
          <w:i/>
        </w:rPr>
        <w:t>t</w:t>
      </w:r>
      <w:r>
        <w:t xml:space="preserve">) + </w:t>
      </w:r>
      <w:r>
        <w:rPr>
          <w:b/>
        </w:rPr>
        <w:t>B u</w:t>
      </w:r>
      <w:r>
        <w:t>(</w:t>
      </w:r>
      <w:r>
        <w:rPr>
          <w:i/>
        </w:rPr>
        <w:t>t</w:t>
      </w:r>
      <w:r>
        <w:t xml:space="preserve">) + </w:t>
      </w:r>
      <w:r>
        <w:rPr>
          <w:b/>
        </w:rPr>
        <w:t>c</w:t>
      </w:r>
      <w:r>
        <w:t>.</w:t>
      </w:r>
    </w:p>
    <w:p w14:paraId="185DA3FC" w14:textId="6C19C85A" w:rsidR="00671CCE" w:rsidRDefault="00000000" w:rsidP="00D9675C">
      <w:r>
        <w:lastRenderedPageBreak/>
        <w:t>The state is constructed without aggregation into bins</w:t>
      </w:r>
      <w:r w:rsidR="005E1366">
        <w:t xml:space="preserve">. Rather, </w:t>
      </w:r>
      <w:r>
        <w:t xml:space="preserve">the state is a lag embedding of the response series, comprising the recorded response-level measures over the preceding </w:t>
      </w:r>
      <w:r>
        <w:rPr>
          <w:i/>
        </w:rPr>
        <w:t>k</w:t>
      </w:r>
      <w:r>
        <w:t xml:space="preserve"> responses, so that each response contributes a transition. Embedding order </w:t>
      </w:r>
      <w:r>
        <w:rPr>
          <w:i/>
        </w:rPr>
        <w:t>k</w:t>
      </w:r>
      <w:r>
        <w:t xml:space="preserve"> is selected for each participant by held-out predictive likelihood.</w:t>
      </w:r>
      <w:r w:rsidR="00D9675C">
        <w:t xml:space="preserve"> </w:t>
      </w:r>
      <w:r>
        <w:t xml:space="preserve">Fits are evaluated as skill relative to a persistence baseline on temporally held-out responses, 1 − </w:t>
      </w:r>
      <w:r>
        <w:rPr>
          <w:i/>
        </w:rPr>
        <w:t>MSE</w:t>
      </w:r>
      <w:r>
        <w:t>/</w:t>
      </w:r>
      <w:r>
        <w:rPr>
          <w:i/>
        </w:rPr>
        <w:t>MSE</w:t>
      </w:r>
      <w:r w:rsidR="00D9675C">
        <w:rPr>
          <w:i/>
        </w:rPr>
        <w:t xml:space="preserve"> </w:t>
      </w:r>
      <w:r>
        <w:t>persistence, and not by within-sample fit.</w:t>
      </w:r>
    </w:p>
    <w:p w14:paraId="5B68CB9E" w14:textId="77777777" w:rsidR="00671CCE" w:rsidRDefault="00000000">
      <w:r>
        <w:rPr>
          <w:b/>
          <w:i/>
        </w:rPr>
        <w:t>Analysis of Individual Transitions</w:t>
      </w:r>
    </w:p>
    <w:p w14:paraId="7E9F0065" w14:textId="62917916" w:rsidR="00671CCE" w:rsidRDefault="00000000">
      <w:pPr>
        <w:ind w:firstLine="720"/>
      </w:pPr>
      <w:r>
        <w:t xml:space="preserve">Each block boundary constitutes a within-subject replication. For each boundary the following are computed: the direction of change in allocation over the 32 responses following the boundary relative to the 32 preceding it, the magnitude of that change, and whether the direction corresponds to the arrangement. Results are reported for each participant as counts of replications, in the form </w:t>
      </w:r>
      <w:r>
        <w:rPr>
          <w:i/>
        </w:rPr>
        <w:t>k</w:t>
      </w:r>
      <w:r>
        <w:t xml:space="preserve"> of </w:t>
      </w:r>
      <w:r>
        <w:rPr>
          <w:i/>
        </w:rPr>
        <w:t>m</w:t>
      </w:r>
      <w:r>
        <w:t xml:space="preserve"> boundaries exhibited the arranged effect, rather than as a mean across boundaries, which would obscure a participant who reversed on half of them.</w:t>
      </w:r>
      <w:r w:rsidR="003072C9">
        <w:t xml:space="preserve"> </w:t>
      </w:r>
      <w:r>
        <w:t>Decay rates are estimated for each participant across that participant</w:t>
      </w:r>
      <w:r w:rsidR="001572C9">
        <w:t>’</w:t>
      </w:r>
      <w:r>
        <w:t>s transitions, because a single transition of approximately 32 binary responses does not support a reliable rate estimate.</w:t>
      </w:r>
    </w:p>
    <w:p w14:paraId="34DF11D0" w14:textId="77777777" w:rsidR="00671CCE" w:rsidRDefault="00000000">
      <w:r>
        <w:rPr>
          <w:b/>
          <w:i/>
        </w:rPr>
        <w:t>Primary Comparison</w:t>
      </w:r>
    </w:p>
    <w:p w14:paraId="60F19479" w14:textId="1B6B2510" w:rsidR="00671CCE" w:rsidRDefault="00000000">
      <w:pPr>
        <w:ind w:firstLine="720"/>
      </w:pPr>
      <w:r>
        <w:t xml:space="preserve">The hypothesis under test is that </w:t>
      </w:r>
      <w:r w:rsidR="00DB0D05">
        <w:t xml:space="preserve">behavior is </w:t>
      </w:r>
      <w:r>
        <w:t>influence</w:t>
      </w:r>
      <w:r w:rsidR="00DB0D05">
        <w:t>d</w:t>
      </w:r>
      <w:r>
        <w:t xml:space="preserve"> </w:t>
      </w:r>
      <w:r w:rsidR="00DB0D05">
        <w:t xml:space="preserve">by </w:t>
      </w:r>
      <w:r>
        <w:t>two separable components, magnitude and persistence, and that measures without a representation of time conflate them.</w:t>
      </w:r>
      <w:r w:rsidR="00DB0D05">
        <w:t xml:space="preserve"> </w:t>
      </w:r>
      <w:r>
        <w:t xml:space="preserve">Two quantities are estimated per participant for each of </w:t>
      </w:r>
      <w:r w:rsidR="009B5932">
        <w:t>reinforcement probability</w:t>
      </w:r>
      <w:r>
        <w:t xml:space="preserve">, </w:t>
      </w:r>
      <w:r w:rsidR="00AD132C">
        <w:t>appetitive stimulus</w:t>
      </w:r>
      <w:r>
        <w:t xml:space="preserve">, and </w:t>
      </w:r>
      <w:r w:rsidR="00AD132C">
        <w:t>aversive stimulus</w:t>
      </w:r>
      <w:r>
        <w:t xml:space="preserve">. The first is magnitude: the asymptotic displacement in allocation attributable to the variable, obtained from the steady-state portion of blocks for </w:t>
      </w:r>
      <w:r w:rsidR="009B5932">
        <w:t xml:space="preserve">reinforcement probability </w:t>
      </w:r>
      <w:r>
        <w:t xml:space="preserve">and from the immediate response (lags 0 and 1) for </w:t>
      </w:r>
      <w:r w:rsidR="009B5932">
        <w:t>appetitive</w:t>
      </w:r>
      <w:r>
        <w:t xml:space="preserve"> and </w:t>
      </w:r>
      <w:r w:rsidR="009B5932">
        <w:t>aversive stimuli</w:t>
      </w:r>
      <w:r>
        <w:t xml:space="preserve">. The second is persistence: the decay of that displacement, obtained without reference to any </w:t>
      </w:r>
      <w:r>
        <w:lastRenderedPageBreak/>
        <w:t>model as the profile of allocation at lags 1 through 15 following each momentary stimulus, and at lags 1 through 40 following each perturbation offset.</w:t>
      </w:r>
    </w:p>
    <w:p w14:paraId="2ED9CDBC" w14:textId="1A21E3EB" w:rsidR="00671CCE" w:rsidRDefault="00000000">
      <w:pPr>
        <w:ind w:firstLine="720"/>
      </w:pPr>
      <w:r>
        <w:t xml:space="preserve">The model-free decay profile serves as the criterion against which the estimated operator is evaluated. The spectral prediction is that the eigenvalue associated </w:t>
      </w:r>
      <w:commentRangeStart w:id="30"/>
      <w:r>
        <w:t xml:space="preserve">with the mode a variable drives </w:t>
      </w:r>
      <w:commentRangeEnd w:id="30"/>
      <w:r w:rsidR="00374A12">
        <w:rPr>
          <w:rStyle w:val="CommentReference"/>
          <w:sz w:val="24"/>
          <w:szCs w:val="22"/>
        </w:rPr>
        <w:commentReference w:id="30"/>
      </w:r>
      <w:r>
        <w:t>corresponds to that variable</w:t>
      </w:r>
      <w:r w:rsidR="001572C9">
        <w:t>’</w:t>
      </w:r>
      <w:r>
        <w:t>s measured decay; this correspondence is tested rather than assumed.</w:t>
      </w:r>
    </w:p>
    <w:p w14:paraId="74B66EB9" w14:textId="058614A6" w:rsidR="00671CCE" w:rsidRDefault="00000000">
      <w:pPr>
        <w:ind w:firstLine="720"/>
      </w:pPr>
      <w:r>
        <w:t xml:space="preserve">The critical comparison concerns variables matched in magnitude and differing in persistence. The arranged effect of </w:t>
      </w:r>
      <w:r w:rsidR="00513049">
        <w:t>appetitive stimulus</w:t>
      </w:r>
      <w:r>
        <w:t xml:space="preserve"> terminates with the response on which it occurs, whereas </w:t>
      </w:r>
      <w:r w:rsidR="00513049">
        <w:t xml:space="preserve">reinforcement probability </w:t>
      </w:r>
      <w:r>
        <w:t xml:space="preserve">must be integrated across responses to be detected. Any influence of </w:t>
      </w:r>
      <w:r w:rsidR="00513049">
        <w:t xml:space="preserve">appetitive stimulus </w:t>
      </w:r>
      <w:r>
        <w:t>at lag 1 or beyond therefore constitutes behavioral persistence rather than continued arrangement. Where the estimated magnitudes of two variables are statistically indistinguishable for a participant while their measured decay profiles differ, an analysis based on the matching law and one based on signal-detection theory must return equivalent values for both, because neither represents time. The spectrum returns different eigenvalues.</w:t>
      </w:r>
    </w:p>
    <w:p w14:paraId="15C2AFB6" w14:textId="77777777" w:rsidR="00671CCE" w:rsidRDefault="00000000">
      <w:r>
        <w:rPr>
          <w:b/>
          <w:i/>
        </w:rPr>
        <w:t>Comparison Measures</w:t>
      </w:r>
    </w:p>
    <w:p w14:paraId="68DBA05F" w14:textId="77777777" w:rsidR="00671CCE" w:rsidRDefault="00000000" w:rsidP="00513049">
      <w:pPr>
        <w:ind w:firstLine="720"/>
      </w:pPr>
      <w:r>
        <w:t xml:space="preserve">Sensitivity to reinforcement in the generalized matching law and log </w:t>
      </w:r>
      <w:r>
        <w:rPr>
          <w:i/>
        </w:rPr>
        <w:t>d</w:t>
      </w:r>
      <w:r>
        <w:t xml:space="preserve"> for each signaled stimulus are computed on the identical response series for each participant. These constitute the established measures of relative influence and are reported alongside the operator estimates rather than in place of them.</w:t>
      </w:r>
    </w:p>
    <w:p w14:paraId="4CA452C0" w14:textId="77777777" w:rsidR="00671CCE" w:rsidRDefault="00000000">
      <w:r>
        <w:rPr>
          <w:b/>
          <w:i/>
        </w:rPr>
        <w:t>Reference Distributions and Validation</w:t>
      </w:r>
    </w:p>
    <w:p w14:paraId="57075B5A" w14:textId="2A235A9C" w:rsidR="00671CCE" w:rsidRDefault="00000000" w:rsidP="00513049">
      <w:pPr>
        <w:ind w:firstLine="720"/>
      </w:pPr>
      <w:r>
        <w:t>No estimate is interpreted without a reference distribution computed from the same participant</w:t>
      </w:r>
      <w:r w:rsidR="001572C9">
        <w:t>’</w:t>
      </w:r>
      <w:r>
        <w:t xml:space="preserve">s data. For operator invariance, the reference is the distribution of spectral distances </w:t>
      </w:r>
      <w:r>
        <w:lastRenderedPageBreak/>
        <w:t>between two independent estimates of the same operator at equal sample size. For eigenvector comparisons, the reference is the same-operator cosine floor. For per-variable control, the reference is a permutation that removes the identity of each variable while preserving the choice structure and the participant</w:t>
      </w:r>
      <w:r w:rsidR="001572C9">
        <w:t>’</w:t>
      </w:r>
      <w:r>
        <w:t>s responses.</w:t>
      </w:r>
    </w:p>
    <w:p w14:paraId="474F0902" w14:textId="746F35FC" w:rsidR="00F6446A" w:rsidRPr="00F6446A" w:rsidRDefault="00F6446A" w:rsidP="000E5E77">
      <w:pPr>
        <w:jc w:val="center"/>
        <w:rPr>
          <w:b/>
          <w:bCs/>
        </w:rPr>
      </w:pPr>
      <w:r>
        <w:rPr>
          <w:b/>
          <w:bCs/>
        </w:rPr>
        <w:t>Results</w:t>
      </w:r>
    </w:p>
    <w:p w14:paraId="6DAE28F6" w14:textId="1AB916FA" w:rsidR="00F6446A" w:rsidRDefault="00F6446A">
      <w:pPr>
        <w:ind w:firstLine="720"/>
      </w:pPr>
      <w:r>
        <w:t>[Add when they come in.]</w:t>
      </w:r>
    </w:p>
    <w:p w14:paraId="7D36EE13" w14:textId="67778282" w:rsidR="00F6446A" w:rsidRPr="00F6446A" w:rsidRDefault="00F6446A" w:rsidP="00F6446A">
      <w:pPr>
        <w:jc w:val="center"/>
        <w:rPr>
          <w:b/>
          <w:bCs/>
        </w:rPr>
      </w:pPr>
      <w:r>
        <w:rPr>
          <w:b/>
          <w:bCs/>
        </w:rPr>
        <w:t>Discussion</w:t>
      </w:r>
    </w:p>
    <w:p w14:paraId="389ABF18" w14:textId="62CF2EEB" w:rsidR="00F6446A" w:rsidRDefault="00F6446A">
      <w:pPr>
        <w:ind w:firstLine="720"/>
      </w:pPr>
      <w:r>
        <w:t>[Add once results are known.]</w:t>
      </w:r>
    </w:p>
    <w:p w14:paraId="0F1CC700" w14:textId="77777777" w:rsidR="00F6446A" w:rsidRDefault="00F6446A">
      <w:pPr>
        <w:spacing w:after="200" w:line="276" w:lineRule="auto"/>
        <w:rPr>
          <w:b/>
        </w:rPr>
      </w:pPr>
      <w:r>
        <w:rPr>
          <w:b/>
        </w:rPr>
        <w:br w:type="page"/>
      </w:r>
    </w:p>
    <w:p w14:paraId="06015836" w14:textId="5B20A9BE" w:rsidR="00671CCE" w:rsidRDefault="00000000">
      <w:pPr>
        <w:jc w:val="center"/>
      </w:pPr>
      <w:r>
        <w:rPr>
          <w:b/>
        </w:rPr>
        <w:lastRenderedPageBreak/>
        <w:t>References</w:t>
      </w:r>
    </w:p>
    <w:p w14:paraId="7CA1BD05" w14:textId="77777777" w:rsidR="00671CCE" w:rsidRDefault="00000000">
      <w:pPr>
        <w:ind w:left="720" w:hanging="720"/>
      </w:pPr>
      <w:r>
        <w:t xml:space="preserve">Baum, W. M. (2010). Dynamics of choice: A tutorial. </w:t>
      </w:r>
      <w:r>
        <w:rPr>
          <w:i/>
        </w:rPr>
        <w:t>Journal of the Experimental Analysis of Behavior, 94</w:t>
      </w:r>
      <w:r>
        <w:t>(2), 161–174. https://doi.org/10.1901/jeab.2010.94-161</w:t>
      </w:r>
    </w:p>
    <w:p w14:paraId="63DD6BDD" w14:textId="77777777" w:rsidR="00671CCE" w:rsidRDefault="00000000">
      <w:pPr>
        <w:ind w:left="720" w:hanging="720"/>
      </w:pPr>
      <w:r>
        <w:t xml:space="preserve">Baum, W. M., &amp; Davison, M. (2009). Modeling the dynamics of choice. </w:t>
      </w:r>
      <w:r>
        <w:rPr>
          <w:i/>
        </w:rPr>
        <w:t>Behavioural Processes, 81</w:t>
      </w:r>
      <w:r>
        <w:t>(2), 189–194. https://doi.org/10.1016/j.beproc.2009.01.005</w:t>
      </w:r>
    </w:p>
    <w:p w14:paraId="407FF1A6" w14:textId="77777777" w:rsidR="00671CCE" w:rsidRDefault="00000000">
      <w:pPr>
        <w:ind w:left="720" w:hanging="720"/>
      </w:pPr>
      <w:r>
        <w:t xml:space="preserve">Davison, M. (2018). Divided stimulus control: Which key did you peck, or what color was it? </w:t>
      </w:r>
      <w:r>
        <w:rPr>
          <w:i/>
        </w:rPr>
        <w:t>Journal of the Experimental Analysis of Behavior, 109</w:t>
      </w:r>
      <w:r>
        <w:t>(1), 107–124. https://doi.org/10.1002/jeab.295</w:t>
      </w:r>
    </w:p>
    <w:p w14:paraId="07664A85" w14:textId="77777777" w:rsidR="00671CCE" w:rsidRDefault="00000000">
      <w:pPr>
        <w:ind w:left="720" w:hanging="720"/>
      </w:pPr>
      <w:r>
        <w:t xml:space="preserve">Davison, M., &amp; Elliffe, D. (2010). Divided stimulus control: A replication and a quantitative model. </w:t>
      </w:r>
      <w:r>
        <w:rPr>
          <w:i/>
        </w:rPr>
        <w:t>Journal of the Experimental Analysis of Behavior, 94</w:t>
      </w:r>
      <w:r>
        <w:t>(1), 13–23. https://doi.org/10.1901/jeab.2010.94-13</w:t>
      </w:r>
    </w:p>
    <w:p w14:paraId="7A45824A" w14:textId="77777777" w:rsidR="00671CCE" w:rsidRDefault="00000000">
      <w:pPr>
        <w:ind w:left="720" w:hanging="720"/>
      </w:pPr>
      <w:r>
        <w:t xml:space="preserve">Davison, M., &amp; Nevin, J. A. (1999). Stimuli, reinforcers, and behavior: An integration. </w:t>
      </w:r>
      <w:r>
        <w:rPr>
          <w:i/>
        </w:rPr>
        <w:t>Journal of the Experimental Analysis of Behavior, 71</w:t>
      </w:r>
      <w:r>
        <w:t>(3), 439–482. https://doi.org/10.1901/jeab.1999.71-439</w:t>
      </w:r>
    </w:p>
    <w:p w14:paraId="57A45701" w14:textId="77777777" w:rsidR="00671CCE" w:rsidRDefault="00000000">
      <w:pPr>
        <w:ind w:left="720" w:hanging="720"/>
      </w:pPr>
      <w:r>
        <w:t xml:space="preserve">Davison, M., &amp; Tustin, R. D. (1978). The relation between the generalized matching law and signal-detection theory. </w:t>
      </w:r>
      <w:r>
        <w:rPr>
          <w:i/>
        </w:rPr>
        <w:t>Journal of the Experimental Analysis of Behavior, 29</w:t>
      </w:r>
      <w:r>
        <w:t>(2), 331–336. https://doi.org/10.1901/jeab.1978.29-331</w:t>
      </w:r>
    </w:p>
    <w:p w14:paraId="56AAA072" w14:textId="77777777" w:rsidR="00671CCE" w:rsidRDefault="00000000">
      <w:pPr>
        <w:ind w:left="720" w:hanging="720"/>
      </w:pPr>
      <w:r>
        <w:t xml:space="preserve">Gomes-Ng, S., Austin, T., Bai, J. Y. H., Landon, J., &amp; Cowie, S. (2026). Divided control by past behavior, present stimuli, and future outcome value in a concurrent-chains procedure. </w:t>
      </w:r>
      <w:r>
        <w:rPr>
          <w:i/>
        </w:rPr>
        <w:t>Journal of the Experimental Analysis of Behavior, 125</w:t>
      </w:r>
      <w:r>
        <w:t>, e70087. https://doi.org/10.1002/jeab.70087</w:t>
      </w:r>
    </w:p>
    <w:p w14:paraId="6ADA2282" w14:textId="77777777" w:rsidR="00671CCE" w:rsidRDefault="00000000">
      <w:pPr>
        <w:ind w:left="720" w:hanging="720"/>
      </w:pPr>
      <w:r>
        <w:lastRenderedPageBreak/>
        <w:t xml:space="preserve">Gomes-Ng, S., Cowie, S., &amp; Elliffe, D. (2023). Divided stimulus control depends on differential and nondifferential reinforcement: Testing a quantitative model. </w:t>
      </w:r>
      <w:r>
        <w:rPr>
          <w:i/>
        </w:rPr>
        <w:t>Journal of the Experimental Analysis of Behavior, 120</w:t>
      </w:r>
      <w:r>
        <w:t>(3), 344–362. https://doi.org/10.1002/jeab.876</w:t>
      </w:r>
    </w:p>
    <w:p w14:paraId="4D6AC10C" w14:textId="77777777" w:rsidR="00671CCE" w:rsidRDefault="00000000">
      <w:pPr>
        <w:ind w:left="720" w:hanging="720"/>
      </w:pPr>
      <w:r>
        <w:t xml:space="preserve">Gomes-Ng, S., Elliffe, D., &amp; Cowie, S. (2026). Divided stimulus control depends on global, but not local, reinforcement contingencies. </w:t>
      </w:r>
      <w:r>
        <w:rPr>
          <w:i/>
        </w:rPr>
        <w:t>Journal of the Experimental Analysis of Behavior, 126</w:t>
      </w:r>
      <w:r>
        <w:t>(2), e70127. https://doi.org/10.1002/jeab.70127</w:t>
      </w:r>
    </w:p>
    <w:p w14:paraId="137CD1E3" w14:textId="77777777" w:rsidR="00671CCE" w:rsidRDefault="00000000">
      <w:pPr>
        <w:ind w:left="720" w:hanging="720"/>
      </w:pPr>
      <w:r>
        <w:t xml:space="preserve">McDowell, J. J, Bass, R., &amp; Kessel, R. (1992). Applying linear systems analysis to dynamic behavior. </w:t>
      </w:r>
      <w:r>
        <w:rPr>
          <w:i/>
        </w:rPr>
        <w:t>Journal of the Experimental Analysis of Behavior, 57</w:t>
      </w:r>
      <w:r>
        <w:t>(3), 377–391. https://doi.org/10.1901/jeab.1992.57-377</w:t>
      </w:r>
    </w:p>
    <w:p w14:paraId="368CB3DA" w14:textId="77777777" w:rsidR="00671CCE" w:rsidRDefault="00000000">
      <w:pPr>
        <w:ind w:left="720" w:hanging="720"/>
      </w:pPr>
      <w:r>
        <w:t xml:space="preserve">Nevin, J. A. (1992). An integrative model for the study of behavioral momentum. </w:t>
      </w:r>
      <w:r>
        <w:rPr>
          <w:i/>
        </w:rPr>
        <w:t>Journal of the Experimental Analysis of Behavior, 57</w:t>
      </w:r>
      <w:r>
        <w:t>(3), 301–316. https://doi.org/10.1901/jeab.1992.57-301</w:t>
      </w:r>
    </w:p>
    <w:p w14:paraId="4EDC897C" w14:textId="77777777" w:rsidR="00671CCE" w:rsidRDefault="00000000">
      <w:pPr>
        <w:ind w:left="720" w:hanging="720"/>
      </w:pPr>
      <w:r>
        <w:t xml:space="preserve">Nevin, J. A., Davison, M., &amp; Shahan, T. A. (2005). A theory of attending and reinforcement in conditional discriminations. </w:t>
      </w:r>
      <w:r>
        <w:rPr>
          <w:i/>
        </w:rPr>
        <w:t>Journal of the Experimental Analysis of Behavior, 84</w:t>
      </w:r>
      <w:r>
        <w:t>(2), 281–303. https://doi.org/10.1901/jeab.2005.97-04</w:t>
      </w:r>
    </w:p>
    <w:p w14:paraId="7D934B56" w14:textId="77777777" w:rsidR="00671CCE" w:rsidRDefault="00000000">
      <w:pPr>
        <w:ind w:left="720" w:hanging="720"/>
      </w:pPr>
      <w:r>
        <w:t xml:space="preserve">Reynolds, G. S. (1961). Attention in the pigeon. </w:t>
      </w:r>
      <w:r>
        <w:rPr>
          <w:i/>
        </w:rPr>
        <w:t>Journal of the Experimental Analysis of Behavior, 4</w:t>
      </w:r>
      <w:r>
        <w:t>(3), 203–208. https://doi.org/10.1901/jeab.1961.4-203</w:t>
      </w:r>
    </w:p>
    <w:p w14:paraId="16BE14A9" w14:textId="77777777" w:rsidR="00671CCE" w:rsidRDefault="00000000">
      <w:pPr>
        <w:ind w:left="720" w:hanging="720"/>
      </w:pPr>
      <w:r>
        <w:t xml:space="preserve">Shahan, T. A., &amp; Podlesnik, C. A. (2006). Divided attention performance and the matching law. </w:t>
      </w:r>
      <w:r>
        <w:rPr>
          <w:i/>
        </w:rPr>
        <w:t>Learning &amp; Behavior, 34</w:t>
      </w:r>
      <w:r>
        <w:t>(3), 255–261. https://doi.org/10.3758/BF03192881</w:t>
      </w:r>
    </w:p>
    <w:p w14:paraId="152B58F6" w14:textId="77777777" w:rsidR="00671CCE" w:rsidRDefault="00000000">
      <w:pPr>
        <w:ind w:left="720" w:hanging="720"/>
      </w:pPr>
      <w:r>
        <w:t xml:space="preserve">Vyazovska, O. V., Teng, Y., &amp; Wasserman, E. A. (2014). Attentional tradeoffs in the pigeon. </w:t>
      </w:r>
      <w:r>
        <w:rPr>
          <w:i/>
        </w:rPr>
        <w:t>Journal of the Experimental Analysis of Behavior, 101</w:t>
      </w:r>
      <w:r>
        <w:t>(3), 337–354. https://doi.org/10.1002/jeab.84</w:t>
      </w:r>
    </w:p>
    <w:sectPr w:rsidR="00671CCE" w:rsidSect="00034616">
      <w:head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David Cox" w:date="2026-09-13T16:34:00Z" w:initials="DC">
    <w:p w14:paraId="47048CA9" w14:textId="77777777" w:rsidR="00AB05D7" w:rsidRDefault="00AB05D7" w:rsidP="00AB05D7">
      <w:r>
        <w:rPr>
          <w:rStyle w:val="CommentReference"/>
        </w:rPr>
        <w:annotationRef/>
      </w:r>
      <w:r>
        <w:rPr>
          <w:sz w:val="20"/>
          <w:szCs w:val="20"/>
        </w:rPr>
        <w:t xml:space="preserve">Vague referent. Be specific. </w:t>
      </w:r>
    </w:p>
  </w:comment>
  <w:comment w:id="1" w:author="David Cox" w:date="2026-09-13T16:34:00Z" w:initials="DC">
    <w:p w14:paraId="084C2269" w14:textId="77777777" w:rsidR="00AB05D7" w:rsidRDefault="00AB05D7" w:rsidP="00AB05D7">
      <w:r>
        <w:rPr>
          <w:rStyle w:val="CommentReference"/>
        </w:rPr>
        <w:annotationRef/>
      </w:r>
      <w:r>
        <w:rPr>
          <w:sz w:val="20"/>
          <w:szCs w:val="20"/>
        </w:rPr>
        <w:t xml:space="preserve">Need to show the equation to prove this is true. </w:t>
      </w:r>
    </w:p>
  </w:comment>
  <w:comment w:id="2" w:author="David Cox" w:date="2026-09-13T16:34:00Z" w:initials="DC">
    <w:p w14:paraId="7F912294" w14:textId="77777777" w:rsidR="00AB05D7" w:rsidRDefault="00AB05D7" w:rsidP="00AB05D7">
      <w:r>
        <w:rPr>
          <w:rStyle w:val="CommentReference"/>
        </w:rPr>
        <w:annotationRef/>
      </w:r>
      <w:r>
        <w:rPr>
          <w:sz w:val="20"/>
          <w:szCs w:val="20"/>
        </w:rPr>
        <w:t xml:space="preserve">Need to show the equation to prove this is true. </w:t>
      </w:r>
    </w:p>
  </w:comment>
  <w:comment w:id="3" w:author="David Cox" w:date="2026-09-13T16:35:00Z" w:initials="DC">
    <w:p w14:paraId="5AA92E64" w14:textId="77777777" w:rsidR="00AB05D7" w:rsidRDefault="00AB05D7" w:rsidP="00AB05D7">
      <w:r>
        <w:rPr>
          <w:rStyle w:val="CommentReference"/>
        </w:rPr>
        <w:annotationRef/>
      </w:r>
      <w:r>
        <w:rPr>
          <w:sz w:val="20"/>
          <w:szCs w:val="20"/>
        </w:rPr>
        <w:t xml:space="preserve">Need to show the equation to prove this is true. </w:t>
      </w:r>
    </w:p>
  </w:comment>
  <w:comment w:id="4" w:author="David Cox" w:date="2026-09-13T16:37:00Z" w:initials="DC">
    <w:p w14:paraId="751A2AC1" w14:textId="77777777" w:rsidR="00573C03" w:rsidRDefault="00573C03" w:rsidP="00573C03">
      <w:r>
        <w:rPr>
          <w:rStyle w:val="CommentReference"/>
        </w:rPr>
        <w:annotationRef/>
      </w:r>
      <w:r>
        <w:rPr>
          <w:sz w:val="20"/>
          <w:szCs w:val="20"/>
        </w:rPr>
        <w:t xml:space="preserve">This is framed in the negative. There are many things it is not. Be direct in what it is missing. </w:t>
      </w:r>
    </w:p>
  </w:comment>
  <w:comment w:id="5" w:author="David Cox" w:date="2026-09-13T16:34:00Z" w:initials="DC">
    <w:p w14:paraId="34821731" w14:textId="77777777" w:rsidR="00AB05D7" w:rsidRDefault="00AB05D7" w:rsidP="00AB05D7">
      <w:r>
        <w:rPr>
          <w:rStyle w:val="CommentReference"/>
        </w:rPr>
        <w:annotationRef/>
      </w:r>
      <w:r>
        <w:rPr>
          <w:sz w:val="20"/>
          <w:szCs w:val="20"/>
        </w:rPr>
        <w:t xml:space="preserve">What do you mean by this? Be explicit. </w:t>
      </w:r>
    </w:p>
  </w:comment>
  <w:comment w:id="6" w:author="David Cox" w:date="2026-09-13T16:37:00Z" w:initials="DC">
    <w:p w14:paraId="59E150D2" w14:textId="77777777" w:rsidR="00573C03" w:rsidRDefault="00573C03" w:rsidP="00573C03">
      <w:r>
        <w:rPr>
          <w:rStyle w:val="CommentReference"/>
        </w:rPr>
        <w:annotationRef/>
      </w:r>
      <w:r>
        <w:rPr>
          <w:sz w:val="20"/>
          <w:szCs w:val="20"/>
        </w:rPr>
        <w:t xml:space="preserve">Need to now show how that's true based on the equations above once added. </w:t>
      </w:r>
    </w:p>
  </w:comment>
  <w:comment w:id="7" w:author="David Cox" w:date="2026-09-13T16:38:00Z" w:initials="DC">
    <w:p w14:paraId="624B91BD" w14:textId="77777777" w:rsidR="00573C03" w:rsidRDefault="00573C03" w:rsidP="00573C03">
      <w:r>
        <w:rPr>
          <w:rStyle w:val="CommentReference"/>
        </w:rPr>
        <w:annotationRef/>
      </w:r>
      <w:r>
        <w:rPr>
          <w:sz w:val="20"/>
          <w:szCs w:val="20"/>
        </w:rPr>
        <w:t xml:space="preserve">Unclear how this relates to "representing time". Be direct. </w:t>
      </w:r>
    </w:p>
  </w:comment>
  <w:comment w:id="8" w:author="David Cox" w:date="2026-09-13T16:48:00Z" w:initials="DC">
    <w:p w14:paraId="04F92D03" w14:textId="77777777" w:rsidR="00CA41E3" w:rsidRDefault="00CA41E3" w:rsidP="00CA41E3">
      <w:r>
        <w:rPr>
          <w:rStyle w:val="CommentReference"/>
        </w:rPr>
        <w:annotationRef/>
      </w:r>
      <w:r>
        <w:rPr>
          <w:sz w:val="20"/>
          <w:szCs w:val="20"/>
        </w:rPr>
        <w:t xml:space="preserve">Lots of jargon here. Consider introducing a footnote to define these terms. </w:t>
      </w:r>
    </w:p>
  </w:comment>
  <w:comment w:id="9" w:author="David Cox" w:date="2026-09-13T16:41:00Z" w:initials="DC">
    <w:p w14:paraId="196D69F4" w14:textId="77777777" w:rsidR="003C4E58" w:rsidRDefault="003C4E58" w:rsidP="003C4E58">
      <w:r>
        <w:rPr>
          <w:rStyle w:val="CommentReference"/>
        </w:rPr>
        <w:annotationRef/>
      </w:r>
      <w:r>
        <w:rPr>
          <w:sz w:val="20"/>
          <w:szCs w:val="20"/>
        </w:rPr>
        <w:t xml:space="preserve">What do you mean by this? Be direct. </w:t>
      </w:r>
    </w:p>
  </w:comment>
  <w:comment w:id="10" w:author="David Cox" w:date="2026-09-13T16:42:00Z" w:initials="DC">
    <w:p w14:paraId="30DBDA24" w14:textId="77777777" w:rsidR="003C4E58" w:rsidRDefault="003C4E58" w:rsidP="003C4E58">
      <w:r>
        <w:rPr>
          <w:rStyle w:val="CommentReference"/>
        </w:rPr>
        <w:annotationRef/>
      </w:r>
      <w:r>
        <w:rPr>
          <w:sz w:val="20"/>
          <w:szCs w:val="20"/>
        </w:rPr>
        <w:t xml:space="preserve">This reads a bit tacked on to the end of the paragraph. Unclear why the reader is being told this. </w:t>
      </w:r>
    </w:p>
  </w:comment>
  <w:comment w:id="11" w:author="David Cox" w:date="2026-09-13T16:43:00Z" w:initials="DC">
    <w:p w14:paraId="43721071" w14:textId="77777777" w:rsidR="003C4E58" w:rsidRDefault="003C4E58" w:rsidP="003C4E58">
      <w:r>
        <w:rPr>
          <w:rStyle w:val="CommentReference"/>
        </w:rPr>
        <w:annotationRef/>
      </w:r>
      <w:r>
        <w:rPr>
          <w:sz w:val="20"/>
          <w:szCs w:val="20"/>
        </w:rPr>
        <w:t>Added often since it doesn't have to be, right? That's just how it's commonly done?</w:t>
      </w:r>
    </w:p>
  </w:comment>
  <w:comment w:id="12" w:author="David Cox" w:date="2026-09-13T16:44:00Z" w:initials="DC">
    <w:p w14:paraId="6ADD0630" w14:textId="77777777" w:rsidR="00CA41E3" w:rsidRDefault="00CA41E3" w:rsidP="00CA41E3">
      <w:r>
        <w:rPr>
          <w:rStyle w:val="CommentReference"/>
        </w:rPr>
        <w:annotationRef/>
      </w:r>
      <w:r>
        <w:rPr>
          <w:sz w:val="20"/>
          <w:szCs w:val="20"/>
        </w:rPr>
        <w:t>What does this have to do with anything? How is that relevant to the topic at hand and what we plan to do?</w:t>
      </w:r>
    </w:p>
  </w:comment>
  <w:comment w:id="13" w:author="David Cox" w:date="2026-09-13T16:44:00Z" w:initials="DC">
    <w:p w14:paraId="2B8D1997" w14:textId="77777777" w:rsidR="00CA41E3" w:rsidRDefault="00CA41E3" w:rsidP="00CA41E3">
      <w:r>
        <w:rPr>
          <w:rStyle w:val="CommentReference"/>
        </w:rPr>
        <w:annotationRef/>
      </w:r>
      <w:r>
        <w:rPr>
          <w:sz w:val="20"/>
          <w:szCs w:val="20"/>
        </w:rPr>
        <w:t>A single influence of what? Something seems to be off with this sentence?</w:t>
      </w:r>
    </w:p>
  </w:comment>
  <w:comment w:id="14" w:author="David Cox" w:date="2026-09-13T16:47:00Z" w:initials="DC">
    <w:p w14:paraId="50385C94" w14:textId="77777777" w:rsidR="00CA41E3" w:rsidRDefault="00CA41E3" w:rsidP="00CA41E3">
      <w:r>
        <w:rPr>
          <w:rStyle w:val="CommentReference"/>
        </w:rPr>
        <w:annotationRef/>
      </w:r>
      <w:r>
        <w:rPr>
          <w:sz w:val="20"/>
          <w:szCs w:val="20"/>
        </w:rPr>
        <w:t xml:space="preserve">Reworded to get after what I think you mean. I think what you're trying to say is that some contingency manipulation (stimulus-stimulus or response-consequence) might change behavior to a known amount (i.e., magnitude of its influence) and, once removed, it may continue to influence behavior for some duration of time (persist). Is that accurate? </w:t>
      </w:r>
    </w:p>
    <w:p w14:paraId="1D4468AB" w14:textId="77777777" w:rsidR="00CA41E3" w:rsidRDefault="00CA41E3" w:rsidP="00CA41E3"/>
    <w:p w14:paraId="400DFC1F" w14:textId="77777777" w:rsidR="00CA41E3" w:rsidRDefault="00CA41E3" w:rsidP="00CA41E3">
      <w:r>
        <w:rPr>
          <w:sz w:val="20"/>
          <w:szCs w:val="20"/>
        </w:rPr>
        <w:t xml:space="preserve">If so, I wonder if a term different from persistence can be used as persistence is offer described as a feature of behavior in behavioral momentum theory preparations. But, we're talking about the persistence of influence of an IV manipulation. This could read confusing for a reader. </w:t>
      </w:r>
    </w:p>
  </w:comment>
  <w:comment w:id="15" w:author="David Cox" w:date="2026-09-13T16:47:00Z" w:initials="DC">
    <w:p w14:paraId="58B2EA4E" w14:textId="77777777" w:rsidR="00CA41E3" w:rsidRDefault="00CA41E3" w:rsidP="00CA41E3">
      <w:r>
        <w:rPr>
          <w:rStyle w:val="CommentReference"/>
        </w:rPr>
        <w:annotationRef/>
      </w:r>
      <w:r>
        <w:rPr>
          <w:sz w:val="20"/>
          <w:szCs w:val="20"/>
        </w:rPr>
        <w:t xml:space="preserve">Unclear what this means. Be explicit. </w:t>
      </w:r>
    </w:p>
  </w:comment>
  <w:comment w:id="16" w:author="David Cox" w:date="2026-09-13T16:50:00Z" w:initials="DC">
    <w:p w14:paraId="0F75E0B8" w14:textId="77777777" w:rsidR="00CA41E3" w:rsidRDefault="00CA41E3" w:rsidP="00CA41E3">
      <w:r>
        <w:rPr>
          <w:rStyle w:val="CommentReference"/>
        </w:rPr>
        <w:annotationRef/>
      </w:r>
      <w:r>
        <w:rPr>
          <w:sz w:val="20"/>
          <w:szCs w:val="20"/>
        </w:rPr>
        <w:t xml:space="preserve">You need to number the equations. </w:t>
      </w:r>
    </w:p>
  </w:comment>
  <w:comment w:id="17" w:author="David Cox" w:date="2026-09-13T16:50:00Z" w:initials="DC">
    <w:p w14:paraId="7C1013E4" w14:textId="77777777" w:rsidR="00CA41E3" w:rsidRDefault="00CA41E3" w:rsidP="00CA41E3">
      <w:r>
        <w:rPr>
          <w:rStyle w:val="CommentReference"/>
        </w:rPr>
        <w:annotationRef/>
      </w:r>
      <w:r>
        <w:rPr>
          <w:sz w:val="20"/>
          <w:szCs w:val="20"/>
        </w:rPr>
        <w:t xml:space="preserve">Relative influence of what? And what is the "spectrum of A"? Readers won't know what that means. You need to define. </w:t>
      </w:r>
    </w:p>
  </w:comment>
  <w:comment w:id="18" w:author="David Cox" w:date="2026-09-13T16:52:00Z" w:initials="DC">
    <w:p w14:paraId="1BD34F83" w14:textId="77777777" w:rsidR="00872E93" w:rsidRDefault="00872E93" w:rsidP="00872E93">
      <w:r>
        <w:rPr>
          <w:rStyle w:val="CommentReference"/>
        </w:rPr>
        <w:annotationRef/>
      </w:r>
      <w:r>
        <w:rPr>
          <w:sz w:val="20"/>
          <w:szCs w:val="20"/>
        </w:rPr>
        <w:t xml:space="preserve">What do you mean here? Be explicit. </w:t>
      </w:r>
    </w:p>
  </w:comment>
  <w:comment w:id="19" w:author="David Cox" w:date="2026-09-13T16:52:00Z" w:initials="DC">
    <w:p w14:paraId="73EBC541" w14:textId="77777777" w:rsidR="00872E93" w:rsidRDefault="00872E93" w:rsidP="00872E93">
      <w:r>
        <w:rPr>
          <w:rStyle w:val="CommentReference"/>
        </w:rPr>
        <w:annotationRef/>
      </w:r>
      <w:r>
        <w:rPr>
          <w:sz w:val="20"/>
          <w:szCs w:val="20"/>
        </w:rPr>
        <w:t xml:space="preserve">What does this mean? Be explicit. </w:t>
      </w:r>
    </w:p>
  </w:comment>
  <w:comment w:id="20" w:author="David Cox" w:date="2026-09-13T16:53:00Z" w:initials="DC">
    <w:p w14:paraId="5EEC4ED8" w14:textId="77777777" w:rsidR="00872E93" w:rsidRDefault="00872E93" w:rsidP="00872E93">
      <w:r>
        <w:rPr>
          <w:rStyle w:val="CommentReference"/>
        </w:rPr>
        <w:annotationRef/>
      </w:r>
      <w:r>
        <w:rPr>
          <w:sz w:val="20"/>
          <w:szCs w:val="20"/>
        </w:rPr>
        <w:t xml:space="preserve">Jargon. Need to explain how this happens and why it is true. </w:t>
      </w:r>
    </w:p>
  </w:comment>
  <w:comment w:id="21" w:author="David Cox" w:date="2026-09-13T16:53:00Z" w:initials="DC">
    <w:p w14:paraId="0D443155" w14:textId="77777777" w:rsidR="00872E93" w:rsidRDefault="00872E93" w:rsidP="00872E93">
      <w:r>
        <w:rPr>
          <w:rStyle w:val="CommentReference"/>
        </w:rPr>
        <w:annotationRef/>
      </w:r>
      <w:r>
        <w:rPr>
          <w:sz w:val="20"/>
          <w:szCs w:val="20"/>
        </w:rPr>
        <w:t xml:space="preserve">Add a footnote defining. </w:t>
      </w:r>
    </w:p>
  </w:comment>
  <w:comment w:id="22" w:author="David Cox" w:date="2026-09-13T16:54:00Z" w:initials="DC">
    <w:p w14:paraId="7CB9AA59" w14:textId="77777777" w:rsidR="000437F9" w:rsidRDefault="000437F9" w:rsidP="000437F9">
      <w:r>
        <w:rPr>
          <w:rStyle w:val="CommentReference"/>
        </w:rPr>
        <w:annotationRef/>
      </w:r>
      <w:r>
        <w:rPr>
          <w:sz w:val="20"/>
          <w:szCs w:val="20"/>
        </w:rPr>
        <w:t xml:space="preserve">This only makes sense if someone knows what an eigenvector is. Need to introduce somewhere before this sentence.  See above potential location. </w:t>
      </w:r>
    </w:p>
  </w:comment>
  <w:comment w:id="23" w:author="David Cox" w:date="2026-09-13T16:57:00Z" w:initials="DC">
    <w:p w14:paraId="6BB427D9" w14:textId="77777777" w:rsidR="00726E6C" w:rsidRDefault="00726E6C" w:rsidP="00726E6C">
      <w:r>
        <w:rPr>
          <w:rStyle w:val="CommentReference"/>
        </w:rPr>
        <w:annotationRef/>
      </w:r>
      <w:r>
        <w:rPr>
          <w:sz w:val="20"/>
          <w:szCs w:val="20"/>
        </w:rPr>
        <w:t xml:space="preserve">Not following what you're trying to say here. Reword. </w:t>
      </w:r>
    </w:p>
  </w:comment>
  <w:comment w:id="24" w:author="David Cox" w:date="2026-09-13T16:57:00Z" w:initials="DC">
    <w:p w14:paraId="087B080B" w14:textId="77777777" w:rsidR="00726E6C" w:rsidRDefault="00726E6C" w:rsidP="00726E6C">
      <w:r>
        <w:rPr>
          <w:rStyle w:val="CommentReference"/>
        </w:rPr>
        <w:annotationRef/>
      </w:r>
      <w:r>
        <w:rPr>
          <w:sz w:val="20"/>
          <w:szCs w:val="20"/>
        </w:rPr>
        <w:t>What three correspondences?</w:t>
      </w:r>
    </w:p>
  </w:comment>
  <w:comment w:id="25" w:author="David Cox" w:date="2026-09-13T16:57:00Z" w:initials="DC">
    <w:p w14:paraId="47F267A0" w14:textId="77777777" w:rsidR="00726E6C" w:rsidRDefault="00726E6C" w:rsidP="00726E6C">
      <w:r>
        <w:rPr>
          <w:rStyle w:val="CommentReference"/>
        </w:rPr>
        <w:annotationRef/>
      </w:r>
      <w:r>
        <w:rPr>
          <w:sz w:val="20"/>
          <w:szCs w:val="20"/>
        </w:rPr>
        <w:t xml:space="preserve">Haven't introduced this term yet. Reader doesn't know what you're tralking about. </w:t>
      </w:r>
    </w:p>
  </w:comment>
  <w:comment w:id="26" w:author="David Cox" w:date="2026-09-13T16:58:00Z" w:initials="DC">
    <w:p w14:paraId="50901DD3" w14:textId="77777777" w:rsidR="00726E6C" w:rsidRDefault="00726E6C" w:rsidP="00726E6C">
      <w:r>
        <w:rPr>
          <w:rStyle w:val="CommentReference"/>
        </w:rPr>
        <w:annotationRef/>
      </w:r>
      <w:r>
        <w:rPr>
          <w:sz w:val="20"/>
          <w:szCs w:val="20"/>
        </w:rPr>
        <w:t>Unclear what is being referenced here?</w:t>
      </w:r>
    </w:p>
  </w:comment>
  <w:comment w:id="27" w:author="David Cox" w:date="2026-09-13T17:00:00Z" w:initials="DC">
    <w:p w14:paraId="0CC04F6F" w14:textId="77777777" w:rsidR="00726E6C" w:rsidRDefault="00726E6C" w:rsidP="00726E6C">
      <w:r>
        <w:rPr>
          <w:rStyle w:val="CommentReference"/>
        </w:rPr>
        <w:annotationRef/>
      </w:r>
      <w:r>
        <w:rPr>
          <w:sz w:val="20"/>
          <w:szCs w:val="20"/>
        </w:rPr>
        <w:t xml:space="preserve">This is info we have. But it is not published. And no one will want to read this section. If we think there is critical information from that pilot needed for the reader to understand what we're doing here, then we should write up that experiment as "Experiment 1" here, and then present this work as Epxeriment 2. </w:t>
      </w:r>
    </w:p>
  </w:comment>
  <w:comment w:id="28" w:author="David Cox" w:date="2026-09-13T17:03:00Z" w:initials="DC">
    <w:p w14:paraId="335089E7" w14:textId="77777777" w:rsidR="002F5989" w:rsidRDefault="002F5989" w:rsidP="002F5989">
      <w:r>
        <w:rPr>
          <w:rStyle w:val="CommentReference"/>
        </w:rPr>
        <w:annotationRef/>
      </w:r>
      <w:r>
        <w:rPr>
          <w:sz w:val="20"/>
          <w:szCs w:val="20"/>
        </w:rPr>
        <w:t xml:space="preserve">What are you referencing here? The pilot? If so, see comment above. If you're referencing the one that's under review, you need to cite it and tell the reader why they should care about that study. If it has no relevance to this, then we don't talk about it. </w:t>
      </w:r>
    </w:p>
  </w:comment>
  <w:comment w:id="29" w:author="David Cox" w:date="2026-09-13T17:06:00Z" w:initials="DC">
    <w:p w14:paraId="1274C487" w14:textId="77777777" w:rsidR="00B7025F" w:rsidRDefault="00B7025F" w:rsidP="00B7025F">
      <w:r>
        <w:rPr>
          <w:rStyle w:val="CommentReference"/>
        </w:rPr>
        <w:annotationRef/>
      </w:r>
      <w:r>
        <w:rPr>
          <w:sz w:val="20"/>
          <w:szCs w:val="20"/>
        </w:rPr>
        <w:t xml:space="preserve">Say what you mean here and why. </w:t>
      </w:r>
    </w:p>
  </w:comment>
  <w:comment w:id="30" w:author="David Cox" w:date="2026-09-13T17:15:00Z" w:initials="DC">
    <w:p w14:paraId="21315F74" w14:textId="77777777" w:rsidR="00374A12" w:rsidRDefault="00374A12" w:rsidP="00374A12">
      <w:r>
        <w:rPr>
          <w:rStyle w:val="CommentReference"/>
        </w:rPr>
        <w:annotationRef/>
      </w:r>
      <w:r>
        <w:rPr>
          <w:sz w:val="20"/>
          <w:szCs w:val="20"/>
        </w:rPr>
        <w:t xml:space="preserve">Awkward wording / reading. Revise.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7048CA9" w15:done="0"/>
  <w15:commentEx w15:paraId="084C2269" w15:done="0"/>
  <w15:commentEx w15:paraId="7F912294" w15:done="0"/>
  <w15:commentEx w15:paraId="5AA92E64" w15:done="0"/>
  <w15:commentEx w15:paraId="751A2AC1" w15:done="0"/>
  <w15:commentEx w15:paraId="34821731" w15:done="0"/>
  <w15:commentEx w15:paraId="59E150D2" w15:done="0"/>
  <w15:commentEx w15:paraId="624B91BD" w15:done="0"/>
  <w15:commentEx w15:paraId="04F92D03" w15:done="0"/>
  <w15:commentEx w15:paraId="196D69F4" w15:done="0"/>
  <w15:commentEx w15:paraId="30DBDA24" w15:done="0"/>
  <w15:commentEx w15:paraId="43721071" w15:done="0"/>
  <w15:commentEx w15:paraId="6ADD0630" w15:done="0"/>
  <w15:commentEx w15:paraId="2B8D1997" w15:done="0"/>
  <w15:commentEx w15:paraId="400DFC1F" w15:done="0"/>
  <w15:commentEx w15:paraId="58B2EA4E" w15:done="0"/>
  <w15:commentEx w15:paraId="0F75E0B8" w15:done="0"/>
  <w15:commentEx w15:paraId="7C1013E4" w15:done="0"/>
  <w15:commentEx w15:paraId="1BD34F83" w15:done="0"/>
  <w15:commentEx w15:paraId="73EBC541" w15:done="0"/>
  <w15:commentEx w15:paraId="5EEC4ED8" w15:done="0"/>
  <w15:commentEx w15:paraId="0D443155" w15:done="0"/>
  <w15:commentEx w15:paraId="7CB9AA59" w15:done="0"/>
  <w15:commentEx w15:paraId="6BB427D9" w15:done="0"/>
  <w15:commentEx w15:paraId="087B080B" w15:done="0"/>
  <w15:commentEx w15:paraId="47F267A0" w15:done="0"/>
  <w15:commentEx w15:paraId="50901DD3" w15:done="0"/>
  <w15:commentEx w15:paraId="0CC04F6F" w15:done="0"/>
  <w15:commentEx w15:paraId="335089E7" w15:done="0"/>
  <w15:commentEx w15:paraId="1274C487" w15:done="0"/>
  <w15:commentEx w15:paraId="21315F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96B1502" w16cex:dateUtc="2026-09-13T20:34:00Z"/>
  <w16cex:commentExtensible w16cex:durableId="7447DA4D" w16cex:dateUtc="2026-09-13T20:34:00Z"/>
  <w16cex:commentExtensible w16cex:durableId="3B50F307" w16cex:dateUtc="2026-09-13T20:34:00Z"/>
  <w16cex:commentExtensible w16cex:durableId="0586D974" w16cex:dateUtc="2026-09-13T20:35:00Z"/>
  <w16cex:commentExtensible w16cex:durableId="51723F13" w16cex:dateUtc="2026-09-13T20:37:00Z"/>
  <w16cex:commentExtensible w16cex:durableId="7EB42D91" w16cex:dateUtc="2026-09-13T20:34:00Z"/>
  <w16cex:commentExtensible w16cex:durableId="66997621" w16cex:dateUtc="2026-09-13T20:37:00Z"/>
  <w16cex:commentExtensible w16cex:durableId="35D9C672" w16cex:dateUtc="2026-09-13T20:38:00Z"/>
  <w16cex:commentExtensible w16cex:durableId="11D10AD6" w16cex:dateUtc="2026-09-13T20:48:00Z"/>
  <w16cex:commentExtensible w16cex:durableId="172C7DEB" w16cex:dateUtc="2026-09-13T20:41:00Z"/>
  <w16cex:commentExtensible w16cex:durableId="52B719AC" w16cex:dateUtc="2026-09-13T20:42:00Z"/>
  <w16cex:commentExtensible w16cex:durableId="4548C1EB" w16cex:dateUtc="2026-09-13T20:43:00Z"/>
  <w16cex:commentExtensible w16cex:durableId="1DD78D14" w16cex:dateUtc="2026-09-13T20:44:00Z"/>
  <w16cex:commentExtensible w16cex:durableId="7DCA3549" w16cex:dateUtc="2026-09-13T20:44:00Z"/>
  <w16cex:commentExtensible w16cex:durableId="59965AFD" w16cex:dateUtc="2026-09-13T20:47:00Z"/>
  <w16cex:commentExtensible w16cex:durableId="49E8E4C2" w16cex:dateUtc="2026-09-13T20:47:00Z"/>
  <w16cex:commentExtensible w16cex:durableId="25671F0D" w16cex:dateUtc="2026-09-13T20:50:00Z"/>
  <w16cex:commentExtensible w16cex:durableId="2E7A799F" w16cex:dateUtc="2026-09-13T20:50:00Z"/>
  <w16cex:commentExtensible w16cex:durableId="02A4A1D2" w16cex:dateUtc="2026-09-13T20:52:00Z"/>
  <w16cex:commentExtensible w16cex:durableId="1F805FC5" w16cex:dateUtc="2026-09-13T20:52:00Z"/>
  <w16cex:commentExtensible w16cex:durableId="5EAE7DCF" w16cex:dateUtc="2026-09-13T20:53:00Z"/>
  <w16cex:commentExtensible w16cex:durableId="2AD40948" w16cex:dateUtc="2026-09-13T20:53:00Z"/>
  <w16cex:commentExtensible w16cex:durableId="2A45A240" w16cex:dateUtc="2026-09-13T20:54:00Z"/>
  <w16cex:commentExtensible w16cex:durableId="0D44F908" w16cex:dateUtc="2026-09-13T20:57:00Z"/>
  <w16cex:commentExtensible w16cex:durableId="33EB874B" w16cex:dateUtc="2026-09-13T20:57:00Z"/>
  <w16cex:commentExtensible w16cex:durableId="6FB64641" w16cex:dateUtc="2026-09-13T20:57:00Z"/>
  <w16cex:commentExtensible w16cex:durableId="627C5627" w16cex:dateUtc="2026-09-13T20:58:00Z"/>
  <w16cex:commentExtensible w16cex:durableId="7F46EC6C" w16cex:dateUtc="2026-09-13T21:00:00Z"/>
  <w16cex:commentExtensible w16cex:durableId="6DA650BD" w16cex:dateUtc="2026-09-13T21:03:00Z"/>
  <w16cex:commentExtensible w16cex:durableId="1D8C9C53" w16cex:dateUtc="2026-09-13T21:06:00Z"/>
  <w16cex:commentExtensible w16cex:durableId="00934CBC" w16cex:dateUtc="2026-09-13T2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7048CA9" w16cid:durableId="196B1502"/>
  <w16cid:commentId w16cid:paraId="084C2269" w16cid:durableId="7447DA4D"/>
  <w16cid:commentId w16cid:paraId="7F912294" w16cid:durableId="3B50F307"/>
  <w16cid:commentId w16cid:paraId="5AA92E64" w16cid:durableId="0586D974"/>
  <w16cid:commentId w16cid:paraId="751A2AC1" w16cid:durableId="51723F13"/>
  <w16cid:commentId w16cid:paraId="34821731" w16cid:durableId="7EB42D91"/>
  <w16cid:commentId w16cid:paraId="59E150D2" w16cid:durableId="66997621"/>
  <w16cid:commentId w16cid:paraId="624B91BD" w16cid:durableId="35D9C672"/>
  <w16cid:commentId w16cid:paraId="04F92D03" w16cid:durableId="11D10AD6"/>
  <w16cid:commentId w16cid:paraId="196D69F4" w16cid:durableId="172C7DEB"/>
  <w16cid:commentId w16cid:paraId="30DBDA24" w16cid:durableId="52B719AC"/>
  <w16cid:commentId w16cid:paraId="43721071" w16cid:durableId="4548C1EB"/>
  <w16cid:commentId w16cid:paraId="6ADD0630" w16cid:durableId="1DD78D14"/>
  <w16cid:commentId w16cid:paraId="2B8D1997" w16cid:durableId="7DCA3549"/>
  <w16cid:commentId w16cid:paraId="400DFC1F" w16cid:durableId="59965AFD"/>
  <w16cid:commentId w16cid:paraId="58B2EA4E" w16cid:durableId="49E8E4C2"/>
  <w16cid:commentId w16cid:paraId="0F75E0B8" w16cid:durableId="25671F0D"/>
  <w16cid:commentId w16cid:paraId="7C1013E4" w16cid:durableId="2E7A799F"/>
  <w16cid:commentId w16cid:paraId="1BD34F83" w16cid:durableId="02A4A1D2"/>
  <w16cid:commentId w16cid:paraId="73EBC541" w16cid:durableId="1F805FC5"/>
  <w16cid:commentId w16cid:paraId="5EEC4ED8" w16cid:durableId="5EAE7DCF"/>
  <w16cid:commentId w16cid:paraId="0D443155" w16cid:durableId="2AD40948"/>
  <w16cid:commentId w16cid:paraId="7CB9AA59" w16cid:durableId="2A45A240"/>
  <w16cid:commentId w16cid:paraId="6BB427D9" w16cid:durableId="0D44F908"/>
  <w16cid:commentId w16cid:paraId="087B080B" w16cid:durableId="33EB874B"/>
  <w16cid:commentId w16cid:paraId="47F267A0" w16cid:durableId="6FB64641"/>
  <w16cid:commentId w16cid:paraId="50901DD3" w16cid:durableId="627C5627"/>
  <w16cid:commentId w16cid:paraId="0CC04F6F" w16cid:durableId="7F46EC6C"/>
  <w16cid:commentId w16cid:paraId="335089E7" w16cid:durableId="6DA650BD"/>
  <w16cid:commentId w16cid:paraId="1274C487" w16cid:durableId="1D8C9C53"/>
  <w16cid:commentId w16cid:paraId="21315F74" w16cid:durableId="00934C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983DE7" w14:textId="77777777" w:rsidR="000C52EC" w:rsidRDefault="000C52EC">
      <w:pPr>
        <w:spacing w:line="240" w:lineRule="auto"/>
      </w:pPr>
      <w:r>
        <w:separator/>
      </w:r>
    </w:p>
  </w:endnote>
  <w:endnote w:type="continuationSeparator" w:id="0">
    <w:p w14:paraId="17750638" w14:textId="77777777" w:rsidR="000C52EC" w:rsidRDefault="000C52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21D540" w14:textId="77777777" w:rsidR="000C52EC" w:rsidRDefault="000C52EC">
      <w:pPr>
        <w:spacing w:line="240" w:lineRule="auto"/>
      </w:pPr>
      <w:r>
        <w:separator/>
      </w:r>
    </w:p>
  </w:footnote>
  <w:footnote w:type="continuationSeparator" w:id="0">
    <w:p w14:paraId="2874EF82" w14:textId="77777777" w:rsidR="000C52EC" w:rsidRDefault="000C52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E05AA9" w14:textId="77777777" w:rsidR="00671CCE" w:rsidRDefault="00000000">
    <w:pPr>
      <w:pStyle w:val="Header"/>
      <w:tabs>
        <w:tab w:val="left" w:pos="9360"/>
      </w:tabs>
    </w:pPr>
    <w:r>
      <w:t>TRANSITION OPERATORS AND MULTIPLE CONTROL</w:t>
    </w:r>
    <w:r>
      <w:tab/>
    </w:r>
    <w:r>
      <w:fldChar w:fldCharType="begin"/>
    </w:r>
    <w:r>
      <w:instrText xml:space="preserve"> PAGE </w:instrText>
    </w:r>
    <w:r w:rsidR="00211B90">
      <w:fldChar w:fldCharType="separate"/>
    </w:r>
    <w:r w:rsidR="00211B9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530746">
    <w:abstractNumId w:val="8"/>
  </w:num>
  <w:num w:numId="2" w16cid:durableId="692651108">
    <w:abstractNumId w:val="6"/>
  </w:num>
  <w:num w:numId="3" w16cid:durableId="1788038227">
    <w:abstractNumId w:val="5"/>
  </w:num>
  <w:num w:numId="4" w16cid:durableId="193033901">
    <w:abstractNumId w:val="4"/>
  </w:num>
  <w:num w:numId="5" w16cid:durableId="917204648">
    <w:abstractNumId w:val="7"/>
  </w:num>
  <w:num w:numId="6" w16cid:durableId="1251742231">
    <w:abstractNumId w:val="3"/>
  </w:num>
  <w:num w:numId="7" w16cid:durableId="727462555">
    <w:abstractNumId w:val="2"/>
  </w:num>
  <w:num w:numId="8" w16cid:durableId="1522472193">
    <w:abstractNumId w:val="1"/>
  </w:num>
  <w:num w:numId="9" w16cid:durableId="9811554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avid Cox">
    <w15:presenceInfo w15:providerId="Windows Live" w15:userId="80f69843015b544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4CA"/>
    <w:rsid w:val="00034616"/>
    <w:rsid w:val="000424BC"/>
    <w:rsid w:val="000437F9"/>
    <w:rsid w:val="0006063C"/>
    <w:rsid w:val="000C52EC"/>
    <w:rsid w:val="000E5E77"/>
    <w:rsid w:val="00127522"/>
    <w:rsid w:val="0015074B"/>
    <w:rsid w:val="001572C9"/>
    <w:rsid w:val="00211B90"/>
    <w:rsid w:val="0029639D"/>
    <w:rsid w:val="002F5989"/>
    <w:rsid w:val="003072C9"/>
    <w:rsid w:val="00326F90"/>
    <w:rsid w:val="00374A12"/>
    <w:rsid w:val="003C4E58"/>
    <w:rsid w:val="00485A0A"/>
    <w:rsid w:val="004D0E05"/>
    <w:rsid w:val="00513049"/>
    <w:rsid w:val="00573C03"/>
    <w:rsid w:val="005E1366"/>
    <w:rsid w:val="005E2348"/>
    <w:rsid w:val="006657D3"/>
    <w:rsid w:val="00671CCE"/>
    <w:rsid w:val="00726E6C"/>
    <w:rsid w:val="00863487"/>
    <w:rsid w:val="00872E93"/>
    <w:rsid w:val="008C08B9"/>
    <w:rsid w:val="008D3D5A"/>
    <w:rsid w:val="008F5F3B"/>
    <w:rsid w:val="009B5932"/>
    <w:rsid w:val="00AA1D8D"/>
    <w:rsid w:val="00AB05D7"/>
    <w:rsid w:val="00AD132C"/>
    <w:rsid w:val="00B14E71"/>
    <w:rsid w:val="00B47730"/>
    <w:rsid w:val="00B7025F"/>
    <w:rsid w:val="00C31A5E"/>
    <w:rsid w:val="00C80752"/>
    <w:rsid w:val="00CA41E3"/>
    <w:rsid w:val="00CA7CFE"/>
    <w:rsid w:val="00CB0664"/>
    <w:rsid w:val="00D27CAD"/>
    <w:rsid w:val="00D568F5"/>
    <w:rsid w:val="00D63E3E"/>
    <w:rsid w:val="00D9675C"/>
    <w:rsid w:val="00DB0D05"/>
    <w:rsid w:val="00E447EC"/>
    <w:rsid w:val="00E57A9F"/>
    <w:rsid w:val="00E6528F"/>
    <w:rsid w:val="00F6446A"/>
    <w:rsid w:val="00F6497A"/>
    <w:rsid w:val="00F761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B64DD"/>
  <w14:defaultImageDpi w14:val="300"/>
  <w15:docId w15:val="{9C7E08F0-8E94-D64A-9A66-A1F7DB621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AB05D7"/>
    <w:rPr>
      <w:sz w:val="16"/>
      <w:szCs w:val="16"/>
    </w:rPr>
  </w:style>
  <w:style w:type="paragraph" w:styleId="CommentText">
    <w:name w:val="annotation text"/>
    <w:basedOn w:val="Normal"/>
    <w:link w:val="CommentTextChar"/>
    <w:uiPriority w:val="99"/>
    <w:semiHidden/>
    <w:unhideWhenUsed/>
    <w:rsid w:val="00AB05D7"/>
    <w:pPr>
      <w:spacing w:line="240" w:lineRule="auto"/>
    </w:pPr>
    <w:rPr>
      <w:sz w:val="20"/>
      <w:szCs w:val="20"/>
    </w:rPr>
  </w:style>
  <w:style w:type="character" w:customStyle="1" w:styleId="CommentTextChar">
    <w:name w:val="Comment Text Char"/>
    <w:basedOn w:val="DefaultParagraphFont"/>
    <w:link w:val="CommentText"/>
    <w:uiPriority w:val="99"/>
    <w:semiHidden/>
    <w:rsid w:val="00AB05D7"/>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05D7"/>
    <w:rPr>
      <w:b/>
      <w:bCs/>
    </w:rPr>
  </w:style>
  <w:style w:type="character" w:customStyle="1" w:styleId="CommentSubjectChar">
    <w:name w:val="Comment Subject Char"/>
    <w:basedOn w:val="CommentTextChar"/>
    <w:link w:val="CommentSubject"/>
    <w:uiPriority w:val="99"/>
    <w:semiHidden/>
    <w:rsid w:val="00AB05D7"/>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16</Pages>
  <Words>4274</Words>
  <Characters>20606</Characters>
  <Application>Microsoft Office Word</Application>
  <DocSecurity>0</DocSecurity>
  <Lines>374</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Cox</cp:lastModifiedBy>
  <cp:revision>39</cp:revision>
  <dcterms:created xsi:type="dcterms:W3CDTF">2013-12-23T23:15:00Z</dcterms:created>
  <dcterms:modified xsi:type="dcterms:W3CDTF">2026-09-13T21:18:00Z</dcterms:modified>
  <cp:category/>
</cp:coreProperties>
</file>