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482CB" w14:textId="77777777" w:rsidR="00F42221" w:rsidRDefault="00000000">
      <w:pPr>
        <w:spacing w:after="0"/>
      </w:pPr>
      <w:r>
        <w:t>David J. Cox, Ph.D.</w:t>
      </w:r>
    </w:p>
    <w:p w14:paraId="695A6668" w14:textId="77777777" w:rsidR="00F42221" w:rsidRDefault="00000000">
      <w:pPr>
        <w:spacing w:after="0"/>
      </w:pPr>
      <w:r>
        <w:t>Endicott College</w:t>
      </w:r>
    </w:p>
    <w:p w14:paraId="40937C62" w14:textId="77777777" w:rsidR="00F42221" w:rsidRDefault="00000000">
      <w:pPr>
        <w:spacing w:after="240"/>
      </w:pPr>
      <w:r>
        <w:t>dcox@endicott.edu</w:t>
      </w:r>
    </w:p>
    <w:p w14:paraId="7517A566" w14:textId="77777777" w:rsidR="00F42221" w:rsidRDefault="00000000">
      <w:pPr>
        <w:spacing w:after="240"/>
      </w:pPr>
      <w:r>
        <w:t>April 12, 2026</w:t>
      </w:r>
    </w:p>
    <w:p w14:paraId="2731262E" w14:textId="77777777" w:rsidR="00F42221" w:rsidRDefault="00000000">
      <w:pPr>
        <w:spacing w:after="0"/>
      </w:pPr>
      <w:r>
        <w:t>Suzanne H. Mitchell, Ph.D.</w:t>
      </w:r>
    </w:p>
    <w:p w14:paraId="23926A62" w14:textId="77777777" w:rsidR="00F42221" w:rsidRDefault="00000000">
      <w:pPr>
        <w:spacing w:after="0"/>
      </w:pPr>
      <w:r>
        <w:t>Editor-in-Chief</w:t>
      </w:r>
    </w:p>
    <w:p w14:paraId="430809DE" w14:textId="77777777" w:rsidR="00F42221" w:rsidRPr="00683B0F" w:rsidRDefault="00000000">
      <w:pPr>
        <w:spacing w:after="240"/>
        <w:rPr>
          <w:i/>
          <w:iCs/>
        </w:rPr>
      </w:pPr>
      <w:r w:rsidRPr="00683B0F">
        <w:rPr>
          <w:i/>
          <w:iCs/>
        </w:rPr>
        <w:t>Journal of the Experimental Analysis of Behavior</w:t>
      </w:r>
    </w:p>
    <w:p w14:paraId="266F6271" w14:textId="77777777" w:rsidR="00F42221" w:rsidRDefault="00000000">
      <w:pPr>
        <w:spacing w:after="240"/>
      </w:pPr>
      <w:r>
        <w:t>Dear Dr. Mitchell,</w:t>
      </w:r>
    </w:p>
    <w:p w14:paraId="1A2045E5" w14:textId="1FFCBB90" w:rsidR="00F42221" w:rsidRDefault="00683B0F">
      <w:pPr>
        <w:spacing w:after="240"/>
      </w:pPr>
      <w:r>
        <w:t>I am writing to submit the</w:t>
      </w:r>
      <w:r w:rsidR="00000000">
        <w:t xml:space="preserve"> manuscript</w:t>
      </w:r>
      <w:r>
        <w:t xml:space="preserve"> titled</w:t>
      </w:r>
      <w:r w:rsidR="00000000">
        <w:t xml:space="preserve">, “Testing Behavior Dynamic Models to Predict Choice in a Non-Stationary Two-Choice Foraging Environment,” for publication in the </w:t>
      </w:r>
      <w:r w:rsidR="00000000" w:rsidRPr="00683B0F">
        <w:rPr>
          <w:i/>
          <w:iCs/>
        </w:rPr>
        <w:t>Journal of the Experimental Analysis of Behavior</w:t>
      </w:r>
      <w:r w:rsidR="00000000">
        <w:t>.</w:t>
      </w:r>
    </w:p>
    <w:p w14:paraId="6326288C" w14:textId="133CB0C5" w:rsidR="00F42221" w:rsidRDefault="00000000">
      <w:pPr>
        <w:spacing w:after="240"/>
      </w:pPr>
      <w:r>
        <w:t xml:space="preserve">In </w:t>
      </w:r>
      <w:r w:rsidR="00683B0F">
        <w:t>a</w:t>
      </w:r>
      <w:r>
        <w:t xml:space="preserve"> 1992 </w:t>
      </w:r>
      <w:r w:rsidRPr="00683B0F">
        <w:rPr>
          <w:i/>
          <w:iCs/>
        </w:rPr>
        <w:t>JEAB</w:t>
      </w:r>
      <w:r>
        <w:t xml:space="preserve"> special issue on behavior dynamics, several authors argued that the temporal structure of behavior</w:t>
      </w:r>
      <w:r w:rsidR="00683B0F">
        <w:t xml:space="preserve"> </w:t>
      </w:r>
      <w:r>
        <w:t xml:space="preserve">constituted a legitimate scientific subject matter for behavior analysts, and that dynamic process models would be needed to account for it. </w:t>
      </w:r>
      <w:proofErr w:type="gramStart"/>
      <w:r>
        <w:t>A number of</w:t>
      </w:r>
      <w:proofErr w:type="gramEnd"/>
      <w:r>
        <w:t xml:space="preserve"> competing accounts </w:t>
      </w:r>
      <w:r w:rsidR="00683B0F">
        <w:t>have been</w:t>
      </w:r>
      <w:r>
        <w:t xml:space="preserve"> proposed (e.g., melioration, the kinetic model, hill-climbing, behavioral momentum)</w:t>
      </w:r>
      <w:r w:rsidR="00683B0F">
        <w:t>,</w:t>
      </w:r>
      <w:r>
        <w:t xml:space="preserve"> but these models were rarely fit to the same dataset, compared against alternatives from adjacent fields, </w:t>
      </w:r>
      <w:r w:rsidR="00683B0F">
        <w:t xml:space="preserve">or </w:t>
      </w:r>
      <w:r>
        <w:t>evaluated on response-by-response trajectories under explicitly non-stationary conditions. The present manuscript revisits that program of work directly.</w:t>
      </w:r>
    </w:p>
    <w:p w14:paraId="49EE7234" w14:textId="7072B141" w:rsidR="00F42221" w:rsidRDefault="00683B0F">
      <w:pPr>
        <w:spacing w:after="240"/>
      </w:pPr>
      <w:r>
        <w:t>In this work, we</w:t>
      </w:r>
      <w:r w:rsidR="00000000">
        <w:t xml:space="preserve"> collected trial-level choice data from 60 humans completing a four-phase, two-option foraging task that included regime shifts, contingency reversals, and perturbation probes. Twenty-two models were fit to the same data and compared on the same footing: three baseline heuristics, six historical behavior-analytic models, three reinforcement-learning variants, three hidden Markov models, three foraging models, and four empirical dynamical models (EDM). Models were evaluated using AIC and next-response predictive accuracy. State-switching architectures (HMMs) provided the best account of the data, followed by EDM and reinforcement-learning models, with the historical behavior-analytic models in the middle of the pack and baselines clearly worst. The pattern suggests that accounts allowing latent regime changes capture features of choice in non-stationary environments that smoother, single-process models do not.</w:t>
      </w:r>
    </w:p>
    <w:p w14:paraId="5BA00B95" w14:textId="09E70489" w:rsidR="00F42221" w:rsidRDefault="00000000">
      <w:pPr>
        <w:spacing w:after="240"/>
      </w:pPr>
      <w:r>
        <w:t xml:space="preserve">I believe the manuscript fits </w:t>
      </w:r>
      <w:r w:rsidRPr="00683B0F">
        <w:rPr>
          <w:i/>
          <w:iCs/>
        </w:rPr>
        <w:t>JEAB</w:t>
      </w:r>
      <w:r>
        <w:t xml:space="preserve"> for three reasons. First, its central question</w:t>
      </w:r>
      <w:r w:rsidR="00683B0F">
        <w:t xml:space="preserve"> of </w:t>
      </w:r>
      <w:r>
        <w:t>how choice adjust</w:t>
      </w:r>
      <w:r w:rsidR="00683B0F">
        <w:t>s</w:t>
      </w:r>
      <w:r>
        <w:t xml:space="preserve"> over time when contingencies change</w:t>
      </w:r>
      <w:r w:rsidR="00683B0F">
        <w:t xml:space="preserve"> </w:t>
      </w:r>
      <w:r>
        <w:t>is the question that motivated the 1992 special issue, and progress on it has been uneven in the decades since. Second, the manuscript puts behavior-analytic models in direct, quantitative competition with models from reinforcement learning, dynamical systems, and foraging theory on the same dataset</w:t>
      </w:r>
      <w:r w:rsidR="00683B0F">
        <w:t>,</w:t>
      </w:r>
      <w:r>
        <w:t xml:space="preserve"> which I hope is useful to readers regardless of which tradition they work in. Third, all models, code, and data are </w:t>
      </w:r>
      <w:r>
        <w:lastRenderedPageBreak/>
        <w:t>organized for reuse so that other investigators can extend the comparison or apply the same evaluation framework to their own datasets.</w:t>
      </w:r>
    </w:p>
    <w:p w14:paraId="25E9330A" w14:textId="77777777" w:rsidR="00F42221" w:rsidRDefault="00000000">
      <w:pPr>
        <w:spacing w:after="240"/>
      </w:pPr>
      <w:r>
        <w:t>The manuscript is original, is not under consideration elsewhere, and has not been previously published. There are no conflicts of interest to disclose, and the work received no external funding. AI-assisted tooling (Claude Code) was used during code development and analysis, as disclosed on the title page; I reviewed all code and take full responsibility for the content.</w:t>
      </w:r>
    </w:p>
    <w:p w14:paraId="7E57CD49" w14:textId="77777777" w:rsidR="00F42221" w:rsidRDefault="00000000">
      <w:pPr>
        <w:spacing w:after="240"/>
      </w:pPr>
      <w:r>
        <w:t>Thank you for considering the manuscript. I am happy to provide any additional information that would be helpful.</w:t>
      </w:r>
    </w:p>
    <w:p w14:paraId="3CDF2C34" w14:textId="3CCFCAB9" w:rsidR="00683B0F" w:rsidRDefault="00683B0F">
      <w:pPr>
        <w:spacing w:after="480"/>
      </w:pPr>
      <w:r>
        <w:rPr>
          <w:noProof/>
        </w:rPr>
        <mc:AlternateContent>
          <mc:Choice Requires="wpi">
            <w:drawing>
              <wp:anchor distT="0" distB="0" distL="114300" distR="114300" simplePos="0" relativeHeight="251663360" behindDoc="0" locked="0" layoutInCell="1" allowOverlap="1" wp14:anchorId="5B1FE756" wp14:editId="19E75476">
                <wp:simplePos x="0" y="0"/>
                <wp:positionH relativeFrom="column">
                  <wp:posOffset>45234</wp:posOffset>
                </wp:positionH>
                <wp:positionV relativeFrom="paragraph">
                  <wp:posOffset>201971</wp:posOffset>
                </wp:positionV>
                <wp:extent cx="1472281" cy="539858"/>
                <wp:effectExtent l="38100" t="38100" r="0" b="44450"/>
                <wp:wrapNone/>
                <wp:docPr id="1954334358" name="Ink 6"/>
                <wp:cNvGraphicFramePr/>
                <a:graphic xmlns:a="http://schemas.openxmlformats.org/drawingml/2006/main">
                  <a:graphicData uri="http://schemas.microsoft.com/office/word/2010/wordprocessingInk">
                    <w14:contentPart bwMode="auto" r:id="rId6">
                      <w14:nvContentPartPr>
                        <w14:cNvContentPartPr/>
                      </w14:nvContentPartPr>
                      <w14:xfrm>
                        <a:off x="0" y="0"/>
                        <a:ext cx="1472281" cy="539858"/>
                      </w14:xfrm>
                    </w14:contentPart>
                  </a:graphicData>
                </a:graphic>
                <wp14:sizeRelH relativeFrom="margin">
                  <wp14:pctWidth>0</wp14:pctWidth>
                </wp14:sizeRelH>
                <wp14:sizeRelV relativeFrom="margin">
                  <wp14:pctHeight>0</wp14:pctHeight>
                </wp14:sizeRelV>
              </wp:anchor>
            </w:drawing>
          </mc:Choice>
          <mc:Fallback>
            <w:pict>
              <v:shapetype w14:anchorId="0650093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2.85pt;margin-top:15.2pt;width:117.35pt;height:43.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">
                <v:imagedata r:id="rId7" o:title=""/>
              </v:shape>
            </w:pict>
          </mc:Fallback>
        </mc:AlternateContent>
      </w:r>
      <w:r w:rsidR="00000000">
        <w:t>Sincerely,</w:t>
      </w:r>
      <w:r>
        <w:br/>
      </w:r>
      <w:r>
        <w:br/>
      </w:r>
    </w:p>
    <w:p w14:paraId="7A6A3D04" w14:textId="24639823" w:rsidR="00F42221" w:rsidRDefault="00000000">
      <w:pPr>
        <w:spacing w:after="0"/>
      </w:pPr>
      <w:r>
        <w:t>David J. Cox, Ph.D.</w:t>
      </w:r>
      <w:r w:rsidR="00683B0F">
        <w:t>, M.S.B., BCBA-D</w:t>
      </w:r>
    </w:p>
    <w:p w14:paraId="1ED22A3D" w14:textId="79680B8C" w:rsidR="00683B0F" w:rsidRDefault="00683B0F">
      <w:pPr>
        <w:spacing w:after="0"/>
      </w:pPr>
      <w:r>
        <w:t>Associate Director of Research</w:t>
      </w:r>
    </w:p>
    <w:p w14:paraId="0049ADB2" w14:textId="744A0596" w:rsidR="00683B0F" w:rsidRDefault="00683B0F">
      <w:pPr>
        <w:spacing w:after="0"/>
      </w:pPr>
      <w:r>
        <w:t>Institute for Applied Behavioral Science</w:t>
      </w:r>
    </w:p>
    <w:p w14:paraId="58B3B1CC" w14:textId="278FE3F6" w:rsidR="00F42221" w:rsidRDefault="00000000">
      <w:pPr>
        <w:spacing w:after="0"/>
      </w:pPr>
      <w:r>
        <w:t xml:space="preserve">Endicott College </w:t>
      </w:r>
    </w:p>
    <w:sectPr w:rsidR="00F4222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6819971">
    <w:abstractNumId w:val="8"/>
  </w:num>
  <w:num w:numId="2" w16cid:durableId="2103837061">
    <w:abstractNumId w:val="6"/>
  </w:num>
  <w:num w:numId="3" w16cid:durableId="1179320321">
    <w:abstractNumId w:val="5"/>
  </w:num>
  <w:num w:numId="4" w16cid:durableId="1791044680">
    <w:abstractNumId w:val="4"/>
  </w:num>
  <w:num w:numId="5" w16cid:durableId="1403675141">
    <w:abstractNumId w:val="7"/>
  </w:num>
  <w:num w:numId="6" w16cid:durableId="238054290">
    <w:abstractNumId w:val="3"/>
  </w:num>
  <w:num w:numId="7" w16cid:durableId="859467611">
    <w:abstractNumId w:val="2"/>
  </w:num>
  <w:num w:numId="8" w16cid:durableId="895355786">
    <w:abstractNumId w:val="1"/>
  </w:num>
  <w:num w:numId="9" w16cid:durableId="185873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63D5"/>
    <w:rsid w:val="00683B0F"/>
    <w:rsid w:val="00AA1D8D"/>
    <w:rsid w:val="00B47730"/>
    <w:rsid w:val="00CB0664"/>
    <w:rsid w:val="00F422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A333B2"/>
  <w14:defaultImageDpi w14:val="300"/>
  <w15:docId w15:val="{2FACE332-87EA-3845-AE2D-5AFA6B834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683B0F"/>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2T17:58:11.747"/>
    </inkml:context>
    <inkml:brush xml:id="br0">
      <inkml:brushProperty name="width" value="0.05" units="cm"/>
      <inkml:brushProperty name="height" value="0.05" units="cm"/>
    </inkml:brush>
  </inkml:definitions>
  <inkml:trace contextRef="#ctx0" brushRef="#br0">96 556 24575,'0'29'0,"0"6"0,0 7 0,0 4 0,0-3 0,0-6 0,0 0 0,2 7 0,3-8 0,1-3 0,1-9 0,5 1 0,-8-13 0,-3-3 0,0 3 0,-1 5 0,2 12 0,0-9 0,4 1 0,5-10 0,5 5 0,2 1 0,-2 0 0,-6-9 0,-11-15 0,-17-28 0,3 5 0,-2-3 0,-4-8 0,0-3 0,0-1 0,2-1 0,2 3 0,3 0 0,2 3 0,2 1 0,2 3 0,2 1 0,0 3 0,3 1 0,0 4 0,2 1 0,-1-15 0,2 13 0,0 8 0,2 7 0,10 1 0,23-4 0,-5 4 0,5 1 0,9-2 0,2 1 0,-15 4 0,1 0 0,-1 1 0,11-2 0,-2 2 0,-8 4 0,-1 0 0,-7 2 0,0 0 0,22 1 0,-19 0 0,0 2 0,3 4 0,1 3 0,2 4 0,0 2 0,-2 2 0,-1 2 0,-7 1 0,-1 0 0,13 13 0,-12-2 0,-6 12 0,-11-11 0,-2 4 0,0 11 0,-3 5-286,-3-12 0,-1 1 0,-3 1 286,-2 2 0,-2-1 0,-3 0 0,-3 0 0,-2-1 0,-2-3 0,-1-4 0,-2-1 0,-1-3 0,2-4 0,0-1 0,-1-2 0,-7 4 0,0-4 0,2-6 0,0-3 0,-1-2 0,0-2 0,0-2 0,-2-3 0,1-1 0,-1-1 429,0-2 0,0-1-429,0-1 0,1-2 0,0 0 0,1-2 0,2-1 0,2-1 0,-17-9 0,10 0 0,10-1 0,7-4 0,7-7 0,22-19 0,7 15 0,7 0 0,-2 8 0,3 0 0,3 2-443,7-2 1,4 1 0,1 2 442,-10 7 0,1 1 0,0 1 0,0 2 0,9-1 0,-1 1 0,0 2-77,-5 2 1,0 1-1,-2 1 77,8 1 0,-3 2 0,-7-1 0,-2 2 0,-4 1 0,-2 2 0,20 6 0,-4 5 1311,-1 4-1311,-1-4 246,3-3-246,-19-9 0,1 0 0,2-2 0,1-2 0,0-2 0,1-2 0,-2-3 0,0-2 0,-4-1 0,-1-2 0,14-16 0,-10-3 0,-6-7 0,-6-9 0,-9 20 0,-1 0 0,-1-1 0,-3 0 0,-2 0 0,-5 0 0,-3-2 0,-5 1 0,-5-3 0,-3 1 0,-4 0 0,-2 1 0,3 2 0,1 2 0,5 6 0,3 3 0,-4-7 0,14 16 0,4 4 0</inkml:trace>
  <inkml:trace contextRef="#ctx0" brushRef="#br0" timeOffset="683">1134 596 24575,'0'0'0</inkml:trace>
  <inkml:trace contextRef="#ctx0" brushRef="#br0" timeOffset="3899">1896 1096 24575,'0'-7'0,"0"-11"0,0-34 0,0 8 0,0 9 0,0 0 0,0-13 0,0-5 0,0 26 0,0-1 0,0-7 0,0 0 0,0-10 0,0-5 0,0 34 0,0 1 0,0-12 0,-4-24 0,1 8 0,-1 13 0,0 3 0,-2 6 0,-1-1 0,0 9 0,2 2 0,-4-6 0,0-2 0,1 0 0,3 3 0,12 17 0,18 21 0,-5-2 0,2 2 0,6 6 0,0 2 0,3 5 0,0 3 0,-9-12 0,-1 2 0,0 1 0,3 9 0,-1 2 0,-1 0 0,-4-6 0,-2-1 0,-1 3 0,3 9 0,0 3 0,-5-3 0,-3 4 0,-3-1 0,-2-12 0,-1 1 0,-1-1 0,0 8 0,-3-1 0,-1-1 0,-3-1 0,-2-3 0,-4-2 0,-5-2 0,-6-3 0,-8-2 0,-5-5 0,-9-5 0,-3-4-203,11-7 0,-1-2 0,1-1 203,-1-2 0,-1-2 0,2-3 0,-13-5 0,3-6 0,10-3 0,5-5 0,9-9 0,6-5 0,5-4 0,7-3 0,9-2 0,8 0 0,6-2 0,7 4-192,-5 15 1,4 3 0,1 2 191,5 1 0,2 1 0,1 3 0,3 1 0,2 3 0,0 1-205,3 2 1,-1 2 0,2 1 204,3 1 0,0 2 0,0 0 0,-10 1 0,-1 1 0,1-1 0,-1 1 0,10-2 0,-1 1 0,0-2 0,0-1 0,0-1 0,-1-2 0,-3-2 0,-2-1 0,-1-3-187,-1 0 0,-2-2 0,-2-3 187,-1-1 0,-2-2 0,-2-2 0,7-12 0,-4-3 0,-6 3 0,-4-1 0,-6 1 0,-4 0 269,-4 2 0,-4-2-269,-4-1 0,-4-2 0,-5-2 0,-5 0 0,-4-1 0,-5 2 0,-3 3 0,-5 5 0,-8 4 0,-3 5 231,13 11 0,-2 3 0,-1 3-231,-2 2 0,0 3 0,0 3 0,-1 2 0,0 2 0,3 4 0,-9 9 0,5 5 299,5 5 1,5 5-300,8 4 0,6 3 0,4 0 0,4 2 0,2 0 0,3 1 0,8 3 0,5-1 0,8-1 0,6-4-232,-2-14 1,2-2 0,3-3 231,4 0 0,3-4 0,1-1 0,-2-4 0,2-2 0,-2-1 0,-1-1 0,-1-2 0,-1 0 254,10 1 0,-1 0-254,-7-1 0,-2 2 0,-5 1 0,-2 3 0,-4 2 0,-3 3 0,-4 4 0,-2 2 0,-4 5 0,-3 3 356,-4 3 1,-7 2-357,-12 5 0,-8-2 0,3-13 0,-4-2 0,-2-2-394,-9-1 1,-3-2 0,-2-3 393,-3-3 0,-2-2 0,1-3 0,3-2 0,0-2 0,2-2 0,3-1 0,0-2 0,4-2 0,-4-4 0,5-4 0,10-4 0,5-6 0,7-8 0,8-5 0,17-12 0,12 0 0,-5 17 0,5 0 0,2 1 0,2 1-548,5-3 1,4 1-1,1 1 1,1 2 547,-5 5 0,2 2 0,0 0 0,1 2 0,-1 1 0,7-2 0,0 2 0,-1 1 0,0 2 6,-6 2 0,0 3 1,-1 0-1,0 2-6,8-1 0,-1 1 0,-1 2 0,-4 1 0,0 2 0,-2 0-112,-1 0 0,-1 2 0,-1 0 112,0 1 0,-1 0 0,0 1 0,14 3 0,-1 1 0,-1 2 0,-1 0 0,-1 0 0,-3-1 0,8 1 0,-13-5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494</Words>
  <Characters>2817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Cox</cp:lastModifiedBy>
  <cp:revision>2</cp:revision>
  <dcterms:created xsi:type="dcterms:W3CDTF">2013-12-23T23:15:00Z</dcterms:created>
  <dcterms:modified xsi:type="dcterms:W3CDTF">2026-04-12T17:58:00Z</dcterms:modified>
  <cp:category/>
</cp:coreProperties>
</file>