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2261F" w14:textId="2D0686A4" w:rsidR="006F410F" w:rsidRDefault="006F410F" w:rsidP="00C12325">
      <w:pPr>
        <w:jc w:val="center"/>
      </w:pPr>
      <w:bookmarkStart w:id="0" w:name="_Hlk65138856"/>
      <w:bookmarkEnd w:id="0"/>
    </w:p>
    <w:p w14:paraId="6E680F0D" w14:textId="29165EE2" w:rsidR="00C12325" w:rsidRDefault="00C12325" w:rsidP="00C12325">
      <w:pPr>
        <w:jc w:val="center"/>
      </w:pPr>
    </w:p>
    <w:p w14:paraId="5A42D300" w14:textId="50A58B1A" w:rsidR="00C12325" w:rsidRDefault="00C12325" w:rsidP="00C12325">
      <w:pPr>
        <w:jc w:val="center"/>
      </w:pPr>
    </w:p>
    <w:p w14:paraId="79D6580E" w14:textId="2EFD1BB4" w:rsidR="00C12325" w:rsidRDefault="00C12325" w:rsidP="00C12325">
      <w:pPr>
        <w:jc w:val="center"/>
      </w:pPr>
    </w:p>
    <w:p w14:paraId="3F1CA3BB" w14:textId="48C20085" w:rsidR="00C12325" w:rsidRDefault="00C12325" w:rsidP="00C12325">
      <w:pPr>
        <w:jc w:val="center"/>
      </w:pPr>
    </w:p>
    <w:p w14:paraId="559AC203" w14:textId="2D11C2CF" w:rsidR="00C12325" w:rsidRDefault="00C12325" w:rsidP="00C12325">
      <w:pPr>
        <w:jc w:val="center"/>
      </w:pPr>
    </w:p>
    <w:p w14:paraId="1D6B5140" w14:textId="3918B3C1" w:rsidR="00C12325" w:rsidRDefault="00C12325" w:rsidP="00C12325">
      <w:pPr>
        <w:jc w:val="center"/>
      </w:pPr>
    </w:p>
    <w:p w14:paraId="03B4D31A" w14:textId="4B1333B5" w:rsidR="00C12325" w:rsidRDefault="00C12325" w:rsidP="00C12325">
      <w:pPr>
        <w:jc w:val="center"/>
      </w:pPr>
    </w:p>
    <w:p w14:paraId="3AB3877D" w14:textId="14618CFF" w:rsidR="00C12325" w:rsidRDefault="00C12325" w:rsidP="00C12325">
      <w:pPr>
        <w:jc w:val="center"/>
      </w:pPr>
    </w:p>
    <w:p w14:paraId="7D6ACA28" w14:textId="445F00C7" w:rsidR="00C12325" w:rsidRDefault="00C12325" w:rsidP="00C12325">
      <w:pPr>
        <w:jc w:val="center"/>
        <w:rPr>
          <w:b/>
          <w:bCs/>
        </w:rPr>
      </w:pPr>
      <w:r>
        <w:rPr>
          <w:b/>
          <w:bCs/>
        </w:rPr>
        <w:t>Creating a Predictive Model for Credit Delinquencies</w:t>
      </w:r>
    </w:p>
    <w:p w14:paraId="0BADABFC" w14:textId="20ABA649" w:rsidR="00C12325" w:rsidRDefault="00C12325" w:rsidP="00C12325">
      <w:pPr>
        <w:jc w:val="center"/>
        <w:rPr>
          <w:b/>
          <w:bCs/>
        </w:rPr>
      </w:pPr>
    </w:p>
    <w:p w14:paraId="7416F9C9" w14:textId="134D7142" w:rsidR="00C12325" w:rsidRDefault="00C12325" w:rsidP="00C12325">
      <w:pPr>
        <w:spacing w:line="480" w:lineRule="auto"/>
        <w:jc w:val="center"/>
      </w:pPr>
      <w:r>
        <w:t>David Reese</w:t>
      </w:r>
    </w:p>
    <w:p w14:paraId="1CFE9A44" w14:textId="51910734" w:rsidR="00C12325" w:rsidRDefault="00C12325" w:rsidP="00C12325">
      <w:pPr>
        <w:spacing w:line="480" w:lineRule="auto"/>
        <w:jc w:val="center"/>
      </w:pPr>
      <w:r>
        <w:t>Colorado State University Global Campus</w:t>
      </w:r>
    </w:p>
    <w:p w14:paraId="428C6ADE" w14:textId="7FF17EF7" w:rsidR="00C12325" w:rsidRDefault="00C12325" w:rsidP="00C12325">
      <w:pPr>
        <w:spacing w:line="480" w:lineRule="auto"/>
        <w:jc w:val="center"/>
      </w:pPr>
      <w:r>
        <w:t>MIS 581 Capstone- Business Intelligence and Data Analytics</w:t>
      </w:r>
    </w:p>
    <w:p w14:paraId="6EA0D625" w14:textId="4C50F083" w:rsidR="00C12325" w:rsidRDefault="00C12325" w:rsidP="00C12325">
      <w:pPr>
        <w:spacing w:line="480" w:lineRule="auto"/>
        <w:jc w:val="center"/>
      </w:pPr>
      <w:r>
        <w:t xml:space="preserve">Dr. Kimberly Ford </w:t>
      </w:r>
    </w:p>
    <w:p w14:paraId="5827ACDA" w14:textId="1BE83C1B" w:rsidR="00C12325" w:rsidRDefault="00C12325" w:rsidP="00C12325">
      <w:pPr>
        <w:spacing w:line="480" w:lineRule="auto"/>
        <w:jc w:val="center"/>
      </w:pPr>
      <w:r>
        <w:t>02-19-2021</w:t>
      </w:r>
    </w:p>
    <w:p w14:paraId="37569507" w14:textId="0F9FF062" w:rsidR="00C12325" w:rsidRDefault="00C12325">
      <w:r>
        <w:br w:type="page"/>
      </w:r>
    </w:p>
    <w:p w14:paraId="05D593FB" w14:textId="16672F38" w:rsidR="00C12325" w:rsidRDefault="00C12325" w:rsidP="003513C8">
      <w:pPr>
        <w:jc w:val="center"/>
        <w:rPr>
          <w:b/>
          <w:bCs/>
        </w:rPr>
      </w:pPr>
      <w:r>
        <w:rPr>
          <w:b/>
          <w:bCs/>
        </w:rPr>
        <w:lastRenderedPageBreak/>
        <w:t>Creating a Predictive Model for Credit Delinquencies</w:t>
      </w:r>
    </w:p>
    <w:p w14:paraId="0F8B2A86" w14:textId="77777777" w:rsidR="003513C8" w:rsidRPr="003513C8" w:rsidRDefault="003513C8" w:rsidP="003513C8">
      <w:pPr>
        <w:jc w:val="center"/>
        <w:rPr>
          <w:b/>
          <w:bCs/>
        </w:rPr>
      </w:pPr>
    </w:p>
    <w:p w14:paraId="704CB043" w14:textId="0A1DF0F2" w:rsidR="00C12325" w:rsidRDefault="00C12325" w:rsidP="003513C8">
      <w:pPr>
        <w:spacing w:line="480" w:lineRule="auto"/>
        <w:jc w:val="center"/>
        <w:rPr>
          <w:b/>
          <w:bCs/>
        </w:rPr>
      </w:pPr>
      <w:r>
        <w:rPr>
          <w:b/>
          <w:bCs/>
        </w:rPr>
        <w:t>Introduction</w:t>
      </w:r>
    </w:p>
    <w:p w14:paraId="7312E37E" w14:textId="421EBA17" w:rsidR="003513C8" w:rsidRDefault="00C12325" w:rsidP="003513C8">
      <w:pPr>
        <w:spacing w:line="480" w:lineRule="auto"/>
        <w:rPr>
          <w:rFonts w:cstheme="minorHAnsi"/>
        </w:rPr>
      </w:pPr>
      <w:r w:rsidRPr="008665B9">
        <w:rPr>
          <w:rFonts w:cstheme="minorHAnsi"/>
          <w:b/>
          <w:bCs/>
        </w:rPr>
        <w:tab/>
      </w:r>
      <w:r w:rsidRPr="008665B9">
        <w:rPr>
          <w:rFonts w:cstheme="minorHAnsi"/>
        </w:rPr>
        <w:t xml:space="preserve">Unlike the 2008-2010 economic meltdown, which impacted primarily sub-prime mortgages, COVID-19 has </w:t>
      </w:r>
      <w:r w:rsidR="00D43085">
        <w:rPr>
          <w:rFonts w:cstheme="minorHAnsi"/>
        </w:rPr>
        <w:t>impacted</w:t>
      </w:r>
      <w:r w:rsidRPr="008665B9">
        <w:rPr>
          <w:rFonts w:cstheme="minorHAnsi"/>
        </w:rPr>
        <w:t xml:space="preserve"> </w:t>
      </w:r>
      <w:r w:rsidR="00D43085">
        <w:rPr>
          <w:rFonts w:cstheme="minorHAnsi"/>
        </w:rPr>
        <w:t xml:space="preserve">every </w:t>
      </w:r>
      <w:r w:rsidRPr="008665B9">
        <w:rPr>
          <w:rFonts w:cstheme="minorHAnsi"/>
        </w:rPr>
        <w:t>area of the economy</w:t>
      </w:r>
      <w:r w:rsidR="00D43085">
        <w:rPr>
          <w:rFonts w:cstheme="minorHAnsi"/>
        </w:rPr>
        <w:t>.</w:t>
      </w:r>
      <w:r w:rsidR="0037583D">
        <w:rPr>
          <w:rFonts w:cstheme="minorHAnsi"/>
        </w:rPr>
        <w:t xml:space="preserve"> </w:t>
      </w:r>
      <w:r w:rsidR="00EA308A">
        <w:rPr>
          <w:rFonts w:cstheme="minorHAnsi"/>
        </w:rPr>
        <w:t xml:space="preserve">Viewing COVID-19’s impact </w:t>
      </w:r>
      <w:proofErr w:type="gramStart"/>
      <w:r w:rsidR="0037583D">
        <w:rPr>
          <w:rFonts w:cstheme="minorHAnsi"/>
        </w:rPr>
        <w:t>In</w:t>
      </w:r>
      <w:proofErr w:type="gramEnd"/>
      <w:r w:rsidR="0037583D">
        <w:rPr>
          <w:rFonts w:cstheme="minorHAnsi"/>
        </w:rPr>
        <w:t xml:space="preserve"> terms of dra</w:t>
      </w:r>
      <w:r w:rsidR="003513C8">
        <w:rPr>
          <w:rFonts w:cstheme="minorHAnsi"/>
        </w:rPr>
        <w:t>w</w:t>
      </w:r>
      <w:r w:rsidR="0037583D">
        <w:rPr>
          <w:rFonts w:cstheme="minorHAnsi"/>
        </w:rPr>
        <w:t>down in the Gross Domestic Product</w:t>
      </w:r>
      <w:r w:rsidR="00EA308A">
        <w:rPr>
          <w:rFonts w:cstheme="minorHAnsi"/>
        </w:rPr>
        <w:t xml:space="preserve"> </w:t>
      </w:r>
      <w:r w:rsidR="0037583D">
        <w:rPr>
          <w:rFonts w:cstheme="minorHAnsi"/>
        </w:rPr>
        <w:t>(GDP) of the United States, the housing collapse of 2008-2010 led to a five percent drawn down in GDP</w:t>
      </w:r>
      <w:r w:rsidR="00917F6C">
        <w:rPr>
          <w:rFonts w:cstheme="minorHAnsi"/>
        </w:rPr>
        <w:t xml:space="preserve"> over two years</w:t>
      </w:r>
      <w:r w:rsidR="0037583D">
        <w:rPr>
          <w:rFonts w:cstheme="minorHAnsi"/>
        </w:rPr>
        <w:t xml:space="preserve">, </w:t>
      </w:r>
      <w:r w:rsidR="003513C8">
        <w:rPr>
          <w:rFonts w:cstheme="minorHAnsi"/>
        </w:rPr>
        <w:t xml:space="preserve">and </w:t>
      </w:r>
      <w:r w:rsidR="0037583D">
        <w:rPr>
          <w:rFonts w:cstheme="minorHAnsi"/>
        </w:rPr>
        <w:t xml:space="preserve">the great depression </w:t>
      </w:r>
      <w:r w:rsidR="003513C8">
        <w:rPr>
          <w:rFonts w:cstheme="minorHAnsi"/>
        </w:rPr>
        <w:t>saw a 30 percent drawdown in GDP over 3 years.</w:t>
      </w:r>
      <w:r w:rsidR="0037583D">
        <w:rPr>
          <w:rFonts w:cstheme="minorHAnsi"/>
        </w:rPr>
        <w:t xml:space="preserve"> </w:t>
      </w:r>
      <w:r w:rsidR="003513C8">
        <w:rPr>
          <w:rFonts w:cstheme="minorHAnsi"/>
        </w:rPr>
        <w:t xml:space="preserve">COVID-19 saw a 32.9 drawdown in the second quarter of 2020. </w:t>
      </w:r>
      <w:r w:rsidRPr="008665B9">
        <w:rPr>
          <w:rFonts w:cstheme="minorHAnsi"/>
        </w:rPr>
        <w:t xml:space="preserve"> </w:t>
      </w:r>
      <w:r w:rsidR="003513C8">
        <w:rPr>
          <w:rFonts w:cstheme="minorHAnsi"/>
        </w:rPr>
        <w:t xml:space="preserve">Lockdowns and new rules decimated service, hospitality, and restaurants as well as many other industries across the entire country. </w:t>
      </w:r>
    </w:p>
    <w:p w14:paraId="4837F466" w14:textId="0D9621C5" w:rsidR="00C12325" w:rsidRPr="008665B9" w:rsidRDefault="003513C8" w:rsidP="003513C8">
      <w:pPr>
        <w:spacing w:line="480" w:lineRule="auto"/>
        <w:ind w:firstLine="720"/>
        <w:rPr>
          <w:rFonts w:cstheme="minorHAnsi"/>
        </w:rPr>
      </w:pPr>
      <w:r>
        <w:rPr>
          <w:rFonts w:cstheme="minorHAnsi"/>
        </w:rPr>
        <w:t xml:space="preserve">Unlike 2008, the resulting job losses are more permanent. Small business closures will continue to grow as the impact of COVID-19 continues to wreak havoc.  </w:t>
      </w:r>
      <w:r w:rsidR="00C12325" w:rsidRPr="008665B9">
        <w:rPr>
          <w:rFonts w:cstheme="minorHAnsi"/>
        </w:rPr>
        <w:t>Figure one shows the impact on business insolvencies versus 2019.</w:t>
      </w:r>
    </w:p>
    <w:p w14:paraId="25A7C80F" w14:textId="670B018F" w:rsidR="00C12325" w:rsidRPr="008665B9" w:rsidRDefault="00C12325" w:rsidP="003513C8">
      <w:pPr>
        <w:spacing w:after="0" w:line="480" w:lineRule="auto"/>
        <w:rPr>
          <w:rFonts w:cstheme="minorHAnsi"/>
          <w:b/>
          <w:bCs/>
        </w:rPr>
      </w:pPr>
      <w:r w:rsidRPr="008665B9">
        <w:rPr>
          <w:rFonts w:cstheme="minorHAnsi"/>
          <w:b/>
          <w:bCs/>
        </w:rPr>
        <w:t xml:space="preserve">Figure 1 </w:t>
      </w:r>
    </w:p>
    <w:p w14:paraId="0333E250" w14:textId="4E9BE193" w:rsidR="003513C8" w:rsidRPr="003513C8" w:rsidRDefault="00C12325" w:rsidP="003513C8">
      <w:pPr>
        <w:spacing w:after="0" w:line="480" w:lineRule="auto"/>
        <w:rPr>
          <w:rFonts w:cstheme="minorHAnsi"/>
          <w:i/>
          <w:iCs/>
        </w:rPr>
      </w:pPr>
      <w:r w:rsidRPr="008665B9">
        <w:rPr>
          <w:rFonts w:cstheme="minorHAnsi"/>
          <w:i/>
          <w:iCs/>
        </w:rPr>
        <w:t>Business insolvencies in 2021 compared with 2019 (Buchholz, 2020)</w:t>
      </w:r>
    </w:p>
    <w:p w14:paraId="60233E21" w14:textId="7A42DB6E" w:rsidR="003513C8" w:rsidRPr="003513C8" w:rsidRDefault="003513C8" w:rsidP="003513C8">
      <w:pPr>
        <w:spacing w:after="0" w:line="480" w:lineRule="auto"/>
        <w:rPr>
          <w:rFonts w:cstheme="minorHAnsi"/>
          <w:i/>
          <w:iCs/>
        </w:rPr>
      </w:pPr>
      <w:r w:rsidRPr="008665B9">
        <w:rPr>
          <w:rFonts w:cstheme="minorHAnsi"/>
          <w:i/>
          <w:iCs/>
          <w:noProof/>
        </w:rPr>
        <w:drawing>
          <wp:inline distT="0" distB="0" distL="0" distR="0" wp14:anchorId="71E8F150" wp14:editId="694ADD74">
            <wp:extent cx="4468675" cy="28670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762" b="1225"/>
                    <a:stretch/>
                  </pic:blipFill>
                  <pic:spPr bwMode="auto">
                    <a:xfrm>
                      <a:off x="0" y="0"/>
                      <a:ext cx="4636667" cy="2974806"/>
                    </a:xfrm>
                    <a:prstGeom prst="rect">
                      <a:avLst/>
                    </a:prstGeom>
                    <a:ln>
                      <a:noFill/>
                    </a:ln>
                    <a:extLst>
                      <a:ext uri="{53640926-AAD7-44D8-BBD7-CCE9431645EC}">
                        <a14:shadowObscured xmlns:a14="http://schemas.microsoft.com/office/drawing/2010/main"/>
                      </a:ext>
                    </a:extLst>
                  </pic:spPr>
                </pic:pic>
              </a:graphicData>
            </a:graphic>
          </wp:inline>
        </w:drawing>
      </w:r>
    </w:p>
    <w:p w14:paraId="7AD81628" w14:textId="489EAD05" w:rsidR="00C12325" w:rsidRPr="008665B9" w:rsidRDefault="00C12325" w:rsidP="003513C8">
      <w:pPr>
        <w:spacing w:after="0" w:line="480" w:lineRule="auto"/>
        <w:rPr>
          <w:rFonts w:cstheme="minorHAnsi"/>
          <w:i/>
          <w:iCs/>
        </w:rPr>
      </w:pPr>
    </w:p>
    <w:p w14:paraId="20C3DD73" w14:textId="77777777" w:rsidR="0022119F" w:rsidRDefault="00C12325" w:rsidP="0022119F">
      <w:pPr>
        <w:spacing w:after="0" w:line="480" w:lineRule="auto"/>
        <w:ind w:firstLine="720"/>
        <w:rPr>
          <w:rFonts w:cstheme="minorHAnsi"/>
        </w:rPr>
      </w:pPr>
      <w:r w:rsidRPr="008665B9">
        <w:rPr>
          <w:rFonts w:cstheme="minorHAnsi"/>
        </w:rPr>
        <w:t>Insolvencies mean that finding a new job at or near what your last position paid will be even more difficult. This is reflected in the unemployment rate for the country during 2020. In January 2020, the unemployment rate was four percent (unadjusted). By April 2020, the rate was 14.4 percent (</w:t>
      </w:r>
      <w:r w:rsidR="00572087">
        <w:rPr>
          <w:rFonts w:cstheme="minorHAnsi"/>
        </w:rPr>
        <w:t>U.S. Department of Labor</w:t>
      </w:r>
      <w:r w:rsidRPr="008665B9">
        <w:rPr>
          <w:rFonts w:cstheme="minorHAnsi"/>
        </w:rPr>
        <w:t xml:space="preserve">, 2021).  As of January 2021, the rate had gone done to around six percent, but of that figure, nearly forty percent had been unemployed for over 27 </w:t>
      </w:r>
      <w:proofErr w:type="gramStart"/>
      <w:r w:rsidR="0022119F">
        <w:rPr>
          <w:rFonts w:cstheme="minorHAnsi"/>
        </w:rPr>
        <w:t>weeks.(</w:t>
      </w:r>
      <w:proofErr w:type="gramEnd"/>
      <w:r w:rsidR="0022119F">
        <w:rPr>
          <w:rFonts w:cstheme="minorHAnsi"/>
        </w:rPr>
        <w:t>U.S. Department of Labor, Bureau of Labor Statistics 2021).</w:t>
      </w:r>
      <w:r w:rsidR="00D43085">
        <w:rPr>
          <w:rFonts w:cstheme="minorHAnsi"/>
        </w:rPr>
        <w:tab/>
      </w:r>
    </w:p>
    <w:p w14:paraId="261C67F6" w14:textId="2E557DB2" w:rsidR="00D43085" w:rsidRDefault="00D43085" w:rsidP="0022119F">
      <w:pPr>
        <w:spacing w:after="0" w:line="480" w:lineRule="auto"/>
        <w:ind w:firstLine="720"/>
        <w:rPr>
          <w:rFonts w:cstheme="minorHAnsi"/>
        </w:rPr>
      </w:pPr>
      <w:r>
        <w:rPr>
          <w:rFonts w:cstheme="minorHAnsi"/>
        </w:rPr>
        <w:t xml:space="preserve">Figure two shows the impact of </w:t>
      </w:r>
      <w:r w:rsidR="003513C8">
        <w:rPr>
          <w:rFonts w:cstheme="minorHAnsi"/>
        </w:rPr>
        <w:t>unemployment caused by the</w:t>
      </w:r>
      <w:r>
        <w:rPr>
          <w:rFonts w:cstheme="minorHAnsi"/>
        </w:rPr>
        <w:t xml:space="preserve"> pandemic on Blacks, Latinos </w:t>
      </w:r>
      <w:r w:rsidR="00572087">
        <w:rPr>
          <w:rFonts w:cstheme="minorHAnsi"/>
        </w:rPr>
        <w:t>W</w:t>
      </w:r>
      <w:r>
        <w:rPr>
          <w:rFonts w:cstheme="minorHAnsi"/>
        </w:rPr>
        <w:t xml:space="preserve">hites and </w:t>
      </w:r>
      <w:r w:rsidR="00572087">
        <w:rPr>
          <w:rFonts w:cstheme="minorHAnsi"/>
        </w:rPr>
        <w:t>W</w:t>
      </w:r>
      <w:r>
        <w:rPr>
          <w:rFonts w:cstheme="minorHAnsi"/>
        </w:rPr>
        <w:t>omen in unemployment</w:t>
      </w:r>
      <w:r w:rsidR="00572087">
        <w:rPr>
          <w:rFonts w:cstheme="minorHAnsi"/>
        </w:rPr>
        <w:t xml:space="preserve"> </w:t>
      </w:r>
      <w:r w:rsidR="00917F6C">
        <w:rPr>
          <w:rFonts w:cstheme="minorHAnsi"/>
        </w:rPr>
        <w:t>(U.S.</w:t>
      </w:r>
      <w:r w:rsidR="00572087">
        <w:rPr>
          <w:rFonts w:cstheme="minorHAnsi"/>
        </w:rPr>
        <w:t xml:space="preserve"> Department of Labor, </w:t>
      </w:r>
      <w:r w:rsidR="0022119F">
        <w:rPr>
          <w:rFonts w:cstheme="minorHAnsi"/>
        </w:rPr>
        <w:t xml:space="preserve">Bureau of Labor Statistics </w:t>
      </w:r>
      <w:r w:rsidR="00572087">
        <w:rPr>
          <w:rFonts w:cstheme="minorHAnsi"/>
        </w:rPr>
        <w:t xml:space="preserve">2021). </w:t>
      </w:r>
    </w:p>
    <w:p w14:paraId="2CD0F43B" w14:textId="6ACA2556" w:rsidR="00572087" w:rsidRPr="00572087" w:rsidRDefault="00572087" w:rsidP="00572087">
      <w:pPr>
        <w:spacing w:after="0" w:line="240" w:lineRule="auto"/>
        <w:rPr>
          <w:rFonts w:cstheme="minorHAnsi"/>
          <w:b/>
          <w:bCs/>
        </w:rPr>
      </w:pPr>
      <w:r w:rsidRPr="00572087">
        <w:rPr>
          <w:rFonts w:cstheme="minorHAnsi"/>
          <w:b/>
          <w:bCs/>
        </w:rPr>
        <w:t xml:space="preserve">Figure 2 </w:t>
      </w:r>
    </w:p>
    <w:p w14:paraId="68073EA3" w14:textId="1A43FDE7" w:rsidR="00572087" w:rsidRDefault="00572087" w:rsidP="00572087">
      <w:pPr>
        <w:spacing w:after="0" w:line="240" w:lineRule="auto"/>
        <w:rPr>
          <w:rFonts w:cstheme="minorHAnsi"/>
          <w:i/>
          <w:iCs/>
        </w:rPr>
      </w:pPr>
      <w:r>
        <w:rPr>
          <w:rFonts w:cstheme="minorHAnsi"/>
          <w:i/>
          <w:iCs/>
        </w:rPr>
        <w:t>Unemployment rates by demographic</w:t>
      </w:r>
    </w:p>
    <w:p w14:paraId="3D704AA7" w14:textId="77777777" w:rsidR="00572087" w:rsidRPr="00572087" w:rsidRDefault="00572087" w:rsidP="00572087">
      <w:pPr>
        <w:spacing w:after="0" w:line="240" w:lineRule="auto"/>
        <w:rPr>
          <w:rFonts w:cstheme="minorHAnsi"/>
          <w:i/>
          <w:iCs/>
        </w:rPr>
      </w:pPr>
    </w:p>
    <w:p w14:paraId="7349FB38" w14:textId="41FE291C" w:rsidR="00AA669D" w:rsidRDefault="00D43085" w:rsidP="00C12325">
      <w:pPr>
        <w:spacing w:after="0" w:line="480" w:lineRule="auto"/>
        <w:ind w:firstLine="720"/>
        <w:rPr>
          <w:rFonts w:cstheme="minorHAnsi"/>
        </w:rPr>
      </w:pPr>
      <w:r>
        <w:rPr>
          <w:noProof/>
        </w:rPr>
        <w:drawing>
          <wp:inline distT="0" distB="0" distL="0" distR="0" wp14:anchorId="4E7BFBE0" wp14:editId="1A6B11B0">
            <wp:extent cx="5943600" cy="4245610"/>
            <wp:effectExtent l="0" t="0" r="0" b="2540"/>
            <wp:docPr id="2" name="Chart 2">
              <a:extLst xmlns:a="http://schemas.openxmlformats.org/drawingml/2006/main">
                <a:ext uri="{FF2B5EF4-FFF2-40B4-BE49-F238E27FC236}">
                  <a16:creationId xmlns:a16="http://schemas.microsoft.com/office/drawing/2014/main" id="{25E019B4-A365-491A-95A7-082900626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88CF29" w14:textId="77777777" w:rsidR="00AA669D" w:rsidRDefault="00AA669D" w:rsidP="00C12325">
      <w:pPr>
        <w:spacing w:after="0" w:line="480" w:lineRule="auto"/>
        <w:ind w:firstLine="720"/>
        <w:rPr>
          <w:rFonts w:cstheme="minorHAnsi"/>
        </w:rPr>
      </w:pPr>
    </w:p>
    <w:p w14:paraId="4ED704FA" w14:textId="4709380F" w:rsidR="00C12325" w:rsidRDefault="00C12325" w:rsidP="00C12325">
      <w:pPr>
        <w:spacing w:after="0" w:line="480" w:lineRule="auto"/>
        <w:ind w:firstLine="720"/>
        <w:rPr>
          <w:rFonts w:cstheme="minorHAnsi"/>
        </w:rPr>
      </w:pPr>
      <w:r w:rsidRPr="008665B9">
        <w:rPr>
          <w:rFonts w:cstheme="minorHAnsi"/>
        </w:rPr>
        <w:lastRenderedPageBreak/>
        <w:t>To see the impact of this, twenty-seven weeks is equivalent to thirteen bi-weekly paychecks. Assuming a regular salary equal to $2000 take home, that would equal a loss of income of $26,000. That is money which was</w:t>
      </w:r>
      <w:r w:rsidR="00A01583">
        <w:rPr>
          <w:rFonts w:cstheme="minorHAnsi"/>
        </w:rPr>
        <w:t xml:space="preserve"> a</w:t>
      </w:r>
      <w:r w:rsidRPr="008665B9">
        <w:rPr>
          <w:rFonts w:cstheme="minorHAnsi"/>
        </w:rPr>
        <w:t xml:space="preserve"> factor </w:t>
      </w:r>
      <w:r w:rsidR="00A01583">
        <w:rPr>
          <w:rFonts w:cstheme="minorHAnsi"/>
        </w:rPr>
        <w:t>in the</w:t>
      </w:r>
      <w:r w:rsidRPr="008665B9">
        <w:rPr>
          <w:rFonts w:cstheme="minorHAnsi"/>
        </w:rPr>
        <w:t xml:space="preserve"> credit decision for car loans, home mortgages, and credit cards. It is true that there are programs to offset the loss of income, and there has been direct stimulus to the economy, those programs have limits on the amount and length of time the person may be eligible for them. </w:t>
      </w:r>
    </w:p>
    <w:p w14:paraId="68E1F6D3" w14:textId="53F7A7B4" w:rsidR="00572087" w:rsidRDefault="00572087" w:rsidP="00C12325">
      <w:pPr>
        <w:spacing w:after="0" w:line="480" w:lineRule="auto"/>
        <w:ind w:firstLine="720"/>
        <w:rPr>
          <w:rFonts w:cstheme="minorHAnsi"/>
        </w:rPr>
      </w:pPr>
      <w:r>
        <w:rPr>
          <w:rFonts w:cstheme="minorHAnsi"/>
        </w:rPr>
        <w:t>In the post COVID-19 economy, one risk area is the banking and lending sector. With trillions of dollars at risk for default due to lower earnings and protracted unemployment, a way to predict which</w:t>
      </w:r>
      <w:r w:rsidR="00A01583">
        <w:rPr>
          <w:rFonts w:cstheme="minorHAnsi"/>
        </w:rPr>
        <w:t xml:space="preserve"> loans are at risk of delinquency or default must be found.  Using the available data, and finding which variables have predictive power in answering that question, a model can be created to protect the banks from the type of meltdown seen in 2008-2010.</w:t>
      </w:r>
    </w:p>
    <w:p w14:paraId="5EE98DD0" w14:textId="1BBFDA7C" w:rsidR="00B716E0" w:rsidRDefault="00B716E0" w:rsidP="00B716E0">
      <w:pPr>
        <w:spacing w:after="0" w:line="480" w:lineRule="auto"/>
        <w:rPr>
          <w:rFonts w:cstheme="minorHAnsi"/>
          <w:b/>
          <w:bCs/>
        </w:rPr>
      </w:pPr>
      <w:r>
        <w:rPr>
          <w:rFonts w:cstheme="minorHAnsi"/>
          <w:b/>
          <w:bCs/>
        </w:rPr>
        <w:t>Objectives</w:t>
      </w:r>
    </w:p>
    <w:p w14:paraId="1A620678" w14:textId="07D8EF92" w:rsidR="00B716E0" w:rsidRDefault="00B716E0" w:rsidP="00B716E0">
      <w:pPr>
        <w:spacing w:after="0" w:line="480" w:lineRule="auto"/>
        <w:rPr>
          <w:rFonts w:cstheme="minorHAnsi"/>
        </w:rPr>
      </w:pPr>
      <w:r>
        <w:rPr>
          <w:rFonts w:cstheme="minorHAnsi"/>
          <w:b/>
          <w:bCs/>
        </w:rPr>
        <w:tab/>
      </w:r>
      <w:r w:rsidRPr="008665B9">
        <w:rPr>
          <w:rFonts w:cstheme="minorHAnsi"/>
        </w:rPr>
        <w:t xml:space="preserve">The goal of the project is to prove the hypothesis that there is a predictive analytic model that can predict, with a degree of accuracy, the consumers who will become delinquent. </w:t>
      </w:r>
      <w:r w:rsidR="001E2733">
        <w:rPr>
          <w:rFonts w:cstheme="minorHAnsi"/>
        </w:rPr>
        <w:t>G</w:t>
      </w:r>
      <w:r w:rsidRPr="008665B9">
        <w:rPr>
          <w:rFonts w:cstheme="minorHAnsi"/>
        </w:rPr>
        <w:t>aining an understanding of of the consumers who were current</w:t>
      </w:r>
      <w:r w:rsidR="001E2733">
        <w:rPr>
          <w:rFonts w:cstheme="minorHAnsi"/>
        </w:rPr>
        <w:t>,</w:t>
      </w:r>
      <w:r w:rsidRPr="008665B9">
        <w:rPr>
          <w:rFonts w:cstheme="minorHAnsi"/>
        </w:rPr>
        <w:t xml:space="preserve"> and are heading towards delinquency can help banks better set loss reserves</w:t>
      </w:r>
      <w:r w:rsidR="001E2733">
        <w:rPr>
          <w:rFonts w:cstheme="minorHAnsi"/>
        </w:rPr>
        <w:t xml:space="preserve">, change lending and underwriting guidelines, </w:t>
      </w:r>
      <w:r w:rsidR="001E2733" w:rsidRPr="008665B9">
        <w:rPr>
          <w:rFonts w:cstheme="minorHAnsi"/>
        </w:rPr>
        <w:t>and</w:t>
      </w:r>
      <w:r w:rsidRPr="008665B9">
        <w:rPr>
          <w:rFonts w:cstheme="minorHAnsi"/>
        </w:rPr>
        <w:t xml:space="preserve"> protect the solvency of the banks. To prove the hypothesis</w:t>
      </w:r>
      <w:r w:rsidR="001E2733">
        <w:rPr>
          <w:rFonts w:cstheme="minorHAnsi"/>
        </w:rPr>
        <w:t>,</w:t>
      </w:r>
      <w:r w:rsidRPr="008665B9">
        <w:rPr>
          <w:rFonts w:cstheme="minorHAnsi"/>
        </w:rPr>
        <w:t xml:space="preserve"> data from the Federal Reserve system will </w:t>
      </w:r>
      <w:proofErr w:type="gramStart"/>
      <w:r w:rsidRPr="008665B9">
        <w:rPr>
          <w:rFonts w:cstheme="minorHAnsi"/>
        </w:rPr>
        <w:t>be used</w:t>
      </w:r>
      <w:proofErr w:type="gramEnd"/>
      <w:r w:rsidRPr="008665B9">
        <w:rPr>
          <w:rFonts w:cstheme="minorHAnsi"/>
        </w:rPr>
        <w:t xml:space="preserve"> to create a predictive model of the typical consumer who may be at risk for delinquency. </w:t>
      </w:r>
    </w:p>
    <w:p w14:paraId="286B7B39" w14:textId="3BAA10C6" w:rsidR="00A54D4C" w:rsidRDefault="00A54D4C" w:rsidP="00B716E0">
      <w:pPr>
        <w:spacing w:after="0" w:line="480" w:lineRule="auto"/>
        <w:rPr>
          <w:rFonts w:cstheme="minorHAnsi"/>
        </w:rPr>
      </w:pPr>
      <w:r>
        <w:rPr>
          <w:rFonts w:cstheme="minorHAnsi"/>
        </w:rPr>
        <w:tab/>
        <w:t xml:space="preserve">The model will be based on auto loans and credit cards. Those variables are the consumer debts that are not subject to forbearance or other legislation. </w:t>
      </w:r>
    </w:p>
    <w:p w14:paraId="2E138473" w14:textId="1D732683" w:rsidR="001E2733" w:rsidRDefault="001E2733" w:rsidP="00B716E0">
      <w:pPr>
        <w:spacing w:after="0" w:line="480" w:lineRule="auto"/>
        <w:rPr>
          <w:rFonts w:cstheme="minorHAnsi"/>
          <w:b/>
          <w:bCs/>
        </w:rPr>
      </w:pPr>
      <w:r>
        <w:rPr>
          <w:rFonts w:cstheme="minorHAnsi"/>
          <w:b/>
          <w:bCs/>
        </w:rPr>
        <w:t xml:space="preserve">Overview of the </w:t>
      </w:r>
      <w:r w:rsidR="0022119F">
        <w:rPr>
          <w:rFonts w:cstheme="minorHAnsi"/>
          <w:b/>
          <w:bCs/>
        </w:rPr>
        <w:t>P</w:t>
      </w:r>
      <w:r>
        <w:rPr>
          <w:rFonts w:cstheme="minorHAnsi"/>
          <w:b/>
          <w:bCs/>
        </w:rPr>
        <w:t>roject</w:t>
      </w:r>
    </w:p>
    <w:p w14:paraId="58D2B609" w14:textId="17D718C0" w:rsidR="001E2733" w:rsidRPr="008665B9" w:rsidRDefault="001E2733" w:rsidP="001E2733">
      <w:pPr>
        <w:spacing w:line="480" w:lineRule="auto"/>
        <w:rPr>
          <w:rFonts w:cstheme="minorHAnsi"/>
        </w:rPr>
      </w:pPr>
      <w:r>
        <w:rPr>
          <w:rFonts w:cstheme="minorHAnsi"/>
          <w:b/>
          <w:bCs/>
        </w:rPr>
        <w:tab/>
      </w:r>
      <w:r w:rsidRPr="008665B9">
        <w:rPr>
          <w:rFonts w:cstheme="minorHAnsi"/>
        </w:rPr>
        <w:t xml:space="preserve">The first step in the process would be to identify those datasets that offer some insight as to what we are looking for.  The Federal Reserve system has a treasure trove of studies and data to work with. The most valuable has been the Household Debt and Credit survey. Done quarterly, this report </w:t>
      </w:r>
      <w:r w:rsidRPr="008665B9">
        <w:rPr>
          <w:rFonts w:cstheme="minorHAnsi"/>
        </w:rPr>
        <w:lastRenderedPageBreak/>
        <w:t>gives information direct form anonymous credit files and bank records regarding new delinquencies, bankruptcies, and other factors. The Federal Reserve banks track virtually every aspect of consumer behavior and sentiment. Data sets dealing with debt-to-income ratios, demographic information regarding age, income, and loan type are available and can be set up to create models</w:t>
      </w:r>
      <w:r w:rsidR="003B73D2">
        <w:rPr>
          <w:rFonts w:cstheme="minorHAnsi"/>
        </w:rPr>
        <w:t xml:space="preserve">. The focus of the data will be on the data with some link to consumers. </w:t>
      </w:r>
    </w:p>
    <w:p w14:paraId="269E5921" w14:textId="1EFF6805" w:rsidR="001E2733" w:rsidRPr="008665B9" w:rsidRDefault="001E2733" w:rsidP="001E2733">
      <w:pPr>
        <w:spacing w:line="480" w:lineRule="auto"/>
        <w:ind w:firstLine="720"/>
        <w:rPr>
          <w:rFonts w:cstheme="minorHAnsi"/>
        </w:rPr>
      </w:pPr>
      <w:r w:rsidRPr="008665B9">
        <w:rPr>
          <w:rFonts w:cstheme="minorHAnsi"/>
        </w:rPr>
        <w:t xml:space="preserve">The second step would be to isolate those </w:t>
      </w:r>
      <w:r w:rsidR="00917F6C">
        <w:rPr>
          <w:rFonts w:cstheme="minorHAnsi"/>
        </w:rPr>
        <w:t>consumer-focused</w:t>
      </w:r>
      <w:r w:rsidR="003B73D2">
        <w:rPr>
          <w:rFonts w:cstheme="minorHAnsi"/>
        </w:rPr>
        <w:t xml:space="preserve"> </w:t>
      </w:r>
      <w:r w:rsidRPr="008665B9">
        <w:rPr>
          <w:rFonts w:cstheme="minorHAnsi"/>
        </w:rPr>
        <w:t xml:space="preserve">studies which have information deemed valuable, and begin to see if any variable shows any predictive power. Predictive analysis would be run on single variables and then on combinations of variables to see which variables create the best predictive model. </w:t>
      </w:r>
      <w:r w:rsidR="007F2DB2">
        <w:rPr>
          <w:rFonts w:cstheme="minorHAnsi"/>
        </w:rPr>
        <w:t xml:space="preserve">Regression analysis and correlation done in SAS would provide the most predictive variables. </w:t>
      </w:r>
    </w:p>
    <w:p w14:paraId="23CE0302" w14:textId="3D56E0DE" w:rsidR="001E2733" w:rsidRDefault="001E2733" w:rsidP="001E2733">
      <w:pPr>
        <w:spacing w:line="480" w:lineRule="auto"/>
        <w:ind w:firstLine="720"/>
        <w:rPr>
          <w:rFonts w:cstheme="minorHAnsi"/>
        </w:rPr>
      </w:pPr>
      <w:r w:rsidRPr="008665B9">
        <w:rPr>
          <w:rFonts w:cstheme="minorHAnsi"/>
        </w:rPr>
        <w:t xml:space="preserve">Lastly, once the model has been created, a process to check the accuracy would be developed. Given that at a certain point in time we know how much of the credit market is delinquent, it may be possible to run the model, on the older data. </w:t>
      </w:r>
      <w:r w:rsidR="00261E68">
        <w:rPr>
          <w:rFonts w:cstheme="minorHAnsi"/>
        </w:rPr>
        <w:t xml:space="preserve"> </w:t>
      </w:r>
      <w:r w:rsidR="007F2DB2">
        <w:rPr>
          <w:rFonts w:cstheme="minorHAnsi"/>
        </w:rPr>
        <w:t xml:space="preserve">It </w:t>
      </w:r>
      <w:r w:rsidR="00261E68">
        <w:rPr>
          <w:rFonts w:cstheme="minorHAnsi"/>
        </w:rPr>
        <w:t xml:space="preserve">would be like running the analysis backward to see how close the model came to predicting the answer. </w:t>
      </w:r>
    </w:p>
    <w:p w14:paraId="48FD73EC" w14:textId="6BECC633" w:rsidR="007F2DB2" w:rsidRDefault="007F2DB2" w:rsidP="007F2DB2">
      <w:pPr>
        <w:spacing w:line="480" w:lineRule="auto"/>
        <w:rPr>
          <w:rFonts w:cstheme="minorHAnsi"/>
          <w:b/>
          <w:bCs/>
        </w:rPr>
      </w:pPr>
      <w:r>
        <w:rPr>
          <w:rFonts w:cstheme="minorHAnsi"/>
          <w:b/>
          <w:bCs/>
        </w:rPr>
        <w:t>Hypothesis</w:t>
      </w:r>
    </w:p>
    <w:p w14:paraId="7E7C57A4" w14:textId="318D9727" w:rsidR="007F2DB2" w:rsidRPr="008665B9" w:rsidRDefault="007F2DB2" w:rsidP="007F2DB2">
      <w:pPr>
        <w:spacing w:line="480" w:lineRule="auto"/>
        <w:rPr>
          <w:rFonts w:cstheme="minorHAnsi"/>
        </w:rPr>
      </w:pPr>
      <w:r>
        <w:rPr>
          <w:rFonts w:cstheme="minorHAnsi"/>
          <w:b/>
          <w:bCs/>
        </w:rPr>
        <w:tab/>
      </w:r>
      <w:r w:rsidRPr="008665B9">
        <w:rPr>
          <w:rFonts w:cstheme="minorHAnsi"/>
        </w:rPr>
        <w:t xml:space="preserve">There are certain factors which are common to all credit delinquencies.  The challenge becomes finding the </w:t>
      </w:r>
      <w:r w:rsidR="00A54D4C">
        <w:rPr>
          <w:rFonts w:cstheme="minorHAnsi"/>
        </w:rPr>
        <w:t xml:space="preserve">factor, or </w:t>
      </w:r>
      <w:r w:rsidRPr="008665B9">
        <w:rPr>
          <w:rFonts w:cstheme="minorHAnsi"/>
        </w:rPr>
        <w:t>combination of factors that can generate the most predictive power. For years</w:t>
      </w:r>
      <w:r>
        <w:rPr>
          <w:rFonts w:cstheme="minorHAnsi"/>
        </w:rPr>
        <w:t>,</w:t>
      </w:r>
      <w:r w:rsidRPr="008665B9">
        <w:rPr>
          <w:rFonts w:cstheme="minorHAnsi"/>
        </w:rPr>
        <w:t xml:space="preserve"> the gold standard for credit risk has been an individual’s credit score from one of the three reporting bureaus. COVID-19 has changed that dynamic, thanks to its impact on the economy. Using the Federal Reserve Bank of New York quarterly report on Household Debt and Credit, along with other data sources from the Federal Reserve system, a predictive model that considers other variables can be designed. </w:t>
      </w:r>
    </w:p>
    <w:p w14:paraId="033B1E13" w14:textId="788F0654" w:rsidR="007F2DB2" w:rsidRPr="008665B9" w:rsidRDefault="007F2DB2" w:rsidP="007F2DB2">
      <w:pPr>
        <w:spacing w:line="480" w:lineRule="auto"/>
        <w:ind w:firstLine="720"/>
        <w:rPr>
          <w:rFonts w:cstheme="minorHAnsi"/>
        </w:rPr>
      </w:pPr>
      <w:r>
        <w:rPr>
          <w:rFonts w:cstheme="minorHAnsi"/>
        </w:rPr>
        <w:lastRenderedPageBreak/>
        <w:t xml:space="preserve">The research question is this:  </w:t>
      </w:r>
      <w:r w:rsidRPr="008665B9">
        <w:rPr>
          <w:rFonts w:cstheme="minorHAnsi"/>
        </w:rPr>
        <w:t>which factors cause a change in status from current to delinquent</w:t>
      </w:r>
      <w:r>
        <w:rPr>
          <w:rFonts w:cstheme="minorHAnsi"/>
        </w:rPr>
        <w:t xml:space="preserve">?  </w:t>
      </w:r>
      <w:r w:rsidR="006055D3">
        <w:rPr>
          <w:rFonts w:cstheme="minorHAnsi"/>
        </w:rPr>
        <w:t>Additionally, which</w:t>
      </w:r>
      <w:r>
        <w:rPr>
          <w:rFonts w:cstheme="minorHAnsi"/>
        </w:rPr>
        <w:t xml:space="preserve"> of those factors are the ones that have the most impact on a consumer falling </w:t>
      </w:r>
      <w:r w:rsidR="006055D3">
        <w:rPr>
          <w:rFonts w:cstheme="minorHAnsi"/>
        </w:rPr>
        <w:t>behind?</w:t>
      </w:r>
      <w:r>
        <w:rPr>
          <w:rFonts w:cstheme="minorHAnsi"/>
        </w:rPr>
        <w:t xml:space="preserve"> </w:t>
      </w:r>
    </w:p>
    <w:p w14:paraId="2652FE9B" w14:textId="6A75CB62" w:rsidR="00ED6442" w:rsidRDefault="007F2DB2" w:rsidP="007F2DB2">
      <w:pPr>
        <w:spacing w:line="480" w:lineRule="auto"/>
        <w:rPr>
          <w:rFonts w:cstheme="minorHAnsi"/>
        </w:rPr>
      </w:pPr>
      <w:r w:rsidRPr="008665B9">
        <w:rPr>
          <w:rFonts w:cstheme="minorHAnsi"/>
        </w:rPr>
        <w:tab/>
        <w:t>To test this hypothesis, it may be necessary to create a fictitious dataset. It could also be that the Federal Reserve has ways to model certain attributes and create a model based on the data from the hundreds of reports they provide</w:t>
      </w:r>
      <w:r w:rsidR="006055D3">
        <w:rPr>
          <w:rFonts w:cstheme="minorHAnsi"/>
        </w:rPr>
        <w:t xml:space="preserve">. </w:t>
      </w:r>
      <w:r w:rsidR="00ED6442">
        <w:rPr>
          <w:rFonts w:cstheme="minorHAnsi"/>
        </w:rPr>
        <w:t xml:space="preserve">Auto loans and credit card debt will </w:t>
      </w:r>
      <w:proofErr w:type="gramStart"/>
      <w:r w:rsidR="00ED6442">
        <w:rPr>
          <w:rFonts w:cstheme="minorHAnsi"/>
        </w:rPr>
        <w:t>be studied</w:t>
      </w:r>
      <w:proofErr w:type="gramEnd"/>
      <w:r w:rsidR="00ED6442">
        <w:rPr>
          <w:rFonts w:cstheme="minorHAnsi"/>
        </w:rPr>
        <w:t xml:space="preserve">, since these two debts are not subject to any </w:t>
      </w:r>
      <w:r w:rsidR="00A54D4C">
        <w:rPr>
          <w:rFonts w:cstheme="minorHAnsi"/>
        </w:rPr>
        <w:t>forbearance</w:t>
      </w:r>
      <w:r w:rsidR="00ED6442">
        <w:rPr>
          <w:rFonts w:cstheme="minorHAnsi"/>
        </w:rPr>
        <w:t xml:space="preserve">. </w:t>
      </w:r>
    </w:p>
    <w:p w14:paraId="50D659BF" w14:textId="291BB09B" w:rsidR="006055D3" w:rsidRDefault="006055D3" w:rsidP="00ED6442">
      <w:pPr>
        <w:spacing w:line="480" w:lineRule="auto"/>
        <w:ind w:firstLine="720"/>
        <w:rPr>
          <w:rFonts w:cstheme="minorHAnsi"/>
        </w:rPr>
      </w:pPr>
      <w:r>
        <w:rPr>
          <w:rFonts w:cstheme="minorHAnsi"/>
        </w:rPr>
        <w:t xml:space="preserve">To answer the research question, the following hypothesis have </w:t>
      </w:r>
      <w:proofErr w:type="gramStart"/>
      <w:r>
        <w:rPr>
          <w:rFonts w:cstheme="minorHAnsi"/>
        </w:rPr>
        <w:t>been created</w:t>
      </w:r>
      <w:proofErr w:type="gramEnd"/>
      <w:r>
        <w:rPr>
          <w:rFonts w:cstheme="minorHAnsi"/>
        </w:rPr>
        <w:t xml:space="preserve">. </w:t>
      </w:r>
    </w:p>
    <w:p w14:paraId="0DFD7D2C" w14:textId="0A614665" w:rsidR="007F2DB2" w:rsidRPr="008665B9" w:rsidRDefault="007F2DB2" w:rsidP="006055D3">
      <w:pPr>
        <w:spacing w:line="480" w:lineRule="auto"/>
        <w:ind w:firstLine="720"/>
        <w:rPr>
          <w:rFonts w:cstheme="minorHAnsi"/>
        </w:rPr>
      </w:pPr>
      <w:r w:rsidRPr="008665B9">
        <w:rPr>
          <w:rFonts w:cstheme="minorHAnsi"/>
        </w:rPr>
        <w:t xml:space="preserve">The null, and alternative hypothesis would be as follows: </w:t>
      </w:r>
    </w:p>
    <w:p w14:paraId="50B7B24A" w14:textId="77777777" w:rsidR="007F2DB2" w:rsidRPr="008665B9" w:rsidRDefault="007F2DB2" w:rsidP="007F2DB2">
      <w:pPr>
        <w:spacing w:line="480" w:lineRule="auto"/>
        <w:ind w:left="720"/>
        <w:rPr>
          <w:rFonts w:cstheme="minorHAnsi"/>
        </w:rPr>
      </w:pPr>
      <w:proofErr w:type="gramStart"/>
      <w:r w:rsidRPr="008665B9">
        <w:rPr>
          <w:rFonts w:cstheme="minorHAnsi"/>
        </w:rPr>
        <w:t>H</w:t>
      </w:r>
      <w:r w:rsidRPr="008665B9">
        <w:rPr>
          <w:rFonts w:cstheme="minorHAnsi"/>
          <w:vertAlign w:val="subscript"/>
        </w:rPr>
        <w:t xml:space="preserve">A </w:t>
      </w:r>
      <w:r w:rsidRPr="008665B9">
        <w:rPr>
          <w:rFonts w:cstheme="minorHAnsi"/>
        </w:rPr>
        <w:t xml:space="preserve"> =</w:t>
      </w:r>
      <w:proofErr w:type="gramEnd"/>
      <w:r w:rsidRPr="008665B9">
        <w:rPr>
          <w:rFonts w:cstheme="minorHAnsi"/>
        </w:rPr>
        <w:t xml:space="preserve"> Certain factors are strongly correlated with credit delinquency, and can be used to create an accurate predictive model. </w:t>
      </w:r>
    </w:p>
    <w:p w14:paraId="323F9F4B" w14:textId="44085F4B" w:rsidR="007F2DB2" w:rsidRDefault="007F2DB2" w:rsidP="007F2DB2">
      <w:pPr>
        <w:spacing w:line="480" w:lineRule="auto"/>
        <w:ind w:left="720"/>
        <w:rPr>
          <w:rFonts w:cstheme="minorHAnsi"/>
        </w:rPr>
      </w:pPr>
      <w:proofErr w:type="gramStart"/>
      <w:r w:rsidRPr="008665B9">
        <w:rPr>
          <w:rFonts w:cstheme="minorHAnsi"/>
        </w:rPr>
        <w:t>H</w:t>
      </w:r>
      <w:r w:rsidRPr="008665B9">
        <w:rPr>
          <w:rFonts w:cstheme="minorHAnsi"/>
          <w:vertAlign w:val="subscript"/>
        </w:rPr>
        <w:t xml:space="preserve">o </w:t>
      </w:r>
      <w:r w:rsidRPr="008665B9">
        <w:rPr>
          <w:rFonts w:cstheme="minorHAnsi"/>
        </w:rPr>
        <w:t xml:space="preserve"> =</w:t>
      </w:r>
      <w:proofErr w:type="gramEnd"/>
      <w:r w:rsidRPr="008665B9">
        <w:rPr>
          <w:rFonts w:cstheme="minorHAnsi"/>
        </w:rPr>
        <w:t xml:space="preserve"> There is no single factor, or combination of factors, which create an accurate predictive model for delinquency. </w:t>
      </w:r>
    </w:p>
    <w:p w14:paraId="302ABC0B" w14:textId="775B2351" w:rsidR="00A54D4C" w:rsidRDefault="00A54D4C" w:rsidP="00A54D4C">
      <w:pPr>
        <w:spacing w:line="480" w:lineRule="auto"/>
        <w:ind w:firstLine="720"/>
        <w:rPr>
          <w:rFonts w:cstheme="minorHAnsi"/>
        </w:rPr>
      </w:pPr>
      <w:r>
        <w:rPr>
          <w:rFonts w:cstheme="minorHAnsi"/>
        </w:rPr>
        <w:t xml:space="preserve">These hypothesis would be tested on auto loans and credit cards to see if there is a variable, or set of </w:t>
      </w:r>
      <w:proofErr w:type="gramStart"/>
      <w:r>
        <w:rPr>
          <w:rFonts w:cstheme="minorHAnsi"/>
        </w:rPr>
        <w:t>variables  that</w:t>
      </w:r>
      <w:proofErr w:type="gramEnd"/>
      <w:r>
        <w:rPr>
          <w:rFonts w:cstheme="minorHAnsi"/>
        </w:rPr>
        <w:t xml:space="preserve"> can predict delinquencies. </w:t>
      </w:r>
    </w:p>
    <w:p w14:paraId="727805FF" w14:textId="2F33E650" w:rsidR="005B621F" w:rsidRDefault="005B621F" w:rsidP="005B621F">
      <w:pPr>
        <w:spacing w:line="480" w:lineRule="auto"/>
        <w:rPr>
          <w:rFonts w:cstheme="minorHAnsi"/>
          <w:b/>
          <w:bCs/>
        </w:rPr>
      </w:pPr>
      <w:r w:rsidRPr="005B621F">
        <w:rPr>
          <w:rFonts w:cstheme="minorHAnsi"/>
          <w:b/>
          <w:bCs/>
        </w:rPr>
        <w:t>Literature review</w:t>
      </w:r>
    </w:p>
    <w:p w14:paraId="75176A12" w14:textId="19F22731" w:rsidR="00FF074F" w:rsidRPr="00FF074F" w:rsidRDefault="00FF074F" w:rsidP="005B621F">
      <w:pPr>
        <w:spacing w:line="480" w:lineRule="auto"/>
        <w:rPr>
          <w:rFonts w:cstheme="minorHAnsi"/>
        </w:rPr>
      </w:pPr>
      <w:r>
        <w:rPr>
          <w:rFonts w:cstheme="minorHAnsi"/>
          <w:b/>
          <w:bCs/>
        </w:rPr>
        <w:tab/>
      </w:r>
      <w:r>
        <w:rPr>
          <w:rFonts w:cstheme="minorHAnsi"/>
        </w:rPr>
        <w:t xml:space="preserve">The </w:t>
      </w:r>
      <w:r w:rsidR="0067782C">
        <w:rPr>
          <w:rFonts w:cstheme="minorHAnsi"/>
        </w:rPr>
        <w:t>F</w:t>
      </w:r>
      <w:r>
        <w:rPr>
          <w:rFonts w:cstheme="minorHAnsi"/>
        </w:rPr>
        <w:t xml:space="preserve">ederal </w:t>
      </w:r>
      <w:r w:rsidR="0067782C">
        <w:rPr>
          <w:rFonts w:cstheme="minorHAnsi"/>
        </w:rPr>
        <w:t>R</w:t>
      </w:r>
      <w:r>
        <w:rPr>
          <w:rFonts w:cstheme="minorHAnsi"/>
        </w:rPr>
        <w:t xml:space="preserve">eserve </w:t>
      </w:r>
      <w:r w:rsidR="0067782C">
        <w:rPr>
          <w:rFonts w:cstheme="minorHAnsi"/>
        </w:rPr>
        <w:t>S</w:t>
      </w:r>
      <w:r>
        <w:rPr>
          <w:rFonts w:cstheme="minorHAnsi"/>
        </w:rPr>
        <w:t xml:space="preserve">ystem offers very little in the way of literature. It does have amazing and complex surveys regarding consumer attitudes. </w:t>
      </w:r>
      <w:r w:rsidR="0067782C">
        <w:rPr>
          <w:rFonts w:cstheme="minorHAnsi"/>
        </w:rPr>
        <w:t xml:space="preserve">Understanding the numbers is one aspect of this crisis. The other side is understanding human behavior and societal issues that drive the use of credit. </w:t>
      </w:r>
    </w:p>
    <w:p w14:paraId="1B4421F0" w14:textId="210BFDA1" w:rsidR="005B621F" w:rsidRDefault="005B621F" w:rsidP="005B621F">
      <w:pPr>
        <w:spacing w:line="480" w:lineRule="auto"/>
        <w:rPr>
          <w:rFonts w:cstheme="minorHAnsi"/>
        </w:rPr>
      </w:pPr>
      <w:r>
        <w:rPr>
          <w:rFonts w:cstheme="minorHAnsi"/>
          <w:b/>
          <w:bCs/>
        </w:rPr>
        <w:tab/>
      </w:r>
      <w:r>
        <w:rPr>
          <w:rFonts w:cstheme="minorHAnsi"/>
        </w:rPr>
        <w:t xml:space="preserve">As stated earlier, COVID-19 has impacted every area of the economy. Consumer debt is no exception. </w:t>
      </w:r>
      <w:r w:rsidR="00673D76">
        <w:rPr>
          <w:rFonts w:cstheme="minorHAnsi"/>
        </w:rPr>
        <w:t xml:space="preserve">In reviewing the literature regarding the social impact of debt on consumers, it becomes clear </w:t>
      </w:r>
      <w:r w:rsidR="00673D76">
        <w:rPr>
          <w:rFonts w:cstheme="minorHAnsi"/>
        </w:rPr>
        <w:lastRenderedPageBreak/>
        <w:t xml:space="preserve">that the decision to go into debt in the first place is driven more by societal expectations, than actual need. </w:t>
      </w:r>
      <w:r w:rsidR="00FF074F">
        <w:rPr>
          <w:rFonts w:cstheme="minorHAnsi"/>
        </w:rPr>
        <w:t>In</w:t>
      </w:r>
      <w:r w:rsidR="00673D76">
        <w:rPr>
          <w:rFonts w:cstheme="minorHAnsi"/>
        </w:rPr>
        <w:t xml:space="preserve"> a study by the Aspen Institute, </w:t>
      </w:r>
      <w:r w:rsidR="00A5543E">
        <w:rPr>
          <w:rFonts w:cstheme="minorHAnsi"/>
        </w:rPr>
        <w:t xml:space="preserve">the findings showed that </w:t>
      </w:r>
      <w:r w:rsidR="00673D76">
        <w:rPr>
          <w:rFonts w:cstheme="minorHAnsi"/>
        </w:rPr>
        <w:t xml:space="preserve">people often support status-enhancing consumption through borrowing (Holt &amp; Lucas McKay, n.d.). </w:t>
      </w:r>
    </w:p>
    <w:p w14:paraId="495E5AA3" w14:textId="1CA513C2" w:rsidR="00917F6C" w:rsidRDefault="009E6B17" w:rsidP="005B621F">
      <w:pPr>
        <w:spacing w:line="480" w:lineRule="auto"/>
        <w:rPr>
          <w:rFonts w:cstheme="minorHAnsi"/>
        </w:rPr>
      </w:pPr>
      <w:r>
        <w:rPr>
          <w:rFonts w:cstheme="minorHAnsi"/>
        </w:rPr>
        <w:tab/>
        <w:t xml:space="preserve">Lending institutions understand this and have developed products for lower income </w:t>
      </w:r>
      <w:r w:rsidR="00C747A8">
        <w:rPr>
          <w:rFonts w:cstheme="minorHAnsi"/>
        </w:rPr>
        <w:t>and</w:t>
      </w:r>
      <w:r>
        <w:rPr>
          <w:rFonts w:cstheme="minorHAnsi"/>
        </w:rPr>
        <w:t xml:space="preserve"> lower credit risk score clients.  The new products led to growth in unemployed consumers having access to credit cards to borrow to cover short falls. From 1977 to 2010 the rate of consumers with</w:t>
      </w:r>
      <w:r w:rsidR="001473FD">
        <w:rPr>
          <w:rFonts w:cstheme="minorHAnsi"/>
        </w:rPr>
        <w:t xml:space="preserve"> uneven job tenures who had</w:t>
      </w:r>
      <w:r>
        <w:rPr>
          <w:rFonts w:cstheme="minorHAnsi"/>
        </w:rPr>
        <w:t xml:space="preserve"> access to credit cards grew from 17% to 45% </w:t>
      </w:r>
      <w:r w:rsidR="00FD2315">
        <w:rPr>
          <w:rFonts w:cstheme="minorHAnsi"/>
        </w:rPr>
        <w:t>(</w:t>
      </w:r>
      <w:proofErr w:type="spellStart"/>
      <w:r w:rsidR="00FD2315">
        <w:rPr>
          <w:rFonts w:cstheme="minorHAnsi"/>
        </w:rPr>
        <w:t>Herkenhoff</w:t>
      </w:r>
      <w:proofErr w:type="spellEnd"/>
      <w:r w:rsidR="00FD2315">
        <w:rPr>
          <w:rFonts w:cstheme="minorHAnsi"/>
        </w:rPr>
        <w:t xml:space="preserve">, 2019). </w:t>
      </w:r>
    </w:p>
    <w:p w14:paraId="343D71F0" w14:textId="4D87AC07" w:rsidR="009E6B17" w:rsidRDefault="00917F6C" w:rsidP="00917F6C">
      <w:pPr>
        <w:spacing w:line="480" w:lineRule="auto"/>
        <w:ind w:firstLine="720"/>
        <w:rPr>
          <w:rFonts w:cstheme="minorHAnsi"/>
        </w:rPr>
      </w:pPr>
      <w:r>
        <w:rPr>
          <w:rFonts w:cstheme="minorHAnsi"/>
        </w:rPr>
        <w:t>T</w:t>
      </w:r>
      <w:r w:rsidR="00FF074F">
        <w:rPr>
          <w:rFonts w:cstheme="minorHAnsi"/>
        </w:rPr>
        <w:t xml:space="preserve">hese two pieces </w:t>
      </w:r>
      <w:r w:rsidR="0067782C">
        <w:rPr>
          <w:rFonts w:cstheme="minorHAnsi"/>
        </w:rPr>
        <w:t>paint</w:t>
      </w:r>
      <w:r w:rsidR="00FF074F">
        <w:rPr>
          <w:rFonts w:cstheme="minorHAnsi"/>
        </w:rPr>
        <w:t xml:space="preserve"> the picture of the COVID-19 credit user. Prior to the pandemic, optimism and wages were high, borrowing rates were low, so the decision was made to purchase a car, go on a trip, refurbish a bathroom, all on borrowed money. </w:t>
      </w:r>
      <w:r w:rsidR="001473FD">
        <w:rPr>
          <w:rFonts w:cstheme="minorHAnsi"/>
        </w:rPr>
        <w:t xml:space="preserve">The payments could be handled by the budget. </w:t>
      </w:r>
      <w:r w:rsidR="00FF074F">
        <w:rPr>
          <w:rFonts w:cstheme="minorHAnsi"/>
        </w:rPr>
        <w:t xml:space="preserve">Now, the </w:t>
      </w:r>
      <w:r w:rsidR="0067782C">
        <w:rPr>
          <w:rFonts w:cstheme="minorHAnsi"/>
        </w:rPr>
        <w:t>borrowing for the trip</w:t>
      </w:r>
      <w:r w:rsidR="003071CB">
        <w:rPr>
          <w:rFonts w:cstheme="minorHAnsi"/>
        </w:rPr>
        <w:t>,</w:t>
      </w:r>
      <w:r w:rsidR="0067782C">
        <w:rPr>
          <w:rFonts w:cstheme="minorHAnsi"/>
        </w:rPr>
        <w:t xml:space="preserve"> or bathroom is still being paid for, </w:t>
      </w:r>
      <w:r w:rsidR="003071CB">
        <w:rPr>
          <w:rFonts w:cstheme="minorHAnsi"/>
        </w:rPr>
        <w:t xml:space="preserve">along with all the other bills. This </w:t>
      </w:r>
      <w:r w:rsidR="00173C82">
        <w:rPr>
          <w:rFonts w:cstheme="minorHAnsi"/>
        </w:rPr>
        <w:t>causes</w:t>
      </w:r>
      <w:r w:rsidR="003071CB">
        <w:rPr>
          <w:rFonts w:cstheme="minorHAnsi"/>
        </w:rPr>
        <w:t xml:space="preserve"> a great deal of stress of consumers. </w:t>
      </w:r>
    </w:p>
    <w:p w14:paraId="657BBA3E" w14:textId="07D8318B" w:rsidR="005F75FC" w:rsidRDefault="0067782C" w:rsidP="005B621F">
      <w:pPr>
        <w:spacing w:line="480" w:lineRule="auto"/>
        <w:rPr>
          <w:rFonts w:cstheme="minorHAnsi"/>
        </w:rPr>
      </w:pPr>
      <w:r>
        <w:rPr>
          <w:rFonts w:cstheme="minorHAnsi"/>
        </w:rPr>
        <w:tab/>
      </w:r>
      <w:r w:rsidR="00A5543E">
        <w:rPr>
          <w:rFonts w:cstheme="minorHAnsi"/>
        </w:rPr>
        <w:t>T</w:t>
      </w:r>
      <w:r w:rsidR="003071CB">
        <w:rPr>
          <w:rFonts w:cstheme="minorHAnsi"/>
        </w:rPr>
        <w:t>o maintain stability in the housing market,</w:t>
      </w:r>
      <w:r w:rsidR="00173C82">
        <w:rPr>
          <w:rFonts w:cstheme="minorHAnsi"/>
        </w:rPr>
        <w:t xml:space="preserve"> and ease homeowner stress, t</w:t>
      </w:r>
      <w:r>
        <w:rPr>
          <w:rFonts w:cstheme="minorHAnsi"/>
        </w:rPr>
        <w:t>he Corona</w:t>
      </w:r>
      <w:r w:rsidR="003071CB">
        <w:rPr>
          <w:rFonts w:cstheme="minorHAnsi"/>
        </w:rPr>
        <w:t>virus Aid, Relief</w:t>
      </w:r>
      <w:r w:rsidR="00173C82">
        <w:rPr>
          <w:rFonts w:cstheme="minorHAnsi"/>
        </w:rPr>
        <w:t>,</w:t>
      </w:r>
      <w:r w:rsidR="003071CB">
        <w:rPr>
          <w:rFonts w:cstheme="minorHAnsi"/>
        </w:rPr>
        <w:t xml:space="preserve"> and Economic Security Act</w:t>
      </w:r>
      <w:r w:rsidR="001473FD">
        <w:rPr>
          <w:rFonts w:cstheme="minorHAnsi"/>
        </w:rPr>
        <w:t xml:space="preserve"> (CARES </w:t>
      </w:r>
      <w:r w:rsidR="00A54D4C">
        <w:rPr>
          <w:rFonts w:cstheme="minorHAnsi"/>
        </w:rPr>
        <w:t>act) has</w:t>
      </w:r>
      <w:r w:rsidR="003071CB">
        <w:rPr>
          <w:rFonts w:cstheme="minorHAnsi"/>
        </w:rPr>
        <w:t xml:space="preserve"> allowed consumers to skip mortgage payments without penalty (derogatory credit – late payment notation).  A homeowner is eligible for ‘forbearance</w:t>
      </w:r>
      <w:r w:rsidR="005F75FC">
        <w:rPr>
          <w:rFonts w:cstheme="minorHAnsi"/>
        </w:rPr>
        <w:t>’ provided</w:t>
      </w:r>
      <w:r w:rsidR="003071CB">
        <w:rPr>
          <w:rFonts w:cstheme="minorHAnsi"/>
        </w:rPr>
        <w:t xml:space="preserve"> the mortgage is </w:t>
      </w:r>
      <w:r w:rsidR="00173C82">
        <w:rPr>
          <w:rFonts w:cstheme="minorHAnsi"/>
        </w:rPr>
        <w:t>f</w:t>
      </w:r>
      <w:r w:rsidR="003071CB">
        <w:rPr>
          <w:rFonts w:cstheme="minorHAnsi"/>
        </w:rPr>
        <w:t>ederally guaranteed, and they meet other requirements.</w:t>
      </w:r>
      <w:r w:rsidR="005F75FC">
        <w:rPr>
          <w:rFonts w:cstheme="minorHAnsi"/>
        </w:rPr>
        <w:t xml:space="preserve"> For a period of 180 days, with an option for an additional 180 days, the property owner does not have to make payments</w:t>
      </w:r>
      <w:r w:rsidR="00173C82">
        <w:rPr>
          <w:rFonts w:cstheme="minorHAnsi"/>
        </w:rPr>
        <w:t xml:space="preserve">. All </w:t>
      </w:r>
      <w:r w:rsidR="005F75FC">
        <w:rPr>
          <w:rFonts w:cstheme="minorHAnsi"/>
        </w:rPr>
        <w:t>with little or no consequence to them at the time the decision is made</w:t>
      </w:r>
      <w:r w:rsidR="00A5543E">
        <w:rPr>
          <w:rFonts w:cstheme="minorHAnsi"/>
        </w:rPr>
        <w:t xml:space="preserve"> to take advantage of the program</w:t>
      </w:r>
      <w:r w:rsidR="005F75FC">
        <w:rPr>
          <w:rFonts w:cstheme="minorHAnsi"/>
        </w:rPr>
        <w:t xml:space="preserve">. The payments are either added to the end of the loan, spread across the remaining </w:t>
      </w:r>
      <w:r w:rsidR="008332FF">
        <w:rPr>
          <w:rFonts w:cstheme="minorHAnsi"/>
        </w:rPr>
        <w:t>months,</w:t>
      </w:r>
      <w:r w:rsidR="00173C82">
        <w:rPr>
          <w:rFonts w:cstheme="minorHAnsi"/>
        </w:rPr>
        <w:t xml:space="preserve"> or left as a balloon payment due at the time the house is sold</w:t>
      </w:r>
      <w:r w:rsidR="005F75FC">
        <w:rPr>
          <w:rFonts w:cstheme="minorHAnsi"/>
        </w:rPr>
        <w:t xml:space="preserve">. This is in essence a form of borrowing, but one which is legislated. If the loan was reviewed, given the changes in conditions due </w:t>
      </w:r>
      <w:r w:rsidR="008332FF">
        <w:rPr>
          <w:rFonts w:cstheme="minorHAnsi"/>
        </w:rPr>
        <w:t>to COVID</w:t>
      </w:r>
      <w:r w:rsidR="005F75FC">
        <w:rPr>
          <w:rFonts w:cstheme="minorHAnsi"/>
        </w:rPr>
        <w:t xml:space="preserve">-19 would the property owner qualify? In 2008 the property would have been repossessed after a certain </w:t>
      </w:r>
      <w:r w:rsidR="005F75FC">
        <w:rPr>
          <w:rFonts w:cstheme="minorHAnsi"/>
        </w:rPr>
        <w:lastRenderedPageBreak/>
        <w:t>number of months</w:t>
      </w:r>
      <w:r w:rsidR="00173C82">
        <w:rPr>
          <w:rFonts w:cstheme="minorHAnsi"/>
        </w:rPr>
        <w:t xml:space="preserve"> of non-payment.</w:t>
      </w:r>
      <w:r w:rsidR="00917F6C">
        <w:rPr>
          <w:rFonts w:cstheme="minorHAnsi"/>
        </w:rPr>
        <w:t xml:space="preserve"> In COVID-19, Federally guaranteed mortgage payments are forgiven</w:t>
      </w:r>
      <w:r w:rsidR="00966004">
        <w:rPr>
          <w:rFonts w:cstheme="minorHAnsi"/>
        </w:rPr>
        <w:t xml:space="preserve"> for a period of up to a year. </w:t>
      </w:r>
      <w:r w:rsidR="00173C82">
        <w:rPr>
          <w:rFonts w:cstheme="minorHAnsi"/>
        </w:rPr>
        <w:t xml:space="preserve"> </w:t>
      </w:r>
    </w:p>
    <w:p w14:paraId="40DCFE16" w14:textId="48E8BD60" w:rsidR="0022119F" w:rsidRDefault="00173C82" w:rsidP="00A54D4C">
      <w:pPr>
        <w:spacing w:line="480" w:lineRule="auto"/>
        <w:ind w:firstLine="720"/>
        <w:rPr>
          <w:rFonts w:cstheme="minorHAnsi"/>
        </w:rPr>
      </w:pPr>
      <w:r>
        <w:rPr>
          <w:rFonts w:cstheme="minorHAnsi"/>
        </w:rPr>
        <w:t>This legislation</w:t>
      </w:r>
      <w:r w:rsidR="00966004">
        <w:rPr>
          <w:rFonts w:cstheme="minorHAnsi"/>
        </w:rPr>
        <w:t>,</w:t>
      </w:r>
      <w:r>
        <w:rPr>
          <w:rFonts w:cstheme="minorHAnsi"/>
        </w:rPr>
        <w:t xml:space="preserve"> while good for property owners, changes the actual delinquency rates in the mortgage market, and therefore the ability of any model to be accurate. </w:t>
      </w:r>
      <w:r w:rsidR="003071CB">
        <w:rPr>
          <w:rFonts w:cstheme="minorHAnsi"/>
        </w:rPr>
        <w:t xml:space="preserve"> </w:t>
      </w:r>
      <w:r w:rsidR="005F75FC">
        <w:rPr>
          <w:rFonts w:cstheme="minorHAnsi"/>
        </w:rPr>
        <w:t>Therefore,</w:t>
      </w:r>
      <w:r w:rsidR="003071CB">
        <w:rPr>
          <w:rFonts w:cstheme="minorHAnsi"/>
        </w:rPr>
        <w:t xml:space="preserve"> for the </w:t>
      </w:r>
      <w:r w:rsidR="005F75FC">
        <w:rPr>
          <w:rFonts w:cstheme="minorHAnsi"/>
        </w:rPr>
        <w:t>purposes</w:t>
      </w:r>
      <w:r w:rsidR="003071CB">
        <w:rPr>
          <w:rFonts w:cstheme="minorHAnsi"/>
        </w:rPr>
        <w:t xml:space="preserve"> of the predictive </w:t>
      </w:r>
      <w:r w:rsidR="005F75FC">
        <w:rPr>
          <w:rFonts w:cstheme="minorHAnsi"/>
        </w:rPr>
        <w:t>model;</w:t>
      </w:r>
      <w:r w:rsidR="003071CB">
        <w:rPr>
          <w:rFonts w:cstheme="minorHAnsi"/>
        </w:rPr>
        <w:t xml:space="preserve"> the decision was made to not use mortgage data. Figure 3 shows clearly the impact of this policy. </w:t>
      </w:r>
      <w:r>
        <w:rPr>
          <w:rFonts w:cstheme="minorHAnsi"/>
        </w:rPr>
        <w:t xml:space="preserve"> Forbearance started </w:t>
      </w:r>
      <w:r w:rsidR="00A5543E">
        <w:rPr>
          <w:rFonts w:cstheme="minorHAnsi"/>
        </w:rPr>
        <w:t xml:space="preserve">in the first quarter of 2020, and delinquent mortgages fell by over 50%. </w:t>
      </w:r>
      <w:r>
        <w:rPr>
          <w:rFonts w:cstheme="minorHAnsi"/>
        </w:rPr>
        <w:t xml:space="preserve"> </w:t>
      </w:r>
    </w:p>
    <w:p w14:paraId="4B78FC92" w14:textId="62F7FC71" w:rsidR="003071CB" w:rsidRDefault="003071CB" w:rsidP="003071CB">
      <w:pPr>
        <w:spacing w:line="240" w:lineRule="auto"/>
        <w:rPr>
          <w:rFonts w:cstheme="minorHAnsi"/>
          <w:b/>
          <w:bCs/>
        </w:rPr>
      </w:pPr>
      <w:r>
        <w:rPr>
          <w:rFonts w:cstheme="minorHAnsi"/>
          <w:b/>
          <w:bCs/>
        </w:rPr>
        <w:t xml:space="preserve">Figure 3 </w:t>
      </w:r>
    </w:p>
    <w:p w14:paraId="41FD3EE2" w14:textId="2164BF8C" w:rsidR="0077636F" w:rsidRPr="0077636F" w:rsidRDefault="003071CB" w:rsidP="0077636F">
      <w:pPr>
        <w:spacing w:line="240" w:lineRule="auto"/>
        <w:rPr>
          <w:rFonts w:cstheme="minorHAnsi"/>
          <w:i/>
          <w:iCs/>
        </w:rPr>
      </w:pPr>
      <w:r w:rsidRPr="003071CB">
        <w:rPr>
          <w:rFonts w:cstheme="minorHAnsi"/>
          <w:i/>
          <w:iCs/>
        </w:rPr>
        <w:t xml:space="preserve">Impact of Forbearance </w:t>
      </w:r>
      <w:r>
        <w:rPr>
          <w:rFonts w:cstheme="minorHAnsi"/>
          <w:i/>
          <w:iCs/>
        </w:rPr>
        <w:t>on mort</w:t>
      </w:r>
      <w:r w:rsidR="005F75FC">
        <w:rPr>
          <w:rFonts w:cstheme="minorHAnsi"/>
          <w:i/>
          <w:iCs/>
        </w:rPr>
        <w:t>g</w:t>
      </w:r>
      <w:r>
        <w:rPr>
          <w:rFonts w:cstheme="minorHAnsi"/>
          <w:i/>
          <w:iCs/>
        </w:rPr>
        <w:t xml:space="preserve">age </w:t>
      </w:r>
      <w:r w:rsidR="005F75FC">
        <w:rPr>
          <w:rFonts w:cstheme="minorHAnsi"/>
          <w:i/>
          <w:iCs/>
        </w:rPr>
        <w:t xml:space="preserve">delinquency. </w:t>
      </w:r>
      <w:r w:rsidR="0077636F">
        <w:rPr>
          <w:rFonts w:cstheme="minorHAnsi"/>
          <w:i/>
          <w:iCs/>
        </w:rPr>
        <w:t>(Federal Reserve Bank of New York, 2021 pg. 15)</w:t>
      </w:r>
    </w:p>
    <w:p w14:paraId="718AA842" w14:textId="77777777" w:rsidR="0077636F" w:rsidRDefault="0077636F" w:rsidP="0077636F">
      <w:pPr>
        <w:spacing w:line="240" w:lineRule="auto"/>
        <w:rPr>
          <w:rFonts w:cstheme="minorHAnsi"/>
          <w:b/>
          <w:bCs/>
          <w:color w:val="000000"/>
          <w:shd w:val="clear" w:color="auto" w:fill="FFFFFF"/>
        </w:rPr>
      </w:pPr>
    </w:p>
    <w:p w14:paraId="768243E5" w14:textId="12C32AAB" w:rsidR="001E2733" w:rsidRPr="001E2733" w:rsidRDefault="0077636F" w:rsidP="0077636F">
      <w:pPr>
        <w:spacing w:after="0" w:line="480" w:lineRule="auto"/>
        <w:jc w:val="center"/>
        <w:rPr>
          <w:rFonts w:cstheme="minorHAnsi"/>
          <w:b/>
          <w:bCs/>
        </w:rPr>
      </w:pPr>
      <w:r>
        <w:rPr>
          <w:noProof/>
        </w:rPr>
        <w:drawing>
          <wp:inline distT="0" distB="0" distL="0" distR="0" wp14:anchorId="64489765" wp14:editId="2484F42F">
            <wp:extent cx="6534150" cy="4307205"/>
            <wp:effectExtent l="0" t="0" r="0" b="17145"/>
            <wp:docPr id="5" name="Chart 5">
              <a:extLst xmlns:a="http://schemas.openxmlformats.org/drawingml/2006/main">
                <a:ext uri="{FF2B5EF4-FFF2-40B4-BE49-F238E27FC236}">
                  <a16:creationId xmlns:a16="http://schemas.microsoft.com/office/drawing/2014/main" id="{00000000-0008-0000-1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1101F5" w14:textId="77777777" w:rsidR="00EA67CC" w:rsidRDefault="00EA67CC" w:rsidP="008332FF">
      <w:pPr>
        <w:spacing w:line="480" w:lineRule="auto"/>
        <w:rPr>
          <w:rFonts w:cstheme="minorHAnsi"/>
          <w:b/>
          <w:bCs/>
          <w:color w:val="000000"/>
          <w:shd w:val="clear" w:color="auto" w:fill="FFFFFF"/>
        </w:rPr>
      </w:pPr>
    </w:p>
    <w:p w14:paraId="6EDBB219" w14:textId="0118C382" w:rsidR="00A5543E" w:rsidRPr="008332FF" w:rsidRDefault="00A5543E" w:rsidP="008332FF">
      <w:pPr>
        <w:spacing w:line="480" w:lineRule="auto"/>
        <w:rPr>
          <w:rFonts w:cstheme="minorHAnsi"/>
          <w:b/>
          <w:bCs/>
          <w:color w:val="000000"/>
          <w:shd w:val="clear" w:color="auto" w:fill="FFFFFF"/>
        </w:rPr>
      </w:pPr>
      <w:r w:rsidRPr="008665B9">
        <w:rPr>
          <w:rFonts w:cstheme="minorHAnsi"/>
          <w:b/>
          <w:bCs/>
          <w:color w:val="000000"/>
          <w:shd w:val="clear" w:color="auto" w:fill="FFFFFF"/>
        </w:rPr>
        <w:lastRenderedPageBreak/>
        <w:t xml:space="preserve">Research Design: Methodology, </w:t>
      </w:r>
      <w:r>
        <w:rPr>
          <w:rFonts w:cstheme="minorHAnsi"/>
          <w:b/>
          <w:bCs/>
          <w:color w:val="000000"/>
          <w:shd w:val="clear" w:color="auto" w:fill="FFFFFF"/>
        </w:rPr>
        <w:t>M</w:t>
      </w:r>
      <w:r w:rsidRPr="008665B9">
        <w:rPr>
          <w:rFonts w:cstheme="minorHAnsi"/>
          <w:b/>
          <w:bCs/>
          <w:color w:val="000000"/>
          <w:shd w:val="clear" w:color="auto" w:fill="FFFFFF"/>
        </w:rPr>
        <w:t xml:space="preserve">ethods, </w:t>
      </w:r>
      <w:r>
        <w:rPr>
          <w:rFonts w:cstheme="minorHAnsi"/>
          <w:b/>
          <w:bCs/>
          <w:color w:val="000000"/>
          <w:shd w:val="clear" w:color="auto" w:fill="FFFFFF"/>
        </w:rPr>
        <w:t>L</w:t>
      </w:r>
      <w:r w:rsidRPr="008665B9">
        <w:rPr>
          <w:rFonts w:cstheme="minorHAnsi"/>
          <w:b/>
          <w:bCs/>
          <w:color w:val="000000"/>
          <w:shd w:val="clear" w:color="auto" w:fill="FFFFFF"/>
        </w:rPr>
        <w:t xml:space="preserve">imitations, and </w:t>
      </w:r>
      <w:r>
        <w:rPr>
          <w:rFonts w:cstheme="minorHAnsi"/>
          <w:b/>
          <w:bCs/>
          <w:color w:val="000000"/>
          <w:shd w:val="clear" w:color="auto" w:fill="FFFFFF"/>
        </w:rPr>
        <w:t>E</w:t>
      </w:r>
      <w:r w:rsidRPr="008665B9">
        <w:rPr>
          <w:rFonts w:cstheme="minorHAnsi"/>
          <w:b/>
          <w:bCs/>
          <w:color w:val="000000"/>
          <w:shd w:val="clear" w:color="auto" w:fill="FFFFFF"/>
        </w:rPr>
        <w:t xml:space="preserve">thical </w:t>
      </w:r>
      <w:r>
        <w:rPr>
          <w:rFonts w:cstheme="minorHAnsi"/>
          <w:b/>
          <w:bCs/>
          <w:color w:val="000000"/>
          <w:shd w:val="clear" w:color="auto" w:fill="FFFFFF"/>
        </w:rPr>
        <w:t>C</w:t>
      </w:r>
      <w:r w:rsidRPr="008665B9">
        <w:rPr>
          <w:rFonts w:cstheme="minorHAnsi"/>
          <w:b/>
          <w:bCs/>
          <w:color w:val="000000"/>
          <w:shd w:val="clear" w:color="auto" w:fill="FFFFFF"/>
        </w:rPr>
        <w:t>onsiderations</w:t>
      </w:r>
    </w:p>
    <w:p w14:paraId="3FBEC1CF" w14:textId="1D9BF706" w:rsidR="00A5543E" w:rsidRDefault="00A5543E" w:rsidP="008332FF">
      <w:pPr>
        <w:spacing w:line="480" w:lineRule="auto"/>
        <w:ind w:firstLine="720"/>
        <w:rPr>
          <w:rFonts w:cstheme="minorHAnsi"/>
          <w:color w:val="000000"/>
          <w:shd w:val="clear" w:color="auto" w:fill="FFFFFF"/>
        </w:rPr>
      </w:pPr>
      <w:r w:rsidRPr="008665B9">
        <w:rPr>
          <w:rFonts w:cstheme="minorHAnsi"/>
          <w:color w:val="000000"/>
          <w:shd w:val="clear" w:color="auto" w:fill="FFFFFF"/>
        </w:rPr>
        <w:t xml:space="preserve">The project is looking to create a predictive model that can help banks find out which consumers are at risk for delinquency, but not yet delinquent. The Federal Reserve data is anonymous, so there are no real worries as to data privacy, or ethical concerns as to data collection or use.  If the model works, it should be able to give a composite sketch of a consumer at risk. The addition of a bank’s client list would create an entirely different situation requiring several security protocols, and notification of clients as to what was going on. </w:t>
      </w:r>
    </w:p>
    <w:p w14:paraId="09122E5E" w14:textId="77777777" w:rsidR="00EA67CC" w:rsidRDefault="00EA67CC" w:rsidP="00EA67CC">
      <w:pPr>
        <w:spacing w:line="480" w:lineRule="auto"/>
        <w:rPr>
          <w:rFonts w:cstheme="minorHAnsi"/>
          <w:b/>
          <w:bCs/>
          <w:color w:val="000000"/>
          <w:shd w:val="clear" w:color="auto" w:fill="FFFFFF"/>
        </w:rPr>
      </w:pPr>
      <w:r>
        <w:rPr>
          <w:rFonts w:cstheme="minorHAnsi"/>
          <w:b/>
          <w:bCs/>
          <w:color w:val="000000"/>
          <w:shd w:val="clear" w:color="auto" w:fill="FFFFFF"/>
        </w:rPr>
        <w:t>Methodology</w:t>
      </w:r>
    </w:p>
    <w:p w14:paraId="198970B7" w14:textId="3406EA50" w:rsidR="00EA67CC" w:rsidRPr="008332FF" w:rsidRDefault="00EA67CC" w:rsidP="00EA67CC">
      <w:pPr>
        <w:spacing w:line="480" w:lineRule="auto"/>
        <w:rPr>
          <w:rFonts w:cstheme="minorHAnsi"/>
          <w:color w:val="000000"/>
          <w:shd w:val="clear" w:color="auto" w:fill="FFFFFF"/>
        </w:rPr>
      </w:pPr>
      <w:r>
        <w:rPr>
          <w:rFonts w:cstheme="minorHAnsi"/>
          <w:b/>
          <w:bCs/>
          <w:color w:val="000000"/>
          <w:shd w:val="clear" w:color="auto" w:fill="FFFFFF"/>
        </w:rPr>
        <w:tab/>
      </w:r>
      <w:r w:rsidRPr="008332FF">
        <w:rPr>
          <w:rFonts w:cstheme="minorHAnsi"/>
          <w:color w:val="000000"/>
          <w:shd w:val="clear" w:color="auto" w:fill="FFFFFF"/>
        </w:rPr>
        <w:t xml:space="preserve">The software platform SAS will </w:t>
      </w:r>
      <w:proofErr w:type="gramStart"/>
      <w:r w:rsidRPr="008332FF">
        <w:rPr>
          <w:rFonts w:cstheme="minorHAnsi"/>
          <w:color w:val="000000"/>
          <w:shd w:val="clear" w:color="auto" w:fill="FFFFFF"/>
        </w:rPr>
        <w:t>be used</w:t>
      </w:r>
      <w:proofErr w:type="gramEnd"/>
      <w:r w:rsidRPr="008332FF">
        <w:rPr>
          <w:rFonts w:cstheme="minorHAnsi"/>
          <w:color w:val="000000"/>
          <w:shd w:val="clear" w:color="auto" w:fill="FFFFFF"/>
        </w:rPr>
        <w:t xml:space="preserve"> to generate correlation reports as well as regression analysis</w:t>
      </w:r>
      <w:r>
        <w:rPr>
          <w:rFonts w:cstheme="minorHAnsi"/>
          <w:color w:val="000000"/>
          <w:shd w:val="clear" w:color="auto" w:fill="FFFFFF"/>
        </w:rPr>
        <w:t xml:space="preserve"> to try and determine the variables which add to the predictive power of the model. Being able </w:t>
      </w:r>
      <w:r w:rsidR="00966004">
        <w:rPr>
          <w:rFonts w:cstheme="minorHAnsi"/>
          <w:color w:val="000000"/>
          <w:shd w:val="clear" w:color="auto" w:fill="FFFFFF"/>
        </w:rPr>
        <w:t xml:space="preserve">to chose which variables have the highest correlations will make sure the model is accurate. </w:t>
      </w:r>
    </w:p>
    <w:p w14:paraId="03606B96" w14:textId="69EE2FD3" w:rsidR="008332FF" w:rsidRPr="008332FF" w:rsidRDefault="008332FF" w:rsidP="008332FF">
      <w:pPr>
        <w:spacing w:line="480" w:lineRule="auto"/>
        <w:rPr>
          <w:rFonts w:cstheme="minorHAnsi"/>
          <w:b/>
          <w:bCs/>
          <w:color w:val="000000"/>
          <w:shd w:val="clear" w:color="auto" w:fill="FFFFFF"/>
        </w:rPr>
      </w:pPr>
      <w:r>
        <w:rPr>
          <w:rFonts w:cstheme="minorHAnsi"/>
          <w:b/>
          <w:bCs/>
          <w:color w:val="000000"/>
          <w:shd w:val="clear" w:color="auto" w:fill="FFFFFF"/>
        </w:rPr>
        <w:t>Method</w:t>
      </w:r>
    </w:p>
    <w:p w14:paraId="4B9049AE" w14:textId="77777777" w:rsidR="00966004" w:rsidRDefault="00A5543E" w:rsidP="00A5543E">
      <w:pPr>
        <w:spacing w:line="480" w:lineRule="auto"/>
        <w:rPr>
          <w:rFonts w:cstheme="minorHAnsi"/>
          <w:color w:val="000000"/>
          <w:shd w:val="clear" w:color="auto" w:fill="FFFFFF"/>
        </w:rPr>
      </w:pPr>
      <w:r w:rsidRPr="008665B9">
        <w:rPr>
          <w:rFonts w:cstheme="minorHAnsi"/>
          <w:color w:val="000000"/>
          <w:shd w:val="clear" w:color="auto" w:fill="FFFFFF"/>
        </w:rPr>
        <w:tab/>
        <w:t xml:space="preserve">The first step would be to compile all the meaningful data and begin to join the datasets together. In this way the analysis could be done easily, and rapidly in either SAS or python.  The goal is to find enough information on the type of loan, or the consumer, to create an accurate picture of of the risk. </w:t>
      </w:r>
    </w:p>
    <w:p w14:paraId="7479792B" w14:textId="620DEED5" w:rsidR="00A5543E" w:rsidRDefault="00A5543E" w:rsidP="00966004">
      <w:pPr>
        <w:spacing w:line="480" w:lineRule="auto"/>
        <w:ind w:firstLine="720"/>
        <w:rPr>
          <w:rFonts w:cstheme="minorHAnsi"/>
          <w:color w:val="000000"/>
          <w:shd w:val="clear" w:color="auto" w:fill="FFFFFF"/>
        </w:rPr>
      </w:pPr>
      <w:r w:rsidRPr="008665B9">
        <w:rPr>
          <w:rFonts w:cstheme="minorHAnsi"/>
          <w:color w:val="000000"/>
          <w:shd w:val="clear" w:color="auto" w:fill="FFFFFF"/>
        </w:rPr>
        <w:t xml:space="preserve">Secondly, the project will test the model for its accuracy of prediction. This will involve testing individual variables as well as combinations of variables to see which has the best response. It is critical that the right combination of variables </w:t>
      </w:r>
      <w:proofErr w:type="gramStart"/>
      <w:r w:rsidRPr="008665B9">
        <w:rPr>
          <w:rFonts w:cstheme="minorHAnsi"/>
          <w:color w:val="000000"/>
          <w:shd w:val="clear" w:color="auto" w:fill="FFFFFF"/>
        </w:rPr>
        <w:t>be found</w:t>
      </w:r>
      <w:proofErr w:type="gramEnd"/>
      <w:r w:rsidRPr="008665B9">
        <w:rPr>
          <w:rFonts w:cstheme="minorHAnsi"/>
          <w:color w:val="000000"/>
          <w:shd w:val="clear" w:color="auto" w:fill="FFFFFF"/>
        </w:rPr>
        <w:t xml:space="preserve"> so that the best model can be created.  </w:t>
      </w:r>
    </w:p>
    <w:p w14:paraId="1925D17B" w14:textId="2F73BFFC" w:rsidR="008332FF" w:rsidRDefault="008332FF" w:rsidP="00A5543E">
      <w:pPr>
        <w:spacing w:line="480" w:lineRule="auto"/>
        <w:rPr>
          <w:rFonts w:cstheme="minorHAnsi"/>
          <w:color w:val="000000"/>
          <w:shd w:val="clear" w:color="auto" w:fill="FFFFFF"/>
        </w:rPr>
      </w:pPr>
      <w:r>
        <w:rPr>
          <w:rFonts w:cstheme="minorHAnsi"/>
          <w:color w:val="000000"/>
          <w:shd w:val="clear" w:color="auto" w:fill="FFFFFF"/>
        </w:rPr>
        <w:tab/>
        <w:t xml:space="preserve">The overall dataset is complied from the the New York Federal Reserve report on Household Debt and Credit. The </w:t>
      </w:r>
      <w:r w:rsidR="00EA67CC">
        <w:rPr>
          <w:rFonts w:cstheme="minorHAnsi"/>
          <w:color w:val="000000"/>
          <w:shd w:val="clear" w:color="auto" w:fill="FFFFFF"/>
        </w:rPr>
        <w:t>period</w:t>
      </w:r>
      <w:r>
        <w:rPr>
          <w:rFonts w:cstheme="minorHAnsi"/>
          <w:color w:val="000000"/>
          <w:shd w:val="clear" w:color="auto" w:fill="FFFFFF"/>
        </w:rPr>
        <w:t xml:space="preserve"> is 20 quarters, from 3</w:t>
      </w:r>
      <w:r w:rsidRPr="008332FF">
        <w:rPr>
          <w:rFonts w:cstheme="minorHAnsi"/>
          <w:color w:val="000000"/>
          <w:shd w:val="clear" w:color="auto" w:fill="FFFFFF"/>
          <w:vertAlign w:val="superscript"/>
        </w:rPr>
        <w:t>rd</w:t>
      </w:r>
      <w:r>
        <w:rPr>
          <w:rFonts w:cstheme="minorHAnsi"/>
          <w:color w:val="000000"/>
          <w:shd w:val="clear" w:color="auto" w:fill="FFFFFF"/>
        </w:rPr>
        <w:t xml:space="preserve"> quarter 2015 to 3</w:t>
      </w:r>
      <w:r w:rsidRPr="008332FF">
        <w:rPr>
          <w:rFonts w:cstheme="minorHAnsi"/>
          <w:color w:val="000000"/>
          <w:shd w:val="clear" w:color="auto" w:fill="FFFFFF"/>
          <w:vertAlign w:val="superscript"/>
        </w:rPr>
        <w:t>rd</w:t>
      </w:r>
      <w:r>
        <w:rPr>
          <w:rFonts w:cstheme="minorHAnsi"/>
          <w:color w:val="000000"/>
          <w:shd w:val="clear" w:color="auto" w:fill="FFFFFF"/>
        </w:rPr>
        <w:t xml:space="preserve"> quarter 2020. There are 48 </w:t>
      </w:r>
      <w:r>
        <w:rPr>
          <w:rFonts w:cstheme="minorHAnsi"/>
          <w:color w:val="000000"/>
          <w:shd w:val="clear" w:color="auto" w:fill="FFFFFF"/>
        </w:rPr>
        <w:lastRenderedPageBreak/>
        <w:t>variables dealing with the transition to delinquency, the age of the consumer</w:t>
      </w:r>
      <w:r w:rsidR="00EA67CC">
        <w:rPr>
          <w:rFonts w:cstheme="minorHAnsi"/>
          <w:color w:val="000000"/>
          <w:shd w:val="clear" w:color="auto" w:fill="FFFFFF"/>
        </w:rPr>
        <w:t>,</w:t>
      </w:r>
      <w:r>
        <w:rPr>
          <w:rFonts w:cstheme="minorHAnsi"/>
          <w:color w:val="000000"/>
          <w:shd w:val="clear" w:color="auto" w:fill="FFFFFF"/>
        </w:rPr>
        <w:t xml:space="preserve"> and the origination score of loans. </w:t>
      </w:r>
      <w:r w:rsidR="00645CC2">
        <w:rPr>
          <w:rFonts w:cstheme="minorHAnsi"/>
          <w:color w:val="000000"/>
          <w:shd w:val="clear" w:color="auto" w:fill="FFFFFF"/>
        </w:rPr>
        <w:t xml:space="preserve"> The data headings are in Appendix A. </w:t>
      </w:r>
    </w:p>
    <w:p w14:paraId="0FA938BE" w14:textId="06871278" w:rsidR="00966004" w:rsidRDefault="00966004" w:rsidP="00A5543E">
      <w:pPr>
        <w:spacing w:line="480" w:lineRule="auto"/>
        <w:rPr>
          <w:rFonts w:cstheme="minorHAnsi"/>
          <w:b/>
          <w:bCs/>
          <w:color w:val="000000"/>
          <w:shd w:val="clear" w:color="auto" w:fill="FFFFFF"/>
        </w:rPr>
      </w:pPr>
      <w:r w:rsidRPr="00966004">
        <w:rPr>
          <w:rFonts w:cstheme="minorHAnsi"/>
          <w:b/>
          <w:bCs/>
          <w:color w:val="000000"/>
          <w:shd w:val="clear" w:color="auto" w:fill="FFFFFF"/>
        </w:rPr>
        <w:t>Limitations</w:t>
      </w:r>
      <w:r>
        <w:rPr>
          <w:rFonts w:cstheme="minorHAnsi"/>
          <w:b/>
          <w:bCs/>
          <w:color w:val="000000"/>
          <w:shd w:val="clear" w:color="auto" w:fill="FFFFFF"/>
        </w:rPr>
        <w:t xml:space="preserve"> and Ethical Considerations</w:t>
      </w:r>
    </w:p>
    <w:p w14:paraId="695ECFF4" w14:textId="1F23FC4F" w:rsidR="00966004" w:rsidRDefault="00966004" w:rsidP="00A5543E">
      <w:pPr>
        <w:spacing w:line="480" w:lineRule="auto"/>
        <w:rPr>
          <w:rFonts w:cstheme="minorHAnsi"/>
          <w:color w:val="000000"/>
          <w:shd w:val="clear" w:color="auto" w:fill="FFFFFF"/>
        </w:rPr>
      </w:pPr>
      <w:r>
        <w:rPr>
          <w:rFonts w:cstheme="minorHAnsi"/>
          <w:b/>
          <w:bCs/>
          <w:color w:val="000000"/>
          <w:shd w:val="clear" w:color="auto" w:fill="FFFFFF"/>
        </w:rPr>
        <w:tab/>
      </w:r>
      <w:r>
        <w:rPr>
          <w:rFonts w:cstheme="minorHAnsi"/>
          <w:color w:val="000000"/>
          <w:shd w:val="clear" w:color="auto" w:fill="FFFFFF"/>
        </w:rPr>
        <w:t xml:space="preserve">There is no limit to the data that the Federal Reserve has available. 12 regional banks, plus the headquarters in Washington create vast amounts of reports, and there are customizable </w:t>
      </w:r>
      <w:r w:rsidR="00535367">
        <w:rPr>
          <w:rFonts w:cstheme="minorHAnsi"/>
          <w:color w:val="000000"/>
          <w:shd w:val="clear" w:color="auto" w:fill="FFFFFF"/>
        </w:rPr>
        <w:t>drop-down</w:t>
      </w:r>
      <w:r>
        <w:rPr>
          <w:rFonts w:cstheme="minorHAnsi"/>
          <w:color w:val="000000"/>
          <w:shd w:val="clear" w:color="auto" w:fill="FFFFFF"/>
        </w:rPr>
        <w:t xml:space="preserve"> style menus for generating reports involving different topics. One major limit is the lack of </w:t>
      </w:r>
      <w:r w:rsidRPr="00966004">
        <w:rPr>
          <w:rFonts w:cstheme="minorHAnsi"/>
          <w:i/>
          <w:iCs/>
          <w:color w:val="000000"/>
          <w:shd w:val="clear" w:color="auto" w:fill="FFFFFF"/>
        </w:rPr>
        <w:t>consumer</w:t>
      </w:r>
      <w:r>
        <w:rPr>
          <w:rFonts w:cstheme="minorHAnsi"/>
          <w:color w:val="000000"/>
          <w:shd w:val="clear" w:color="auto" w:fill="FFFFFF"/>
        </w:rPr>
        <w:t xml:space="preserve"> data. In many predictive models, a database of actual people is available. </w:t>
      </w:r>
      <w:r w:rsidR="00535367">
        <w:rPr>
          <w:rFonts w:cstheme="minorHAnsi"/>
          <w:color w:val="000000"/>
          <w:shd w:val="clear" w:color="auto" w:fill="FFFFFF"/>
        </w:rPr>
        <w:t>With Federal Reserve data, t</w:t>
      </w:r>
      <w:r>
        <w:rPr>
          <w:rFonts w:cstheme="minorHAnsi"/>
          <w:color w:val="000000"/>
          <w:shd w:val="clear" w:color="auto" w:fill="FFFFFF"/>
        </w:rPr>
        <w:t xml:space="preserve">here is a great deal of data </w:t>
      </w:r>
      <w:r w:rsidRPr="00966004">
        <w:rPr>
          <w:rFonts w:cstheme="minorHAnsi"/>
          <w:i/>
          <w:iCs/>
          <w:color w:val="000000"/>
          <w:shd w:val="clear" w:color="auto" w:fill="FFFFFF"/>
        </w:rPr>
        <w:t>on</w:t>
      </w:r>
      <w:r>
        <w:rPr>
          <w:rFonts w:cstheme="minorHAnsi"/>
          <w:color w:val="000000"/>
          <w:shd w:val="clear" w:color="auto" w:fill="FFFFFF"/>
        </w:rPr>
        <w:t xml:space="preserve"> consumers, but nothing about the </w:t>
      </w:r>
      <w:r w:rsidRPr="00966004">
        <w:rPr>
          <w:rFonts w:cstheme="minorHAnsi"/>
          <w:i/>
          <w:iCs/>
          <w:color w:val="000000"/>
          <w:shd w:val="clear" w:color="auto" w:fill="FFFFFF"/>
        </w:rPr>
        <w:t>actual</w:t>
      </w:r>
      <w:r>
        <w:rPr>
          <w:rFonts w:cstheme="minorHAnsi"/>
          <w:color w:val="000000"/>
          <w:shd w:val="clear" w:color="auto" w:fill="FFFFFF"/>
        </w:rPr>
        <w:t xml:space="preserve"> consumer. If the predictive model works, then it would be up to whoever uses it to make decisions regarding actual consumers is safeguarding the data.  They must be sure the data is protected properly and all protections are in place to safeguard the information. Ultimately, the responsibility for the data rests with the individual using it. </w:t>
      </w:r>
    </w:p>
    <w:p w14:paraId="1B3D795D" w14:textId="0AB5D87E" w:rsidR="00896E78" w:rsidRPr="00896E78" w:rsidRDefault="00896E78" w:rsidP="00A5543E">
      <w:pPr>
        <w:spacing w:line="480" w:lineRule="auto"/>
        <w:rPr>
          <w:rFonts w:cstheme="minorHAnsi"/>
          <w:b/>
          <w:bCs/>
          <w:color w:val="000000"/>
          <w:shd w:val="clear" w:color="auto" w:fill="FFFFFF"/>
        </w:rPr>
      </w:pPr>
      <w:r>
        <w:rPr>
          <w:rFonts w:cstheme="minorHAnsi"/>
          <w:b/>
          <w:bCs/>
          <w:color w:val="000000"/>
          <w:shd w:val="clear" w:color="auto" w:fill="FFFFFF"/>
        </w:rPr>
        <w:t>Findings</w:t>
      </w:r>
    </w:p>
    <w:p w14:paraId="00A3DB31" w14:textId="574C8972" w:rsidR="00C12325" w:rsidRDefault="00ED6442" w:rsidP="004D1A5B">
      <w:pPr>
        <w:spacing w:after="0" w:line="480" w:lineRule="auto"/>
        <w:rPr>
          <w:color w:val="000000"/>
          <w:shd w:val="clear" w:color="auto" w:fill="FFFFFF"/>
        </w:rPr>
      </w:pPr>
      <w:r>
        <w:rPr>
          <w:rFonts w:cstheme="minorHAnsi"/>
          <w:b/>
          <w:bCs/>
        </w:rPr>
        <w:tab/>
      </w:r>
      <w:r>
        <w:rPr>
          <w:rFonts w:cstheme="minorHAnsi"/>
        </w:rPr>
        <w:t xml:space="preserve">To do the review of the dataset, the SAS platform was used. </w:t>
      </w:r>
      <w:r w:rsidR="004D1A5B">
        <w:rPr>
          <w:rFonts w:cstheme="minorHAnsi"/>
        </w:rPr>
        <w:t>Correlation and r</w:t>
      </w:r>
      <w:r>
        <w:rPr>
          <w:rFonts w:cstheme="minorHAnsi"/>
        </w:rPr>
        <w:t xml:space="preserve">egression analysis was run on the 48 different variables.  In the end, the hypothesis was proven out by two different variables. The first was the Financial Obligation Ratio, the second was </w:t>
      </w:r>
      <w:r w:rsidR="004D1A5B">
        <w:rPr>
          <w:rFonts w:cstheme="minorHAnsi"/>
        </w:rPr>
        <w:t xml:space="preserve">Household </w:t>
      </w:r>
      <w:r>
        <w:rPr>
          <w:rFonts w:cstheme="minorHAnsi"/>
        </w:rPr>
        <w:t>Debt Service Ratio</w:t>
      </w:r>
      <w:r w:rsidR="00656DC0">
        <w:rPr>
          <w:rFonts w:cstheme="minorHAnsi"/>
        </w:rPr>
        <w:t xml:space="preserve"> </w:t>
      </w:r>
      <w:r w:rsidR="004D1A5B">
        <w:rPr>
          <w:rFonts w:cstheme="minorHAnsi"/>
        </w:rPr>
        <w:t>(</w:t>
      </w:r>
      <w:proofErr w:type="spellStart"/>
      <w:r w:rsidR="004D1A5B">
        <w:rPr>
          <w:rFonts w:cstheme="minorHAnsi"/>
        </w:rPr>
        <w:t>DSR</w:t>
      </w:r>
      <w:proofErr w:type="spellEnd"/>
      <w:r w:rsidR="004D1A5B">
        <w:rPr>
          <w:rFonts w:cstheme="minorHAnsi"/>
        </w:rPr>
        <w:t>)</w:t>
      </w:r>
      <w:r>
        <w:rPr>
          <w:rFonts w:cstheme="minorHAnsi"/>
        </w:rPr>
        <w:t xml:space="preserve">.  The </w:t>
      </w:r>
      <w:r w:rsidR="004D1A5B">
        <w:rPr>
          <w:rFonts w:cstheme="minorHAnsi"/>
        </w:rPr>
        <w:t>Household Debt</w:t>
      </w:r>
      <w:r>
        <w:rPr>
          <w:rFonts w:cstheme="minorHAnsi"/>
        </w:rPr>
        <w:t xml:space="preserve"> Ratio is defined by the Federal Reserve </w:t>
      </w:r>
      <w:r w:rsidRPr="004D1A5B">
        <w:rPr>
          <w:rFonts w:cstheme="minorHAnsi"/>
        </w:rPr>
        <w:t xml:space="preserve">as </w:t>
      </w:r>
      <w:r w:rsidR="004D1A5B" w:rsidRPr="004D1A5B">
        <w:rPr>
          <w:color w:val="000000"/>
          <w:shd w:val="clear" w:color="auto" w:fill="FFFFFF"/>
        </w:rPr>
        <w:t>“</w:t>
      </w:r>
      <w:r w:rsidRPr="004D1A5B">
        <w:rPr>
          <w:color w:val="000000"/>
          <w:shd w:val="clear" w:color="auto" w:fill="FFFFFF"/>
        </w:rPr>
        <w:t xml:space="preserve">the ratio of total required household debt payments to total disposable </w:t>
      </w:r>
      <w:r w:rsidR="004D1A5B" w:rsidRPr="004D1A5B">
        <w:rPr>
          <w:color w:val="000000"/>
          <w:shd w:val="clear" w:color="auto" w:fill="FFFFFF"/>
        </w:rPr>
        <w:t>income”</w:t>
      </w:r>
      <w:r w:rsidR="004D1A5B">
        <w:rPr>
          <w:color w:val="000000"/>
          <w:shd w:val="clear" w:color="auto" w:fill="FFFFFF"/>
        </w:rPr>
        <w:t xml:space="preserve"> (Federal Reserve Bank, 2013 paragraph 1).  The Financial Obligation Ratio (</w:t>
      </w:r>
      <w:r w:rsidR="00656DC0">
        <w:rPr>
          <w:color w:val="000000"/>
          <w:shd w:val="clear" w:color="auto" w:fill="FFFFFF"/>
        </w:rPr>
        <w:t>FOR) is</w:t>
      </w:r>
      <w:r w:rsidR="004D1A5B">
        <w:rPr>
          <w:color w:val="000000"/>
          <w:shd w:val="clear" w:color="auto" w:fill="FFFFFF"/>
        </w:rPr>
        <w:t xml:space="preserve"> defined </w:t>
      </w:r>
      <w:r w:rsidR="004D1A5B" w:rsidRPr="004D1A5B">
        <w:rPr>
          <w:color w:val="000000"/>
          <w:shd w:val="clear" w:color="auto" w:fill="FFFFFF"/>
        </w:rPr>
        <w:t xml:space="preserve">“is a broader measure than the Debt Service Ratio. It includes rent payments on tenant-occupied property, auto lease payments, homeowners' insurance, and property tax payments” </w:t>
      </w:r>
      <w:r w:rsidR="004D1A5B">
        <w:rPr>
          <w:color w:val="000000"/>
          <w:shd w:val="clear" w:color="auto" w:fill="FFFFFF"/>
        </w:rPr>
        <w:t>(Federal Reserve Bank, 2013 paragraph 1</w:t>
      </w:r>
      <w:r w:rsidR="00656DC0">
        <w:rPr>
          <w:color w:val="000000"/>
          <w:shd w:val="clear" w:color="auto" w:fill="FFFFFF"/>
        </w:rPr>
        <w:t>6</w:t>
      </w:r>
      <w:r w:rsidR="004D1A5B">
        <w:rPr>
          <w:color w:val="000000"/>
          <w:shd w:val="clear" w:color="auto" w:fill="FFFFFF"/>
        </w:rPr>
        <w:t xml:space="preserve">).  Because the FOR is broader, it was able to show correlations with new delinquencies in auto loans. </w:t>
      </w:r>
      <w:r w:rsidR="006E2B26">
        <w:rPr>
          <w:color w:val="000000"/>
          <w:shd w:val="clear" w:color="auto" w:fill="FFFFFF"/>
        </w:rPr>
        <w:t xml:space="preserve">In the data set the variable </w:t>
      </w:r>
      <w:proofErr w:type="spellStart"/>
      <w:r w:rsidR="006E2B26">
        <w:rPr>
          <w:color w:val="000000"/>
          <w:shd w:val="clear" w:color="auto" w:fill="FFFFFF"/>
        </w:rPr>
        <w:t>FINOB</w:t>
      </w:r>
      <w:proofErr w:type="spellEnd"/>
      <w:r w:rsidR="006E2B26">
        <w:rPr>
          <w:color w:val="000000"/>
          <w:shd w:val="clear" w:color="auto" w:fill="FFFFFF"/>
        </w:rPr>
        <w:t xml:space="preserve"> </w:t>
      </w:r>
      <w:proofErr w:type="gramStart"/>
      <w:r w:rsidR="006E2B26">
        <w:rPr>
          <w:color w:val="000000"/>
          <w:shd w:val="clear" w:color="auto" w:fill="FFFFFF"/>
        </w:rPr>
        <w:t>was used</w:t>
      </w:r>
      <w:proofErr w:type="gramEnd"/>
      <w:r w:rsidR="006E2B26">
        <w:rPr>
          <w:color w:val="000000"/>
          <w:shd w:val="clear" w:color="auto" w:fill="FFFFFF"/>
        </w:rPr>
        <w:t xml:space="preserve"> to for the Financial Obligation Ratio. </w:t>
      </w:r>
    </w:p>
    <w:p w14:paraId="3E57EAE2" w14:textId="5FE27D4E" w:rsidR="004D1A5B" w:rsidRDefault="00656DC0" w:rsidP="004D1A5B">
      <w:pPr>
        <w:spacing w:after="0" w:line="480" w:lineRule="auto"/>
        <w:rPr>
          <w:color w:val="000000"/>
          <w:shd w:val="clear" w:color="auto" w:fill="FFFFFF"/>
        </w:rPr>
      </w:pPr>
      <w:r>
        <w:rPr>
          <w:color w:val="000000"/>
          <w:shd w:val="clear" w:color="auto" w:fill="FFFFFF"/>
        </w:rPr>
        <w:lastRenderedPageBreak/>
        <w:tab/>
      </w:r>
      <w:proofErr w:type="spellStart"/>
      <w:r>
        <w:rPr>
          <w:color w:val="000000"/>
          <w:shd w:val="clear" w:color="auto" w:fill="FFFFFF"/>
        </w:rPr>
        <w:t>DSR</w:t>
      </w:r>
      <w:proofErr w:type="spellEnd"/>
      <w:r>
        <w:rPr>
          <w:color w:val="000000"/>
          <w:shd w:val="clear" w:color="auto" w:fill="FFFFFF"/>
        </w:rPr>
        <w:t xml:space="preserve"> was better able to predict credit card debt issues. This makes sense given the definition of the Federal Reserve</w:t>
      </w:r>
      <w:r w:rsidR="0009011E">
        <w:rPr>
          <w:color w:val="000000"/>
          <w:shd w:val="clear" w:color="auto" w:fill="FFFFFF"/>
        </w:rPr>
        <w:t xml:space="preserve">. By using both, where each is a better predictor, the modeling could </w:t>
      </w:r>
      <w:proofErr w:type="gramStart"/>
      <w:r w:rsidR="0009011E">
        <w:rPr>
          <w:color w:val="000000"/>
          <w:shd w:val="clear" w:color="auto" w:fill="FFFFFF"/>
        </w:rPr>
        <w:t>be done</w:t>
      </w:r>
      <w:proofErr w:type="gramEnd"/>
      <w:r w:rsidR="0009011E">
        <w:rPr>
          <w:color w:val="000000"/>
          <w:shd w:val="clear" w:color="auto" w:fill="FFFFFF"/>
        </w:rPr>
        <w:t xml:space="preserve">. </w:t>
      </w:r>
    </w:p>
    <w:p w14:paraId="0EEE016A" w14:textId="6AD5BE15" w:rsidR="00A54D4C" w:rsidRDefault="00A54D4C" w:rsidP="004D1A5B">
      <w:pPr>
        <w:spacing w:after="0" w:line="480" w:lineRule="auto"/>
        <w:rPr>
          <w:color w:val="000000"/>
          <w:shd w:val="clear" w:color="auto" w:fill="FFFFFF"/>
        </w:rPr>
      </w:pPr>
      <w:r>
        <w:rPr>
          <w:color w:val="000000"/>
          <w:shd w:val="clear" w:color="auto" w:fill="FFFFFF"/>
        </w:rPr>
        <w:tab/>
      </w:r>
      <w:proofErr w:type="spellStart"/>
      <w:r>
        <w:rPr>
          <w:color w:val="000000"/>
          <w:shd w:val="clear" w:color="auto" w:fill="FFFFFF"/>
        </w:rPr>
        <w:t>FINOB</w:t>
      </w:r>
      <w:proofErr w:type="spellEnd"/>
      <w:r>
        <w:rPr>
          <w:color w:val="000000"/>
          <w:shd w:val="clear" w:color="auto" w:fill="FFFFFF"/>
        </w:rPr>
        <w:t xml:space="preserve"> is the variable name for the </w:t>
      </w:r>
      <w:r w:rsidR="00426D3A">
        <w:rPr>
          <w:color w:val="000000"/>
          <w:shd w:val="clear" w:color="auto" w:fill="FFFFFF"/>
        </w:rPr>
        <w:t xml:space="preserve">Federal Reserve Bank’s Financial Obligation ratio. It </w:t>
      </w:r>
      <w:proofErr w:type="gramStart"/>
      <w:r w:rsidR="00426D3A">
        <w:rPr>
          <w:color w:val="000000"/>
          <w:shd w:val="clear" w:color="auto" w:fill="FFFFFF"/>
        </w:rPr>
        <w:t>was found</w:t>
      </w:r>
      <w:proofErr w:type="gramEnd"/>
      <w:r w:rsidR="00426D3A">
        <w:rPr>
          <w:color w:val="000000"/>
          <w:shd w:val="clear" w:color="auto" w:fill="FFFFFF"/>
        </w:rPr>
        <w:t xml:space="preserve"> to be the better predictor for new auto loan delinquencies.  There is a strong positive correlation between financial obligations, and </w:t>
      </w:r>
      <w:r w:rsidR="00A879FE">
        <w:rPr>
          <w:color w:val="000000"/>
          <w:shd w:val="clear" w:color="auto" w:fill="FFFFFF"/>
        </w:rPr>
        <w:t xml:space="preserve">percentage changes in </w:t>
      </w:r>
      <w:r w:rsidR="00426D3A">
        <w:rPr>
          <w:color w:val="000000"/>
          <w:shd w:val="clear" w:color="auto" w:fill="FFFFFF"/>
        </w:rPr>
        <w:t xml:space="preserve">new auto delinquencies.  </w:t>
      </w:r>
    </w:p>
    <w:p w14:paraId="4E5509DC" w14:textId="77777777" w:rsidR="00A54D4C" w:rsidRDefault="00A54D4C" w:rsidP="004D1A5B">
      <w:pPr>
        <w:spacing w:after="0" w:line="480" w:lineRule="auto"/>
        <w:rPr>
          <w:color w:val="000000"/>
          <w:shd w:val="clear" w:color="auto" w:fill="FFFFFF"/>
        </w:rPr>
      </w:pPr>
    </w:p>
    <w:p w14:paraId="02F4A589" w14:textId="25AB8039" w:rsidR="004D1A5B" w:rsidRDefault="004D1A5B" w:rsidP="004D1A5B">
      <w:pPr>
        <w:spacing w:after="0" w:line="480" w:lineRule="auto"/>
        <w:rPr>
          <w:b/>
          <w:bCs/>
          <w:color w:val="000000"/>
          <w:shd w:val="clear" w:color="auto" w:fill="FFFFFF"/>
        </w:rPr>
      </w:pPr>
      <w:r>
        <w:rPr>
          <w:b/>
          <w:bCs/>
          <w:color w:val="000000"/>
          <w:shd w:val="clear" w:color="auto" w:fill="FFFFFF"/>
        </w:rPr>
        <w:t>Table</w:t>
      </w:r>
      <w:r w:rsidRPr="004D1A5B">
        <w:rPr>
          <w:b/>
          <w:bCs/>
          <w:color w:val="000000"/>
          <w:shd w:val="clear" w:color="auto" w:fill="FFFFFF"/>
        </w:rPr>
        <w:t xml:space="preserve"> </w:t>
      </w:r>
      <w:r>
        <w:rPr>
          <w:b/>
          <w:bCs/>
          <w:color w:val="000000"/>
          <w:shd w:val="clear" w:color="auto" w:fill="FFFFFF"/>
        </w:rPr>
        <w:t>1</w:t>
      </w:r>
    </w:p>
    <w:p w14:paraId="5C9D5E5B" w14:textId="7DFCA212" w:rsidR="004D1A5B" w:rsidRDefault="004D1A5B" w:rsidP="004D1A5B">
      <w:pPr>
        <w:spacing w:after="0" w:line="480" w:lineRule="auto"/>
        <w:rPr>
          <w:i/>
          <w:iCs/>
          <w:color w:val="000000"/>
          <w:shd w:val="clear" w:color="auto" w:fill="FFFFFF"/>
        </w:rPr>
      </w:pPr>
      <w:r w:rsidRPr="004D1A5B">
        <w:rPr>
          <w:i/>
          <w:iCs/>
          <w:color w:val="000000"/>
          <w:shd w:val="clear" w:color="auto" w:fill="FFFFFF"/>
        </w:rPr>
        <w:t xml:space="preserve">Details of correlation analysis on </w:t>
      </w:r>
      <w:proofErr w:type="spellStart"/>
      <w:r w:rsidR="00A54D4C">
        <w:rPr>
          <w:i/>
          <w:iCs/>
          <w:color w:val="000000"/>
          <w:shd w:val="clear" w:color="auto" w:fill="FFFFFF"/>
        </w:rPr>
        <w:t>FINOB</w:t>
      </w:r>
      <w:proofErr w:type="spellEnd"/>
      <w:r w:rsidRPr="004D1A5B">
        <w:rPr>
          <w:i/>
          <w:iCs/>
          <w:color w:val="000000"/>
          <w:shd w:val="clear" w:color="auto" w:fill="FFFFFF"/>
        </w:rPr>
        <w:t xml:space="preserve"> and </w:t>
      </w:r>
      <w:r w:rsidR="00A54D4C">
        <w:rPr>
          <w:i/>
          <w:iCs/>
          <w:color w:val="000000"/>
          <w:shd w:val="clear" w:color="auto" w:fill="FFFFFF"/>
        </w:rPr>
        <w:t>N</w:t>
      </w:r>
      <w:r w:rsidRPr="004D1A5B">
        <w:rPr>
          <w:i/>
          <w:iCs/>
          <w:color w:val="000000"/>
          <w:shd w:val="clear" w:color="auto" w:fill="FFFFFF"/>
        </w:rPr>
        <w:t xml:space="preserve">ew </w:t>
      </w:r>
      <w:r w:rsidR="00A54D4C">
        <w:rPr>
          <w:i/>
          <w:iCs/>
          <w:color w:val="000000"/>
          <w:shd w:val="clear" w:color="auto" w:fill="FFFFFF"/>
        </w:rPr>
        <w:t>A</w:t>
      </w:r>
      <w:r w:rsidRPr="004D1A5B">
        <w:rPr>
          <w:i/>
          <w:iCs/>
          <w:color w:val="000000"/>
          <w:shd w:val="clear" w:color="auto" w:fill="FFFFFF"/>
        </w:rPr>
        <w:t xml:space="preserve">uto </w:t>
      </w:r>
      <w:r w:rsidR="00A54D4C">
        <w:rPr>
          <w:i/>
          <w:iCs/>
          <w:color w:val="000000"/>
          <w:shd w:val="clear" w:color="auto" w:fill="FFFFFF"/>
        </w:rPr>
        <w:t>D</w:t>
      </w:r>
      <w:r w:rsidRPr="004D1A5B">
        <w:rPr>
          <w:i/>
          <w:iCs/>
          <w:color w:val="000000"/>
          <w:shd w:val="clear" w:color="auto" w:fill="FFFFFF"/>
        </w:rPr>
        <w:t>elinquencies</w:t>
      </w:r>
      <w:r>
        <w:rPr>
          <w:i/>
          <w:iCs/>
          <w:color w:val="000000"/>
          <w:shd w:val="clear" w:color="auto" w:fill="FFFFFF"/>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2566"/>
        <w:gridCol w:w="329"/>
        <w:gridCol w:w="890"/>
        <w:gridCol w:w="879"/>
        <w:gridCol w:w="992"/>
        <w:gridCol w:w="1085"/>
        <w:gridCol w:w="1122"/>
        <w:gridCol w:w="2232"/>
      </w:tblGrid>
      <w:tr w:rsidR="004D1A5B" w:rsidRPr="004D1A5B" w14:paraId="39D5233F" w14:textId="77777777" w:rsidTr="004D1A5B">
        <w:trPr>
          <w:cantSplit/>
          <w:tblHeader/>
          <w:jc w:val="center"/>
        </w:trPr>
        <w:tc>
          <w:tcPr>
            <w:tcW w:w="10095" w:type="dxa"/>
            <w:gridSpan w:val="8"/>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14:paraId="08BC45F9" w14:textId="77777777" w:rsidR="004D1A5B" w:rsidRPr="004D1A5B" w:rsidRDefault="004D1A5B" w:rsidP="00AC4476">
            <w:pPr>
              <w:keepNext/>
              <w:adjustRightInd w:val="0"/>
              <w:spacing w:before="60" w:after="60"/>
              <w:jc w:val="center"/>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Simple Statistics</w:t>
            </w:r>
          </w:p>
        </w:tc>
      </w:tr>
      <w:tr w:rsidR="004D1A5B" w:rsidRPr="004D1A5B" w14:paraId="3F8B009D" w14:textId="77777777" w:rsidTr="004D1A5B">
        <w:trPr>
          <w:cantSplit/>
          <w:tblHeader/>
          <w:jc w:val="center"/>
        </w:trPr>
        <w:tc>
          <w:tcPr>
            <w:tcW w:w="2566" w:type="dxa"/>
            <w:tcBorders>
              <w:top w:val="nil"/>
              <w:left w:val="single" w:sz="6" w:space="0" w:color="000000"/>
              <w:bottom w:val="single" w:sz="2" w:space="0" w:color="000000"/>
              <w:right w:val="nil"/>
            </w:tcBorders>
            <w:shd w:val="clear" w:color="auto" w:fill="auto"/>
            <w:tcMar>
              <w:left w:w="60" w:type="dxa"/>
              <w:right w:w="60" w:type="dxa"/>
            </w:tcMar>
            <w:vAlign w:val="bottom"/>
          </w:tcPr>
          <w:p w14:paraId="40B5EDCC" w14:textId="77777777" w:rsidR="004D1A5B" w:rsidRPr="004D1A5B" w:rsidRDefault="004D1A5B" w:rsidP="00AC4476">
            <w:pPr>
              <w:keepNext/>
              <w:adjustRightInd w:val="0"/>
              <w:spacing w:before="60" w:after="60"/>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Variable</w:t>
            </w:r>
          </w:p>
        </w:tc>
        <w:tc>
          <w:tcPr>
            <w:tcW w:w="329" w:type="dxa"/>
            <w:tcBorders>
              <w:top w:val="nil"/>
              <w:left w:val="single" w:sz="2" w:space="0" w:color="000000"/>
              <w:bottom w:val="single" w:sz="2" w:space="0" w:color="000000"/>
              <w:right w:val="nil"/>
            </w:tcBorders>
            <w:shd w:val="clear" w:color="auto" w:fill="auto"/>
            <w:tcMar>
              <w:left w:w="60" w:type="dxa"/>
              <w:right w:w="60" w:type="dxa"/>
            </w:tcMar>
            <w:vAlign w:val="bottom"/>
          </w:tcPr>
          <w:p w14:paraId="1E7070A5"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N</w:t>
            </w:r>
          </w:p>
        </w:tc>
        <w:tc>
          <w:tcPr>
            <w:tcW w:w="890" w:type="dxa"/>
            <w:tcBorders>
              <w:top w:val="nil"/>
              <w:left w:val="single" w:sz="2" w:space="0" w:color="000000"/>
              <w:bottom w:val="single" w:sz="2" w:space="0" w:color="000000"/>
              <w:right w:val="nil"/>
            </w:tcBorders>
            <w:shd w:val="clear" w:color="auto" w:fill="auto"/>
            <w:tcMar>
              <w:left w:w="60" w:type="dxa"/>
              <w:right w:w="60" w:type="dxa"/>
            </w:tcMar>
            <w:vAlign w:val="bottom"/>
          </w:tcPr>
          <w:p w14:paraId="5A9E32FF"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Mean</w:t>
            </w:r>
          </w:p>
        </w:tc>
        <w:tc>
          <w:tcPr>
            <w:tcW w:w="879" w:type="dxa"/>
            <w:tcBorders>
              <w:top w:val="nil"/>
              <w:left w:val="single" w:sz="2" w:space="0" w:color="000000"/>
              <w:bottom w:val="single" w:sz="2" w:space="0" w:color="000000"/>
              <w:right w:val="nil"/>
            </w:tcBorders>
            <w:shd w:val="clear" w:color="auto" w:fill="auto"/>
            <w:tcMar>
              <w:left w:w="60" w:type="dxa"/>
              <w:right w:w="60" w:type="dxa"/>
            </w:tcMar>
            <w:vAlign w:val="bottom"/>
          </w:tcPr>
          <w:p w14:paraId="02173E4D"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Std Dev</w:t>
            </w:r>
          </w:p>
        </w:tc>
        <w:tc>
          <w:tcPr>
            <w:tcW w:w="992" w:type="dxa"/>
            <w:tcBorders>
              <w:top w:val="nil"/>
              <w:left w:val="single" w:sz="2" w:space="0" w:color="000000"/>
              <w:bottom w:val="single" w:sz="2" w:space="0" w:color="000000"/>
              <w:right w:val="nil"/>
            </w:tcBorders>
            <w:shd w:val="clear" w:color="auto" w:fill="auto"/>
            <w:tcMar>
              <w:left w:w="60" w:type="dxa"/>
              <w:right w:w="60" w:type="dxa"/>
            </w:tcMar>
            <w:vAlign w:val="bottom"/>
          </w:tcPr>
          <w:p w14:paraId="50BDC565"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Sum</w:t>
            </w:r>
          </w:p>
        </w:tc>
        <w:tc>
          <w:tcPr>
            <w:tcW w:w="1085" w:type="dxa"/>
            <w:tcBorders>
              <w:top w:val="nil"/>
              <w:left w:val="single" w:sz="2" w:space="0" w:color="000000"/>
              <w:bottom w:val="single" w:sz="2" w:space="0" w:color="000000"/>
              <w:right w:val="nil"/>
            </w:tcBorders>
            <w:shd w:val="clear" w:color="auto" w:fill="auto"/>
            <w:tcMar>
              <w:left w:w="60" w:type="dxa"/>
              <w:right w:w="60" w:type="dxa"/>
            </w:tcMar>
            <w:vAlign w:val="bottom"/>
          </w:tcPr>
          <w:p w14:paraId="1B4AA117"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Minimum</w:t>
            </w:r>
          </w:p>
        </w:tc>
        <w:tc>
          <w:tcPr>
            <w:tcW w:w="1122" w:type="dxa"/>
            <w:tcBorders>
              <w:top w:val="nil"/>
              <w:left w:val="single" w:sz="2" w:space="0" w:color="000000"/>
              <w:bottom w:val="single" w:sz="2" w:space="0" w:color="000000"/>
              <w:right w:val="nil"/>
            </w:tcBorders>
            <w:shd w:val="clear" w:color="auto" w:fill="auto"/>
            <w:tcMar>
              <w:left w:w="60" w:type="dxa"/>
              <w:right w:w="60" w:type="dxa"/>
            </w:tcMar>
            <w:vAlign w:val="bottom"/>
          </w:tcPr>
          <w:p w14:paraId="1912C154" w14:textId="77777777" w:rsidR="004D1A5B" w:rsidRPr="004D1A5B" w:rsidRDefault="004D1A5B" w:rsidP="00AC4476">
            <w:pPr>
              <w:keepNext/>
              <w:adjustRightInd w:val="0"/>
              <w:spacing w:before="60" w:after="60"/>
              <w:jc w:val="right"/>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Maximum</w:t>
            </w:r>
          </w:p>
        </w:tc>
        <w:tc>
          <w:tcPr>
            <w:tcW w:w="2232"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14:paraId="7F8F8269" w14:textId="77777777" w:rsidR="004D1A5B" w:rsidRPr="004D1A5B" w:rsidRDefault="004D1A5B" w:rsidP="00AC4476">
            <w:pPr>
              <w:keepNext/>
              <w:adjustRightInd w:val="0"/>
              <w:spacing w:before="60" w:after="60"/>
              <w:rPr>
                <w:rFonts w:asciiTheme="majorHAnsi" w:hAnsiTheme="majorHAnsi" w:cstheme="majorHAnsi"/>
                <w:b/>
                <w:bCs/>
                <w:color w:val="000000"/>
                <w:sz w:val="20"/>
                <w:szCs w:val="20"/>
              </w:rPr>
            </w:pPr>
            <w:r w:rsidRPr="004D1A5B">
              <w:rPr>
                <w:rFonts w:asciiTheme="majorHAnsi" w:hAnsiTheme="majorHAnsi" w:cstheme="majorHAnsi"/>
                <w:b/>
                <w:bCs/>
                <w:color w:val="000000"/>
                <w:sz w:val="20"/>
                <w:szCs w:val="20"/>
              </w:rPr>
              <w:t>Label</w:t>
            </w:r>
          </w:p>
        </w:tc>
      </w:tr>
      <w:tr w:rsidR="004D1A5B" w:rsidRPr="004D1A5B" w14:paraId="1170E344" w14:textId="77777777" w:rsidTr="004D1A5B">
        <w:trPr>
          <w:cantSplit/>
          <w:jc w:val="center"/>
        </w:trPr>
        <w:tc>
          <w:tcPr>
            <w:tcW w:w="2566" w:type="dxa"/>
            <w:tcBorders>
              <w:top w:val="nil"/>
              <w:left w:val="single" w:sz="6" w:space="0" w:color="000000"/>
              <w:bottom w:val="single" w:sz="2" w:space="0" w:color="000000"/>
              <w:right w:val="nil"/>
            </w:tcBorders>
            <w:shd w:val="clear" w:color="auto" w:fill="auto"/>
            <w:tcMar>
              <w:left w:w="60" w:type="dxa"/>
              <w:right w:w="60" w:type="dxa"/>
            </w:tcMar>
          </w:tcPr>
          <w:p w14:paraId="52A35449" w14:textId="77777777" w:rsidR="004D1A5B" w:rsidRPr="004D1A5B" w:rsidRDefault="004D1A5B" w:rsidP="00AC4476">
            <w:pPr>
              <w:keepNext/>
              <w:adjustRightInd w:val="0"/>
              <w:spacing w:before="60" w:after="60"/>
              <w:rPr>
                <w:rFonts w:asciiTheme="majorHAnsi" w:hAnsiTheme="majorHAnsi" w:cstheme="majorHAnsi"/>
                <w:b/>
                <w:bCs/>
                <w:color w:val="000000"/>
                <w:sz w:val="20"/>
                <w:szCs w:val="20"/>
              </w:rPr>
            </w:pPr>
            <w:proofErr w:type="spellStart"/>
            <w:r w:rsidRPr="004D1A5B">
              <w:rPr>
                <w:rFonts w:asciiTheme="majorHAnsi" w:hAnsiTheme="majorHAnsi" w:cstheme="majorHAnsi"/>
                <w:b/>
                <w:bCs/>
                <w:color w:val="000000"/>
                <w:sz w:val="20"/>
                <w:szCs w:val="20"/>
              </w:rPr>
              <w:t>FINOB</w:t>
            </w:r>
            <w:proofErr w:type="spellEnd"/>
          </w:p>
        </w:tc>
        <w:tc>
          <w:tcPr>
            <w:tcW w:w="329" w:type="dxa"/>
            <w:tcBorders>
              <w:top w:val="nil"/>
              <w:left w:val="single" w:sz="2" w:space="0" w:color="000000"/>
              <w:bottom w:val="single" w:sz="2" w:space="0" w:color="000000"/>
              <w:right w:val="nil"/>
            </w:tcBorders>
            <w:shd w:val="clear" w:color="auto" w:fill="auto"/>
            <w:tcMar>
              <w:left w:w="60" w:type="dxa"/>
              <w:right w:w="60" w:type="dxa"/>
            </w:tcMar>
          </w:tcPr>
          <w:p w14:paraId="5EE558C6"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21</w:t>
            </w:r>
          </w:p>
        </w:tc>
        <w:tc>
          <w:tcPr>
            <w:tcW w:w="890" w:type="dxa"/>
            <w:tcBorders>
              <w:top w:val="nil"/>
              <w:left w:val="single" w:sz="2" w:space="0" w:color="000000"/>
              <w:bottom w:val="single" w:sz="2" w:space="0" w:color="000000"/>
              <w:right w:val="nil"/>
            </w:tcBorders>
            <w:shd w:val="clear" w:color="auto" w:fill="auto"/>
            <w:tcMar>
              <w:left w:w="60" w:type="dxa"/>
              <w:right w:w="60" w:type="dxa"/>
            </w:tcMar>
          </w:tcPr>
          <w:p w14:paraId="1F8B7F1F"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15.20642</w:t>
            </w:r>
          </w:p>
        </w:tc>
        <w:tc>
          <w:tcPr>
            <w:tcW w:w="879" w:type="dxa"/>
            <w:tcBorders>
              <w:top w:val="nil"/>
              <w:left w:val="single" w:sz="2" w:space="0" w:color="000000"/>
              <w:bottom w:val="single" w:sz="2" w:space="0" w:color="000000"/>
              <w:right w:val="nil"/>
            </w:tcBorders>
            <w:shd w:val="clear" w:color="auto" w:fill="auto"/>
            <w:tcMar>
              <w:left w:w="60" w:type="dxa"/>
              <w:right w:w="60" w:type="dxa"/>
            </w:tcMar>
          </w:tcPr>
          <w:p w14:paraId="45987DE9"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0.44075</w:t>
            </w:r>
          </w:p>
        </w:tc>
        <w:tc>
          <w:tcPr>
            <w:tcW w:w="992" w:type="dxa"/>
            <w:tcBorders>
              <w:top w:val="nil"/>
              <w:left w:val="single" w:sz="2" w:space="0" w:color="000000"/>
              <w:bottom w:val="single" w:sz="2" w:space="0" w:color="000000"/>
              <w:right w:val="nil"/>
            </w:tcBorders>
            <w:shd w:val="clear" w:color="auto" w:fill="auto"/>
            <w:tcMar>
              <w:left w:w="60" w:type="dxa"/>
              <w:right w:w="60" w:type="dxa"/>
            </w:tcMar>
          </w:tcPr>
          <w:p w14:paraId="06232F96"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319.33485</w:t>
            </w:r>
          </w:p>
        </w:tc>
        <w:tc>
          <w:tcPr>
            <w:tcW w:w="1085" w:type="dxa"/>
            <w:tcBorders>
              <w:top w:val="nil"/>
              <w:left w:val="single" w:sz="2" w:space="0" w:color="000000"/>
              <w:bottom w:val="single" w:sz="2" w:space="0" w:color="000000"/>
              <w:right w:val="nil"/>
            </w:tcBorders>
            <w:shd w:val="clear" w:color="auto" w:fill="auto"/>
            <w:tcMar>
              <w:left w:w="60" w:type="dxa"/>
              <w:right w:w="60" w:type="dxa"/>
            </w:tcMar>
          </w:tcPr>
          <w:p w14:paraId="0EE53C1A"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13.73775</w:t>
            </w:r>
          </w:p>
        </w:tc>
        <w:tc>
          <w:tcPr>
            <w:tcW w:w="1122" w:type="dxa"/>
            <w:tcBorders>
              <w:top w:val="nil"/>
              <w:left w:val="single" w:sz="2" w:space="0" w:color="000000"/>
              <w:bottom w:val="single" w:sz="2" w:space="0" w:color="000000"/>
              <w:right w:val="nil"/>
            </w:tcBorders>
            <w:shd w:val="clear" w:color="auto" w:fill="auto"/>
            <w:tcMar>
              <w:left w:w="60" w:type="dxa"/>
              <w:right w:w="60" w:type="dxa"/>
            </w:tcMar>
          </w:tcPr>
          <w:p w14:paraId="0B3F642D"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15.61985</w:t>
            </w:r>
          </w:p>
        </w:tc>
        <w:tc>
          <w:tcPr>
            <w:tcW w:w="2232"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19F2C4B4" w14:textId="77777777" w:rsidR="004D1A5B" w:rsidRPr="004D1A5B" w:rsidRDefault="004D1A5B" w:rsidP="00AC4476">
            <w:pPr>
              <w:keepNext/>
              <w:adjustRightInd w:val="0"/>
              <w:spacing w:before="60" w:after="60"/>
              <w:rPr>
                <w:rFonts w:asciiTheme="majorHAnsi" w:hAnsiTheme="majorHAnsi" w:cstheme="majorHAnsi"/>
                <w:color w:val="000000"/>
                <w:sz w:val="20"/>
                <w:szCs w:val="20"/>
              </w:rPr>
            </w:pPr>
            <w:proofErr w:type="spellStart"/>
            <w:r w:rsidRPr="004D1A5B">
              <w:rPr>
                <w:rFonts w:asciiTheme="majorHAnsi" w:hAnsiTheme="majorHAnsi" w:cstheme="majorHAnsi"/>
                <w:color w:val="000000"/>
                <w:sz w:val="20"/>
                <w:szCs w:val="20"/>
              </w:rPr>
              <w:t>FINOB</w:t>
            </w:r>
            <w:proofErr w:type="spellEnd"/>
          </w:p>
        </w:tc>
      </w:tr>
      <w:tr w:rsidR="004D1A5B" w:rsidRPr="004D1A5B" w14:paraId="77DC20C4" w14:textId="77777777" w:rsidTr="004D1A5B">
        <w:trPr>
          <w:cantSplit/>
          <w:jc w:val="center"/>
        </w:trPr>
        <w:tc>
          <w:tcPr>
            <w:tcW w:w="2566" w:type="dxa"/>
            <w:tcBorders>
              <w:top w:val="nil"/>
              <w:left w:val="single" w:sz="6" w:space="0" w:color="000000"/>
              <w:bottom w:val="single" w:sz="6" w:space="0" w:color="000000"/>
              <w:right w:val="nil"/>
            </w:tcBorders>
            <w:shd w:val="clear" w:color="auto" w:fill="auto"/>
            <w:tcMar>
              <w:left w:w="60" w:type="dxa"/>
              <w:right w:w="60" w:type="dxa"/>
            </w:tcMar>
          </w:tcPr>
          <w:p w14:paraId="32CB722F" w14:textId="77777777" w:rsidR="004D1A5B" w:rsidRPr="004D1A5B" w:rsidRDefault="004D1A5B" w:rsidP="00AC4476">
            <w:pPr>
              <w:keepNext/>
              <w:adjustRightInd w:val="0"/>
              <w:spacing w:before="60" w:after="60"/>
              <w:rPr>
                <w:rFonts w:asciiTheme="majorHAnsi" w:hAnsiTheme="majorHAnsi" w:cstheme="majorHAnsi"/>
                <w:b/>
                <w:bCs/>
                <w:color w:val="000000"/>
                <w:sz w:val="20"/>
                <w:szCs w:val="20"/>
              </w:rPr>
            </w:pPr>
            <w:proofErr w:type="spellStart"/>
            <w:r w:rsidRPr="004D1A5B">
              <w:rPr>
                <w:rFonts w:asciiTheme="majorHAnsi" w:hAnsiTheme="majorHAnsi" w:cstheme="majorHAnsi"/>
                <w:b/>
                <w:bCs/>
                <w:color w:val="000000"/>
                <w:sz w:val="20"/>
                <w:szCs w:val="20"/>
              </w:rPr>
              <w:t>NEW_DEL_AUTO_PER</w:t>
            </w:r>
            <w:proofErr w:type="spellEnd"/>
          </w:p>
        </w:tc>
        <w:tc>
          <w:tcPr>
            <w:tcW w:w="329" w:type="dxa"/>
            <w:tcBorders>
              <w:top w:val="nil"/>
              <w:left w:val="single" w:sz="2" w:space="0" w:color="000000"/>
              <w:bottom w:val="single" w:sz="6" w:space="0" w:color="000000"/>
              <w:right w:val="nil"/>
            </w:tcBorders>
            <w:shd w:val="clear" w:color="auto" w:fill="auto"/>
            <w:tcMar>
              <w:left w:w="60" w:type="dxa"/>
              <w:right w:w="60" w:type="dxa"/>
            </w:tcMar>
          </w:tcPr>
          <w:p w14:paraId="41E83DAE"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21</w:t>
            </w:r>
          </w:p>
        </w:tc>
        <w:tc>
          <w:tcPr>
            <w:tcW w:w="890" w:type="dxa"/>
            <w:tcBorders>
              <w:top w:val="nil"/>
              <w:left w:val="single" w:sz="2" w:space="0" w:color="000000"/>
              <w:bottom w:val="single" w:sz="6" w:space="0" w:color="000000"/>
              <w:right w:val="nil"/>
            </w:tcBorders>
            <w:shd w:val="clear" w:color="auto" w:fill="auto"/>
            <w:tcMar>
              <w:left w:w="60" w:type="dxa"/>
              <w:right w:w="60" w:type="dxa"/>
            </w:tcMar>
          </w:tcPr>
          <w:p w14:paraId="0593166E"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7.06442</w:t>
            </w:r>
          </w:p>
        </w:tc>
        <w:tc>
          <w:tcPr>
            <w:tcW w:w="879" w:type="dxa"/>
            <w:tcBorders>
              <w:top w:val="nil"/>
              <w:left w:val="single" w:sz="2" w:space="0" w:color="000000"/>
              <w:bottom w:val="single" w:sz="6" w:space="0" w:color="000000"/>
              <w:right w:val="nil"/>
            </w:tcBorders>
            <w:shd w:val="clear" w:color="auto" w:fill="auto"/>
            <w:tcMar>
              <w:left w:w="60" w:type="dxa"/>
              <w:right w:w="60" w:type="dxa"/>
            </w:tcMar>
          </w:tcPr>
          <w:p w14:paraId="76D021BF"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0.39051</w:t>
            </w:r>
          </w:p>
        </w:tc>
        <w:tc>
          <w:tcPr>
            <w:tcW w:w="992" w:type="dxa"/>
            <w:tcBorders>
              <w:top w:val="nil"/>
              <w:left w:val="single" w:sz="2" w:space="0" w:color="000000"/>
              <w:bottom w:val="single" w:sz="6" w:space="0" w:color="000000"/>
              <w:right w:val="nil"/>
            </w:tcBorders>
            <w:shd w:val="clear" w:color="auto" w:fill="auto"/>
            <w:tcMar>
              <w:left w:w="60" w:type="dxa"/>
              <w:right w:w="60" w:type="dxa"/>
            </w:tcMar>
          </w:tcPr>
          <w:p w14:paraId="29AB8789"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148.35281</w:t>
            </w:r>
          </w:p>
        </w:tc>
        <w:tc>
          <w:tcPr>
            <w:tcW w:w="1085" w:type="dxa"/>
            <w:tcBorders>
              <w:top w:val="nil"/>
              <w:left w:val="single" w:sz="2" w:space="0" w:color="000000"/>
              <w:bottom w:val="single" w:sz="6" w:space="0" w:color="000000"/>
              <w:right w:val="nil"/>
            </w:tcBorders>
            <w:shd w:val="clear" w:color="auto" w:fill="auto"/>
            <w:tcMar>
              <w:left w:w="60" w:type="dxa"/>
              <w:right w:w="60" w:type="dxa"/>
            </w:tcMar>
          </w:tcPr>
          <w:p w14:paraId="347B6305"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5.79000</w:t>
            </w:r>
          </w:p>
        </w:tc>
        <w:tc>
          <w:tcPr>
            <w:tcW w:w="1122" w:type="dxa"/>
            <w:tcBorders>
              <w:top w:val="nil"/>
              <w:left w:val="single" w:sz="2" w:space="0" w:color="000000"/>
              <w:bottom w:val="single" w:sz="6" w:space="0" w:color="000000"/>
              <w:right w:val="nil"/>
            </w:tcBorders>
            <w:shd w:val="clear" w:color="auto" w:fill="auto"/>
            <w:tcMar>
              <w:left w:w="60" w:type="dxa"/>
              <w:right w:w="60" w:type="dxa"/>
            </w:tcMar>
          </w:tcPr>
          <w:p w14:paraId="7C927EE5" w14:textId="77777777" w:rsidR="004D1A5B" w:rsidRPr="004D1A5B" w:rsidRDefault="004D1A5B" w:rsidP="00AC4476">
            <w:pPr>
              <w:keepNext/>
              <w:adjustRightInd w:val="0"/>
              <w:spacing w:before="60" w:after="60"/>
              <w:jc w:val="right"/>
              <w:rPr>
                <w:rFonts w:asciiTheme="majorHAnsi" w:hAnsiTheme="majorHAnsi" w:cstheme="majorHAnsi"/>
                <w:color w:val="000000"/>
                <w:sz w:val="20"/>
                <w:szCs w:val="20"/>
              </w:rPr>
            </w:pPr>
            <w:r w:rsidRPr="004D1A5B">
              <w:rPr>
                <w:rFonts w:asciiTheme="majorHAnsi" w:hAnsiTheme="majorHAnsi" w:cstheme="majorHAnsi"/>
                <w:color w:val="000000"/>
                <w:sz w:val="20"/>
                <w:szCs w:val="20"/>
              </w:rPr>
              <w:t>7.46124</w:t>
            </w:r>
          </w:p>
        </w:tc>
        <w:tc>
          <w:tcPr>
            <w:tcW w:w="2232" w:type="dxa"/>
            <w:tcBorders>
              <w:top w:val="nil"/>
              <w:left w:val="single" w:sz="2" w:space="0" w:color="000000"/>
              <w:bottom w:val="single" w:sz="6" w:space="0" w:color="000000"/>
              <w:right w:val="single" w:sz="6" w:space="0" w:color="000000"/>
            </w:tcBorders>
            <w:shd w:val="clear" w:color="auto" w:fill="auto"/>
            <w:tcMar>
              <w:left w:w="60" w:type="dxa"/>
              <w:right w:w="60" w:type="dxa"/>
            </w:tcMar>
          </w:tcPr>
          <w:p w14:paraId="1B1B0D5B" w14:textId="77777777" w:rsidR="004D1A5B" w:rsidRPr="004D1A5B" w:rsidRDefault="004D1A5B" w:rsidP="00AC4476">
            <w:pPr>
              <w:keepNext/>
              <w:adjustRightInd w:val="0"/>
              <w:spacing w:before="60" w:after="60"/>
              <w:rPr>
                <w:rFonts w:asciiTheme="majorHAnsi" w:hAnsiTheme="majorHAnsi" w:cstheme="majorHAnsi"/>
                <w:color w:val="000000"/>
                <w:sz w:val="20"/>
                <w:szCs w:val="20"/>
              </w:rPr>
            </w:pPr>
            <w:proofErr w:type="spellStart"/>
            <w:r w:rsidRPr="004D1A5B">
              <w:rPr>
                <w:rFonts w:asciiTheme="majorHAnsi" w:hAnsiTheme="majorHAnsi" w:cstheme="majorHAnsi"/>
                <w:color w:val="000000"/>
                <w:sz w:val="20"/>
                <w:szCs w:val="20"/>
              </w:rPr>
              <w:t>NEW_DEL_AUTO_PER</w:t>
            </w:r>
            <w:proofErr w:type="spellEnd"/>
          </w:p>
        </w:tc>
      </w:tr>
    </w:tbl>
    <w:p w14:paraId="10406030" w14:textId="113CC965" w:rsidR="004D1A5B" w:rsidRDefault="004D1A5B" w:rsidP="004D1A5B">
      <w:pPr>
        <w:spacing w:after="0" w:line="480" w:lineRule="auto"/>
      </w:pPr>
    </w:p>
    <w:tbl>
      <w:tblPr>
        <w:tblW w:w="0" w:type="auto"/>
        <w:jc w:val="center"/>
        <w:tblLayout w:type="fixed"/>
        <w:tblCellMar>
          <w:left w:w="0" w:type="dxa"/>
          <w:right w:w="0" w:type="dxa"/>
        </w:tblCellMar>
        <w:tblLook w:val="0000" w:firstRow="0" w:lastRow="0" w:firstColumn="0" w:lastColumn="0" w:noHBand="0" w:noVBand="0"/>
      </w:tblPr>
      <w:tblGrid>
        <w:gridCol w:w="2566"/>
        <w:gridCol w:w="1415"/>
        <w:gridCol w:w="2556"/>
      </w:tblGrid>
      <w:tr w:rsidR="004D1A5B" w:rsidRPr="004D1A5B" w14:paraId="2289A8F6" w14:textId="77777777" w:rsidTr="004D1A5B">
        <w:trPr>
          <w:cantSplit/>
          <w:tblHeader/>
          <w:jc w:val="center"/>
        </w:trPr>
        <w:tc>
          <w:tcPr>
            <w:tcW w:w="6537" w:type="dxa"/>
            <w:gridSpan w:val="3"/>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14:paraId="31ABAFF2" w14:textId="77777777" w:rsidR="004D1A5B" w:rsidRPr="004D1A5B" w:rsidRDefault="004D1A5B" w:rsidP="00AC4476">
            <w:pPr>
              <w:keepNext/>
              <w:adjustRightInd w:val="0"/>
              <w:spacing w:before="60" w:after="60"/>
              <w:jc w:val="center"/>
              <w:rPr>
                <w:rFonts w:cstheme="minorHAnsi"/>
                <w:b/>
                <w:bCs/>
                <w:color w:val="000000"/>
              </w:rPr>
            </w:pPr>
            <w:r w:rsidRPr="004D1A5B">
              <w:rPr>
                <w:rFonts w:cstheme="minorHAnsi"/>
                <w:b/>
                <w:bCs/>
                <w:color w:val="000000"/>
              </w:rPr>
              <w:t>Pearson Correlation Coefficients, N = 21</w:t>
            </w:r>
            <w:r w:rsidRPr="004D1A5B">
              <w:rPr>
                <w:rFonts w:cstheme="minorHAnsi"/>
                <w:b/>
                <w:bCs/>
                <w:color w:val="000000"/>
              </w:rPr>
              <w:br/>
              <w:t>Prob &gt; |r| under </w:t>
            </w:r>
            <w:proofErr w:type="spellStart"/>
            <w:r w:rsidRPr="004D1A5B">
              <w:rPr>
                <w:rFonts w:cstheme="minorHAnsi"/>
                <w:b/>
                <w:bCs/>
                <w:color w:val="000000"/>
              </w:rPr>
              <w:t>H0</w:t>
            </w:r>
            <w:proofErr w:type="spellEnd"/>
            <w:r w:rsidRPr="004D1A5B">
              <w:rPr>
                <w:rFonts w:cstheme="minorHAnsi"/>
                <w:b/>
                <w:bCs/>
                <w:color w:val="000000"/>
              </w:rPr>
              <w:t>: Rho=0</w:t>
            </w:r>
          </w:p>
        </w:tc>
      </w:tr>
      <w:tr w:rsidR="004D1A5B" w:rsidRPr="004D1A5B" w14:paraId="1823C4E4" w14:textId="77777777" w:rsidTr="004D1A5B">
        <w:trPr>
          <w:cantSplit/>
          <w:tblHeader/>
          <w:jc w:val="center"/>
        </w:trPr>
        <w:tc>
          <w:tcPr>
            <w:tcW w:w="2566" w:type="dxa"/>
            <w:tcBorders>
              <w:top w:val="nil"/>
              <w:left w:val="single" w:sz="6" w:space="0" w:color="000000"/>
              <w:bottom w:val="single" w:sz="2" w:space="0" w:color="000000"/>
              <w:right w:val="nil"/>
            </w:tcBorders>
            <w:shd w:val="clear" w:color="auto" w:fill="auto"/>
            <w:tcMar>
              <w:left w:w="60" w:type="dxa"/>
              <w:right w:w="60" w:type="dxa"/>
            </w:tcMar>
            <w:vAlign w:val="bottom"/>
          </w:tcPr>
          <w:p w14:paraId="1623BB3D" w14:textId="77777777" w:rsidR="004D1A5B" w:rsidRPr="004D1A5B" w:rsidRDefault="004D1A5B" w:rsidP="00AC4476">
            <w:pPr>
              <w:keepNext/>
              <w:adjustRightInd w:val="0"/>
              <w:spacing w:before="60" w:after="60"/>
              <w:jc w:val="center"/>
              <w:rPr>
                <w:rFonts w:cstheme="minorHAnsi"/>
                <w:b/>
                <w:bCs/>
                <w:color w:val="000000"/>
              </w:rPr>
            </w:pPr>
          </w:p>
        </w:tc>
        <w:tc>
          <w:tcPr>
            <w:tcW w:w="1415" w:type="dxa"/>
            <w:tcBorders>
              <w:top w:val="nil"/>
              <w:left w:val="single" w:sz="2" w:space="0" w:color="000000"/>
              <w:bottom w:val="single" w:sz="2" w:space="0" w:color="000000"/>
              <w:right w:val="nil"/>
            </w:tcBorders>
            <w:shd w:val="clear" w:color="auto" w:fill="auto"/>
            <w:tcMar>
              <w:left w:w="60" w:type="dxa"/>
              <w:right w:w="60" w:type="dxa"/>
            </w:tcMar>
            <w:vAlign w:val="bottom"/>
          </w:tcPr>
          <w:p w14:paraId="73D2CCC7" w14:textId="77777777" w:rsidR="004D1A5B" w:rsidRPr="004D1A5B" w:rsidRDefault="004D1A5B" w:rsidP="00AC4476">
            <w:pPr>
              <w:keepNext/>
              <w:adjustRightInd w:val="0"/>
              <w:spacing w:before="60" w:after="60"/>
              <w:jc w:val="right"/>
              <w:rPr>
                <w:rFonts w:cstheme="minorHAnsi"/>
                <w:b/>
                <w:bCs/>
                <w:color w:val="000000"/>
              </w:rPr>
            </w:pPr>
            <w:proofErr w:type="spellStart"/>
            <w:r w:rsidRPr="004D1A5B">
              <w:rPr>
                <w:rFonts w:cstheme="minorHAnsi"/>
                <w:b/>
                <w:bCs/>
                <w:color w:val="000000"/>
              </w:rPr>
              <w:t>FINOB</w:t>
            </w:r>
            <w:proofErr w:type="spellEnd"/>
          </w:p>
        </w:tc>
        <w:tc>
          <w:tcPr>
            <w:tcW w:w="2556"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14:paraId="7906E247" w14:textId="77777777" w:rsidR="004D1A5B" w:rsidRPr="004D1A5B" w:rsidRDefault="004D1A5B" w:rsidP="00AC4476">
            <w:pPr>
              <w:keepNext/>
              <w:adjustRightInd w:val="0"/>
              <w:spacing w:before="60" w:after="60"/>
              <w:jc w:val="right"/>
              <w:rPr>
                <w:rFonts w:cstheme="minorHAnsi"/>
                <w:b/>
                <w:bCs/>
                <w:color w:val="000000"/>
              </w:rPr>
            </w:pPr>
            <w:proofErr w:type="spellStart"/>
            <w:r w:rsidRPr="004D1A5B">
              <w:rPr>
                <w:rFonts w:cstheme="minorHAnsi"/>
                <w:b/>
                <w:bCs/>
                <w:color w:val="000000"/>
              </w:rPr>
              <w:t>NEW_DEL_AUTO_PER</w:t>
            </w:r>
            <w:proofErr w:type="spellEnd"/>
          </w:p>
        </w:tc>
      </w:tr>
      <w:tr w:rsidR="004D1A5B" w:rsidRPr="004D1A5B" w14:paraId="436DBB08" w14:textId="77777777" w:rsidTr="004D1A5B">
        <w:trPr>
          <w:cantSplit/>
          <w:jc w:val="center"/>
        </w:trPr>
        <w:tc>
          <w:tcPr>
            <w:tcW w:w="2566" w:type="dxa"/>
            <w:tcBorders>
              <w:top w:val="nil"/>
              <w:left w:val="single" w:sz="6" w:space="0" w:color="000000"/>
              <w:bottom w:val="single" w:sz="2" w:space="0" w:color="000000"/>
              <w:right w:val="nil"/>
            </w:tcBorders>
            <w:shd w:val="clear" w:color="auto" w:fill="auto"/>
            <w:tcMar>
              <w:left w:w="60" w:type="dxa"/>
              <w:right w:w="60" w:type="dxa"/>
            </w:tcMar>
          </w:tcPr>
          <w:p w14:paraId="2F45257D" w14:textId="77777777" w:rsidR="004D1A5B" w:rsidRPr="004D1A5B" w:rsidRDefault="004D1A5B" w:rsidP="00AC4476">
            <w:pPr>
              <w:keepNext/>
              <w:adjustRightInd w:val="0"/>
              <w:spacing w:before="60" w:after="60"/>
              <w:rPr>
                <w:rFonts w:cstheme="minorHAnsi"/>
                <w:b/>
                <w:bCs/>
                <w:color w:val="000000"/>
              </w:rPr>
            </w:pPr>
            <w:proofErr w:type="spellStart"/>
            <w:r w:rsidRPr="004D1A5B">
              <w:rPr>
                <w:rFonts w:cstheme="minorHAnsi"/>
                <w:b/>
                <w:bCs/>
                <w:color w:val="000000"/>
              </w:rPr>
              <w:t>FINOB</w:t>
            </w:r>
            <w:proofErr w:type="spellEnd"/>
            <w:r w:rsidRPr="004D1A5B">
              <w:rPr>
                <w:rFonts w:cstheme="minorHAnsi"/>
                <w:b/>
                <w:bCs/>
                <w:color w:val="000000"/>
              </w:rPr>
              <w:br/>
            </w:r>
            <w:proofErr w:type="spellStart"/>
            <w:r w:rsidRPr="004D1A5B">
              <w:rPr>
                <w:rFonts w:cstheme="minorHAnsi"/>
                <w:b/>
                <w:bCs/>
                <w:color w:val="000000"/>
              </w:rPr>
              <w:t>FINOB</w:t>
            </w:r>
            <w:proofErr w:type="spellEnd"/>
          </w:p>
        </w:tc>
        <w:tc>
          <w:tcPr>
            <w:tcW w:w="1415" w:type="dxa"/>
            <w:tcBorders>
              <w:top w:val="nil"/>
              <w:left w:val="single" w:sz="2" w:space="0" w:color="000000"/>
              <w:bottom w:val="single" w:sz="2" w:space="0" w:color="000000"/>
              <w:right w:val="nil"/>
            </w:tcBorders>
            <w:shd w:val="clear" w:color="auto" w:fill="auto"/>
            <w:tcMar>
              <w:left w:w="60" w:type="dxa"/>
              <w:right w:w="60" w:type="dxa"/>
            </w:tcMar>
          </w:tcPr>
          <w:p w14:paraId="0ABBEAE7" w14:textId="77777777" w:rsidR="004D1A5B" w:rsidRPr="004D1A5B" w:rsidRDefault="004D1A5B" w:rsidP="00AC4476">
            <w:pPr>
              <w:keepNext/>
              <w:adjustRightInd w:val="0"/>
              <w:spacing w:before="60" w:after="60"/>
              <w:jc w:val="right"/>
              <w:rPr>
                <w:rFonts w:cstheme="minorHAnsi"/>
                <w:color w:val="000000"/>
              </w:rPr>
            </w:pPr>
            <w:r w:rsidRPr="004D1A5B">
              <w:rPr>
                <w:rFonts w:cstheme="minorHAnsi"/>
                <w:color w:val="000000"/>
              </w:rPr>
              <w:t>1.00000</w:t>
            </w:r>
            <w:r w:rsidRPr="004D1A5B">
              <w:rPr>
                <w:rFonts w:cstheme="minorHAnsi"/>
                <w:color w:val="000000"/>
              </w:rPr>
              <w:br/>
            </w:r>
          </w:p>
        </w:tc>
        <w:tc>
          <w:tcPr>
            <w:tcW w:w="2556"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662F6620" w14:textId="77777777" w:rsidR="004D1A5B" w:rsidRPr="004D1A5B" w:rsidRDefault="004D1A5B" w:rsidP="00AC4476">
            <w:pPr>
              <w:keepNext/>
              <w:adjustRightInd w:val="0"/>
              <w:spacing w:before="60" w:after="60"/>
              <w:jc w:val="right"/>
              <w:rPr>
                <w:rFonts w:cstheme="minorHAnsi"/>
                <w:color w:val="000000"/>
              </w:rPr>
            </w:pPr>
            <w:r w:rsidRPr="004D1A5B">
              <w:rPr>
                <w:rFonts w:cstheme="minorHAnsi"/>
                <w:color w:val="000000"/>
              </w:rPr>
              <w:t>0.85734</w:t>
            </w:r>
            <w:r w:rsidRPr="004D1A5B">
              <w:rPr>
                <w:rFonts w:cstheme="minorHAnsi"/>
                <w:color w:val="000000"/>
              </w:rPr>
              <w:br/>
              <w:t>&lt;.0001</w:t>
            </w:r>
          </w:p>
        </w:tc>
      </w:tr>
      <w:tr w:rsidR="004D1A5B" w:rsidRPr="004D1A5B" w14:paraId="3FEDAC32" w14:textId="77777777" w:rsidTr="004D1A5B">
        <w:trPr>
          <w:cantSplit/>
          <w:jc w:val="center"/>
        </w:trPr>
        <w:tc>
          <w:tcPr>
            <w:tcW w:w="2566" w:type="dxa"/>
            <w:tcBorders>
              <w:top w:val="nil"/>
              <w:left w:val="single" w:sz="6" w:space="0" w:color="000000"/>
              <w:bottom w:val="single" w:sz="6" w:space="0" w:color="000000"/>
              <w:right w:val="nil"/>
            </w:tcBorders>
            <w:shd w:val="clear" w:color="auto" w:fill="auto"/>
            <w:tcMar>
              <w:left w:w="60" w:type="dxa"/>
              <w:right w:w="60" w:type="dxa"/>
            </w:tcMar>
          </w:tcPr>
          <w:p w14:paraId="63AD00D7" w14:textId="77777777" w:rsidR="004D1A5B" w:rsidRPr="004D1A5B" w:rsidRDefault="004D1A5B" w:rsidP="00AC4476">
            <w:pPr>
              <w:keepNext/>
              <w:adjustRightInd w:val="0"/>
              <w:spacing w:before="60" w:after="60"/>
              <w:rPr>
                <w:rFonts w:cstheme="minorHAnsi"/>
                <w:b/>
                <w:bCs/>
                <w:color w:val="000000"/>
              </w:rPr>
            </w:pPr>
            <w:proofErr w:type="spellStart"/>
            <w:r w:rsidRPr="004D1A5B">
              <w:rPr>
                <w:rFonts w:cstheme="minorHAnsi"/>
                <w:b/>
                <w:bCs/>
                <w:color w:val="000000"/>
              </w:rPr>
              <w:t>NEW_DEL_AUTO_PER</w:t>
            </w:r>
            <w:proofErr w:type="spellEnd"/>
            <w:r w:rsidRPr="004D1A5B">
              <w:rPr>
                <w:rFonts w:cstheme="minorHAnsi"/>
                <w:b/>
                <w:bCs/>
                <w:color w:val="000000"/>
              </w:rPr>
              <w:br/>
            </w:r>
            <w:proofErr w:type="spellStart"/>
            <w:r w:rsidRPr="004D1A5B">
              <w:rPr>
                <w:rFonts w:cstheme="minorHAnsi"/>
                <w:b/>
                <w:bCs/>
                <w:color w:val="000000"/>
              </w:rPr>
              <w:t>NEW_DEL_AUTO_PER</w:t>
            </w:r>
            <w:proofErr w:type="spellEnd"/>
          </w:p>
        </w:tc>
        <w:tc>
          <w:tcPr>
            <w:tcW w:w="1415" w:type="dxa"/>
            <w:tcBorders>
              <w:top w:val="nil"/>
              <w:left w:val="single" w:sz="2" w:space="0" w:color="000000"/>
              <w:bottom w:val="single" w:sz="6" w:space="0" w:color="000000"/>
              <w:right w:val="nil"/>
            </w:tcBorders>
            <w:shd w:val="clear" w:color="auto" w:fill="auto"/>
            <w:tcMar>
              <w:left w:w="60" w:type="dxa"/>
              <w:right w:w="60" w:type="dxa"/>
            </w:tcMar>
          </w:tcPr>
          <w:p w14:paraId="7F061743" w14:textId="77777777" w:rsidR="004D1A5B" w:rsidRPr="004D1A5B" w:rsidRDefault="004D1A5B" w:rsidP="00AC4476">
            <w:pPr>
              <w:keepNext/>
              <w:adjustRightInd w:val="0"/>
              <w:spacing w:before="60" w:after="60"/>
              <w:jc w:val="right"/>
              <w:rPr>
                <w:rFonts w:cstheme="minorHAnsi"/>
                <w:color w:val="000000"/>
              </w:rPr>
            </w:pPr>
            <w:r w:rsidRPr="004D1A5B">
              <w:rPr>
                <w:rFonts w:cstheme="minorHAnsi"/>
                <w:color w:val="000000"/>
              </w:rPr>
              <w:t>0.85734</w:t>
            </w:r>
            <w:r w:rsidRPr="004D1A5B">
              <w:rPr>
                <w:rFonts w:cstheme="minorHAnsi"/>
                <w:color w:val="000000"/>
              </w:rPr>
              <w:br/>
              <w:t>&lt;.0001</w:t>
            </w:r>
          </w:p>
        </w:tc>
        <w:tc>
          <w:tcPr>
            <w:tcW w:w="2556" w:type="dxa"/>
            <w:tcBorders>
              <w:top w:val="nil"/>
              <w:left w:val="single" w:sz="2" w:space="0" w:color="000000"/>
              <w:bottom w:val="single" w:sz="6" w:space="0" w:color="000000"/>
              <w:right w:val="single" w:sz="6" w:space="0" w:color="000000"/>
            </w:tcBorders>
            <w:shd w:val="clear" w:color="auto" w:fill="auto"/>
            <w:tcMar>
              <w:left w:w="60" w:type="dxa"/>
              <w:right w:w="60" w:type="dxa"/>
            </w:tcMar>
          </w:tcPr>
          <w:p w14:paraId="27B75968" w14:textId="77777777" w:rsidR="004D1A5B" w:rsidRPr="004D1A5B" w:rsidRDefault="004D1A5B" w:rsidP="00AC4476">
            <w:pPr>
              <w:keepNext/>
              <w:adjustRightInd w:val="0"/>
              <w:spacing w:before="60" w:after="60"/>
              <w:jc w:val="right"/>
              <w:rPr>
                <w:rFonts w:cstheme="minorHAnsi"/>
                <w:color w:val="000000"/>
              </w:rPr>
            </w:pPr>
            <w:r w:rsidRPr="004D1A5B">
              <w:rPr>
                <w:rFonts w:cstheme="minorHAnsi"/>
                <w:color w:val="000000"/>
              </w:rPr>
              <w:t>1.00000</w:t>
            </w:r>
            <w:r w:rsidRPr="004D1A5B">
              <w:rPr>
                <w:rFonts w:cstheme="minorHAnsi"/>
                <w:color w:val="000000"/>
              </w:rPr>
              <w:br/>
            </w:r>
          </w:p>
        </w:tc>
      </w:tr>
    </w:tbl>
    <w:p w14:paraId="0ED6FFFA" w14:textId="3EC4ED02" w:rsidR="0009011E" w:rsidRDefault="0009011E" w:rsidP="006E2B26">
      <w:pPr>
        <w:spacing w:after="0" w:line="240" w:lineRule="auto"/>
      </w:pPr>
    </w:p>
    <w:p w14:paraId="23C53707" w14:textId="77777777" w:rsidR="00426D3A" w:rsidRDefault="00426D3A" w:rsidP="006E2B26">
      <w:pPr>
        <w:spacing w:after="0" w:line="240" w:lineRule="auto"/>
        <w:rPr>
          <w:b/>
          <w:bCs/>
        </w:rPr>
      </w:pPr>
    </w:p>
    <w:p w14:paraId="11A72263" w14:textId="77777777" w:rsidR="0009011E" w:rsidRDefault="0009011E" w:rsidP="006E2B26">
      <w:pPr>
        <w:spacing w:after="0" w:line="240" w:lineRule="auto"/>
        <w:rPr>
          <w:b/>
          <w:bCs/>
        </w:rPr>
      </w:pPr>
    </w:p>
    <w:p w14:paraId="296370BE" w14:textId="77777777" w:rsidR="0009011E" w:rsidRDefault="0009011E" w:rsidP="006E2B26">
      <w:pPr>
        <w:spacing w:after="0" w:line="240" w:lineRule="auto"/>
        <w:rPr>
          <w:b/>
          <w:bCs/>
        </w:rPr>
      </w:pPr>
    </w:p>
    <w:p w14:paraId="0F73DFC3" w14:textId="77777777" w:rsidR="0009011E" w:rsidRDefault="0009011E" w:rsidP="006E2B26">
      <w:pPr>
        <w:spacing w:after="0" w:line="240" w:lineRule="auto"/>
        <w:rPr>
          <w:b/>
          <w:bCs/>
        </w:rPr>
      </w:pPr>
    </w:p>
    <w:p w14:paraId="3F1B9D91" w14:textId="77777777" w:rsidR="0009011E" w:rsidRDefault="0009011E" w:rsidP="006E2B26">
      <w:pPr>
        <w:spacing w:after="0" w:line="240" w:lineRule="auto"/>
        <w:rPr>
          <w:b/>
          <w:bCs/>
        </w:rPr>
      </w:pPr>
    </w:p>
    <w:p w14:paraId="2A372E86" w14:textId="77777777" w:rsidR="0009011E" w:rsidRDefault="0009011E" w:rsidP="006E2B26">
      <w:pPr>
        <w:spacing w:after="0" w:line="240" w:lineRule="auto"/>
        <w:rPr>
          <w:b/>
          <w:bCs/>
        </w:rPr>
      </w:pPr>
    </w:p>
    <w:p w14:paraId="0CF69C87" w14:textId="77777777" w:rsidR="0009011E" w:rsidRDefault="0009011E" w:rsidP="006E2B26">
      <w:pPr>
        <w:spacing w:after="0" w:line="240" w:lineRule="auto"/>
        <w:rPr>
          <w:b/>
          <w:bCs/>
        </w:rPr>
      </w:pPr>
    </w:p>
    <w:p w14:paraId="7CAAACD0" w14:textId="77777777" w:rsidR="0009011E" w:rsidRDefault="0009011E" w:rsidP="006E2B26">
      <w:pPr>
        <w:spacing w:after="0" w:line="240" w:lineRule="auto"/>
        <w:rPr>
          <w:b/>
          <w:bCs/>
        </w:rPr>
      </w:pPr>
    </w:p>
    <w:p w14:paraId="3DD47020" w14:textId="77777777" w:rsidR="0009011E" w:rsidRDefault="0009011E" w:rsidP="006E2B26">
      <w:pPr>
        <w:spacing w:after="0" w:line="240" w:lineRule="auto"/>
        <w:rPr>
          <w:b/>
          <w:bCs/>
        </w:rPr>
      </w:pPr>
    </w:p>
    <w:p w14:paraId="01172CB1" w14:textId="77777777" w:rsidR="0009011E" w:rsidRDefault="0009011E" w:rsidP="006E2B26">
      <w:pPr>
        <w:spacing w:after="0" w:line="240" w:lineRule="auto"/>
        <w:rPr>
          <w:b/>
          <w:bCs/>
        </w:rPr>
      </w:pPr>
    </w:p>
    <w:p w14:paraId="1557476D" w14:textId="77777777" w:rsidR="0009011E" w:rsidRDefault="0009011E" w:rsidP="006E2B26">
      <w:pPr>
        <w:spacing w:after="0" w:line="240" w:lineRule="auto"/>
        <w:rPr>
          <w:b/>
          <w:bCs/>
        </w:rPr>
      </w:pPr>
    </w:p>
    <w:p w14:paraId="7AF4F8B3" w14:textId="77777777" w:rsidR="0009011E" w:rsidRDefault="0009011E" w:rsidP="006E2B26">
      <w:pPr>
        <w:spacing w:after="0" w:line="240" w:lineRule="auto"/>
        <w:rPr>
          <w:b/>
          <w:bCs/>
        </w:rPr>
      </w:pPr>
    </w:p>
    <w:p w14:paraId="4C06ADF1" w14:textId="77777777" w:rsidR="0009011E" w:rsidRDefault="0009011E" w:rsidP="006E2B26">
      <w:pPr>
        <w:spacing w:after="0" w:line="240" w:lineRule="auto"/>
        <w:rPr>
          <w:b/>
          <w:bCs/>
        </w:rPr>
      </w:pPr>
    </w:p>
    <w:p w14:paraId="759CDA6F" w14:textId="77777777" w:rsidR="0009011E" w:rsidRDefault="0009011E" w:rsidP="006E2B26">
      <w:pPr>
        <w:spacing w:after="0" w:line="240" w:lineRule="auto"/>
        <w:rPr>
          <w:b/>
          <w:bCs/>
        </w:rPr>
      </w:pPr>
    </w:p>
    <w:p w14:paraId="22DC9551" w14:textId="77777777" w:rsidR="0009011E" w:rsidRDefault="0009011E" w:rsidP="006E2B26">
      <w:pPr>
        <w:spacing w:after="0" w:line="240" w:lineRule="auto"/>
        <w:rPr>
          <w:b/>
          <w:bCs/>
        </w:rPr>
      </w:pPr>
    </w:p>
    <w:p w14:paraId="4FEA30C2" w14:textId="1D74BF53" w:rsidR="006E2B26" w:rsidRPr="006E2B26" w:rsidRDefault="006E2B26" w:rsidP="006E2B26">
      <w:pPr>
        <w:spacing w:after="0" w:line="240" w:lineRule="auto"/>
      </w:pPr>
      <w:r w:rsidRPr="006E2B26">
        <w:rPr>
          <w:b/>
          <w:bCs/>
        </w:rPr>
        <w:t xml:space="preserve">Figure 4 </w:t>
      </w:r>
    </w:p>
    <w:p w14:paraId="56A09EBE" w14:textId="04E2E3B9" w:rsidR="0009011E" w:rsidRPr="0009011E" w:rsidRDefault="006E2B26" w:rsidP="0009011E">
      <w:pPr>
        <w:tabs>
          <w:tab w:val="left" w:pos="1830"/>
        </w:tabs>
        <w:spacing w:line="240" w:lineRule="auto"/>
        <w:rPr>
          <w:i/>
          <w:iCs/>
        </w:rPr>
      </w:pPr>
      <w:r>
        <w:rPr>
          <w:i/>
          <w:iCs/>
        </w:rPr>
        <w:t xml:space="preserve">Graph of correlation between </w:t>
      </w:r>
      <w:proofErr w:type="spellStart"/>
      <w:r>
        <w:rPr>
          <w:i/>
          <w:iCs/>
        </w:rPr>
        <w:t>FINOB</w:t>
      </w:r>
      <w:proofErr w:type="spellEnd"/>
      <w:r>
        <w:rPr>
          <w:i/>
          <w:iCs/>
        </w:rPr>
        <w:t xml:space="preserve"> and New Delinquencies is Auto loans</w:t>
      </w:r>
    </w:p>
    <w:p w14:paraId="78D7902B" w14:textId="2D3B9603" w:rsidR="00C12325" w:rsidRDefault="006E2B26" w:rsidP="00C12325">
      <w:pPr>
        <w:jc w:val="center"/>
      </w:pPr>
      <w:r>
        <w:rPr>
          <w:noProof/>
          <w:sz w:val="24"/>
          <w:szCs w:val="24"/>
        </w:rPr>
        <w:drawing>
          <wp:inline distT="0" distB="0" distL="0" distR="0" wp14:anchorId="76BD7B03" wp14:editId="316849FC">
            <wp:extent cx="5076825" cy="38076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88" cy="3837890"/>
                    </a:xfrm>
                    <a:prstGeom prst="rect">
                      <a:avLst/>
                    </a:prstGeom>
                    <a:noFill/>
                    <a:ln>
                      <a:noFill/>
                    </a:ln>
                  </pic:spPr>
                </pic:pic>
              </a:graphicData>
            </a:graphic>
          </wp:inline>
        </w:drawing>
      </w:r>
    </w:p>
    <w:p w14:paraId="61F6C874" w14:textId="5CB1183D" w:rsidR="006E2B26" w:rsidRDefault="006E2B26" w:rsidP="006E2B26">
      <w:pPr>
        <w:ind w:firstLine="720"/>
      </w:pPr>
    </w:p>
    <w:p w14:paraId="10FBB58E" w14:textId="59E29BED" w:rsidR="006E2B26" w:rsidRDefault="006E2B26" w:rsidP="006E2B26">
      <w:pPr>
        <w:ind w:firstLine="720"/>
      </w:pPr>
      <w:r>
        <w:t xml:space="preserve">Regression analysis </w:t>
      </w:r>
      <w:proofErr w:type="gramStart"/>
      <w:r>
        <w:t>was also run</w:t>
      </w:r>
      <w:proofErr w:type="gramEnd"/>
      <w:r>
        <w:t xml:space="preserve"> on </w:t>
      </w:r>
      <w:r w:rsidR="00656DC0">
        <w:t xml:space="preserve">the same variables. Table 2,3, and </w:t>
      </w:r>
      <w:proofErr w:type="gramStart"/>
      <w:r w:rsidR="00656DC0">
        <w:t>4  shows</w:t>
      </w:r>
      <w:proofErr w:type="gramEnd"/>
      <w:r w:rsidR="00656DC0">
        <w:t xml:space="preserve"> the results. </w:t>
      </w:r>
    </w:p>
    <w:p w14:paraId="6584B63A" w14:textId="4C8C770B" w:rsidR="00656DC0" w:rsidRDefault="00656DC0" w:rsidP="00656DC0">
      <w:pPr>
        <w:rPr>
          <w:b/>
          <w:bCs/>
        </w:rPr>
      </w:pPr>
      <w:r>
        <w:rPr>
          <w:b/>
          <w:bCs/>
        </w:rPr>
        <w:t xml:space="preserve">Table 2,3, and 4 </w:t>
      </w:r>
    </w:p>
    <w:p w14:paraId="43BFAF39" w14:textId="5199DC30" w:rsidR="00656DC0" w:rsidRDefault="00656DC0" w:rsidP="00656DC0">
      <w:pPr>
        <w:rPr>
          <w:i/>
          <w:iCs/>
        </w:rPr>
      </w:pPr>
      <w:r>
        <w:rPr>
          <w:i/>
          <w:iCs/>
        </w:rPr>
        <w:t>Regression analysis results</w:t>
      </w:r>
    </w:p>
    <w:tbl>
      <w:tblPr>
        <w:tblW w:w="0" w:type="auto"/>
        <w:tblInd w:w="-5" w:type="dxa"/>
        <w:tblBorders>
          <w:top w:val="single" w:sz="4" w:space="0" w:color="919191"/>
          <w:left w:val="single" w:sz="4" w:space="0" w:color="919191"/>
          <w:bottom w:val="single" w:sz="4" w:space="0" w:color="919191"/>
          <w:right w:val="single" w:sz="4" w:space="0" w:color="919191"/>
          <w:insideH w:val="single" w:sz="4" w:space="0" w:color="919191"/>
          <w:insideV w:val="single" w:sz="4" w:space="0" w:color="919191"/>
        </w:tblBorders>
        <w:tblLayout w:type="fixed"/>
        <w:tblCellMar>
          <w:left w:w="0" w:type="dxa"/>
          <w:right w:w="0" w:type="dxa"/>
        </w:tblCellMar>
        <w:tblLook w:val="01E0" w:firstRow="1" w:lastRow="1" w:firstColumn="1" w:lastColumn="1" w:noHBand="0" w:noVBand="0"/>
      </w:tblPr>
      <w:tblGrid>
        <w:gridCol w:w="2105"/>
        <w:gridCol w:w="627"/>
        <w:gridCol w:w="1792"/>
        <w:gridCol w:w="1416"/>
        <w:gridCol w:w="915"/>
        <w:gridCol w:w="2196"/>
      </w:tblGrid>
      <w:tr w:rsidR="00656DC0" w14:paraId="76BBD794" w14:textId="77777777" w:rsidTr="00656DC0">
        <w:trPr>
          <w:trHeight w:val="248"/>
        </w:trPr>
        <w:tc>
          <w:tcPr>
            <w:tcW w:w="9051" w:type="dxa"/>
            <w:gridSpan w:val="6"/>
          </w:tcPr>
          <w:p w14:paraId="3ACD72DA" w14:textId="77777777" w:rsidR="00656DC0" w:rsidRDefault="00656DC0" w:rsidP="00AC4476">
            <w:pPr>
              <w:pStyle w:val="TableParagraph"/>
              <w:ind w:left="1627" w:right="1617"/>
              <w:jc w:val="center"/>
              <w:rPr>
                <w:b/>
                <w:sz w:val="16"/>
              </w:rPr>
            </w:pPr>
            <w:r>
              <w:rPr>
                <w:b/>
                <w:spacing w:val="-1"/>
                <w:sz w:val="16"/>
              </w:rPr>
              <w:t>Analysis</w:t>
            </w:r>
            <w:r>
              <w:rPr>
                <w:b/>
                <w:spacing w:val="-9"/>
                <w:sz w:val="16"/>
              </w:rPr>
              <w:t xml:space="preserve"> </w:t>
            </w:r>
            <w:r>
              <w:rPr>
                <w:b/>
                <w:sz w:val="16"/>
              </w:rPr>
              <w:t>of</w:t>
            </w:r>
            <w:r>
              <w:rPr>
                <w:b/>
                <w:spacing w:val="-10"/>
                <w:sz w:val="16"/>
              </w:rPr>
              <w:t xml:space="preserve"> </w:t>
            </w:r>
            <w:r>
              <w:rPr>
                <w:b/>
                <w:sz w:val="16"/>
              </w:rPr>
              <w:t>Variance</w:t>
            </w:r>
          </w:p>
        </w:tc>
      </w:tr>
      <w:tr w:rsidR="00656DC0" w14:paraId="3FA89AD2" w14:textId="77777777" w:rsidTr="00656DC0">
        <w:trPr>
          <w:trHeight w:val="379"/>
        </w:trPr>
        <w:tc>
          <w:tcPr>
            <w:tcW w:w="2105" w:type="dxa"/>
          </w:tcPr>
          <w:p w14:paraId="1F4A466C" w14:textId="77777777" w:rsidR="00656DC0" w:rsidRDefault="00656DC0" w:rsidP="00656DC0">
            <w:pPr>
              <w:pStyle w:val="TableParagraph"/>
              <w:spacing w:before="5"/>
              <w:jc w:val="center"/>
              <w:rPr>
                <w:rFonts w:ascii="Times New Roman"/>
                <w:sz w:val="24"/>
              </w:rPr>
            </w:pPr>
          </w:p>
          <w:p w14:paraId="7F7C683C" w14:textId="77777777" w:rsidR="00656DC0" w:rsidRDefault="00656DC0" w:rsidP="00656DC0">
            <w:pPr>
              <w:pStyle w:val="TableParagraph"/>
              <w:spacing w:before="0"/>
              <w:ind w:left="100"/>
              <w:jc w:val="center"/>
              <w:rPr>
                <w:b/>
                <w:sz w:val="16"/>
              </w:rPr>
            </w:pPr>
            <w:bookmarkStart w:id="1" w:name="Analysis_of_Variance"/>
            <w:bookmarkEnd w:id="1"/>
            <w:r>
              <w:rPr>
                <w:b/>
                <w:sz w:val="16"/>
              </w:rPr>
              <w:t>Source</w:t>
            </w:r>
          </w:p>
        </w:tc>
        <w:tc>
          <w:tcPr>
            <w:tcW w:w="627" w:type="dxa"/>
          </w:tcPr>
          <w:p w14:paraId="62B7BF2E" w14:textId="77777777" w:rsidR="00656DC0" w:rsidRDefault="00656DC0" w:rsidP="00656DC0">
            <w:pPr>
              <w:pStyle w:val="TableParagraph"/>
              <w:spacing w:before="5"/>
              <w:jc w:val="center"/>
              <w:rPr>
                <w:rFonts w:ascii="Times New Roman"/>
                <w:sz w:val="24"/>
              </w:rPr>
            </w:pPr>
          </w:p>
          <w:p w14:paraId="3E2E2B71" w14:textId="77777777" w:rsidR="00656DC0" w:rsidRDefault="00656DC0" w:rsidP="00656DC0">
            <w:pPr>
              <w:pStyle w:val="TableParagraph"/>
              <w:spacing w:before="0"/>
              <w:ind w:left="80" w:right="65"/>
              <w:jc w:val="center"/>
              <w:rPr>
                <w:b/>
                <w:sz w:val="16"/>
              </w:rPr>
            </w:pPr>
            <w:r>
              <w:rPr>
                <w:b/>
                <w:sz w:val="16"/>
              </w:rPr>
              <w:t>DF</w:t>
            </w:r>
          </w:p>
        </w:tc>
        <w:tc>
          <w:tcPr>
            <w:tcW w:w="1792" w:type="dxa"/>
          </w:tcPr>
          <w:p w14:paraId="0C455ED4" w14:textId="77777777" w:rsidR="00656DC0" w:rsidRDefault="00656DC0" w:rsidP="00656DC0">
            <w:pPr>
              <w:pStyle w:val="TableParagraph"/>
              <w:spacing w:line="249" w:lineRule="auto"/>
              <w:ind w:left="101" w:right="69" w:firstLine="96"/>
              <w:jc w:val="center"/>
              <w:rPr>
                <w:b/>
                <w:sz w:val="16"/>
              </w:rPr>
            </w:pPr>
            <w:r>
              <w:rPr>
                <w:b/>
                <w:spacing w:val="-4"/>
                <w:sz w:val="16"/>
              </w:rPr>
              <w:t xml:space="preserve">Sum </w:t>
            </w:r>
            <w:r>
              <w:rPr>
                <w:b/>
                <w:spacing w:val="-3"/>
                <w:sz w:val="16"/>
              </w:rPr>
              <w:t>of</w:t>
            </w:r>
            <w:r>
              <w:rPr>
                <w:b/>
                <w:spacing w:val="-42"/>
                <w:sz w:val="16"/>
              </w:rPr>
              <w:t xml:space="preserve"> </w:t>
            </w:r>
            <w:r>
              <w:rPr>
                <w:b/>
                <w:spacing w:val="-1"/>
                <w:sz w:val="16"/>
              </w:rPr>
              <w:t>Squares</w:t>
            </w:r>
          </w:p>
        </w:tc>
        <w:tc>
          <w:tcPr>
            <w:tcW w:w="1416" w:type="dxa"/>
          </w:tcPr>
          <w:p w14:paraId="5C539726" w14:textId="77777777" w:rsidR="00656DC0" w:rsidRDefault="00656DC0" w:rsidP="00656DC0">
            <w:pPr>
              <w:pStyle w:val="TableParagraph"/>
              <w:spacing w:line="249" w:lineRule="auto"/>
              <w:ind w:left="131" w:right="63" w:firstLine="144"/>
              <w:jc w:val="center"/>
              <w:rPr>
                <w:b/>
                <w:sz w:val="16"/>
              </w:rPr>
            </w:pPr>
            <w:r>
              <w:rPr>
                <w:b/>
                <w:spacing w:val="-3"/>
                <w:sz w:val="16"/>
              </w:rPr>
              <w:t>Mean</w:t>
            </w:r>
            <w:r>
              <w:rPr>
                <w:b/>
                <w:spacing w:val="-42"/>
                <w:sz w:val="16"/>
              </w:rPr>
              <w:t xml:space="preserve"> </w:t>
            </w:r>
            <w:r>
              <w:rPr>
                <w:b/>
                <w:sz w:val="16"/>
              </w:rPr>
              <w:t>Square</w:t>
            </w:r>
          </w:p>
        </w:tc>
        <w:tc>
          <w:tcPr>
            <w:tcW w:w="915" w:type="dxa"/>
          </w:tcPr>
          <w:p w14:paraId="0DDA661F" w14:textId="77777777" w:rsidR="00656DC0" w:rsidRDefault="00656DC0" w:rsidP="00656DC0">
            <w:pPr>
              <w:pStyle w:val="TableParagraph"/>
              <w:spacing w:before="5"/>
              <w:jc w:val="center"/>
              <w:rPr>
                <w:rFonts w:ascii="Times New Roman"/>
                <w:sz w:val="24"/>
              </w:rPr>
            </w:pPr>
          </w:p>
          <w:p w14:paraId="0E8C7A86" w14:textId="77777777" w:rsidR="00656DC0" w:rsidRDefault="00656DC0" w:rsidP="00656DC0">
            <w:pPr>
              <w:pStyle w:val="TableParagraph"/>
              <w:spacing w:before="0"/>
              <w:ind w:right="80"/>
              <w:jc w:val="center"/>
              <w:rPr>
                <w:b/>
                <w:sz w:val="16"/>
              </w:rPr>
            </w:pPr>
            <w:r>
              <w:rPr>
                <w:b/>
                <w:sz w:val="16"/>
              </w:rPr>
              <w:t>F</w:t>
            </w:r>
            <w:r>
              <w:rPr>
                <w:b/>
                <w:spacing w:val="-5"/>
                <w:sz w:val="16"/>
              </w:rPr>
              <w:t xml:space="preserve"> </w:t>
            </w:r>
            <w:r>
              <w:rPr>
                <w:b/>
                <w:sz w:val="16"/>
              </w:rPr>
              <w:t>Value</w:t>
            </w:r>
          </w:p>
        </w:tc>
        <w:tc>
          <w:tcPr>
            <w:tcW w:w="2196" w:type="dxa"/>
          </w:tcPr>
          <w:p w14:paraId="3E451031" w14:textId="77777777" w:rsidR="00656DC0" w:rsidRDefault="00656DC0" w:rsidP="00656DC0">
            <w:pPr>
              <w:pStyle w:val="TableParagraph"/>
              <w:spacing w:before="5"/>
              <w:jc w:val="center"/>
              <w:rPr>
                <w:rFonts w:ascii="Times New Roman"/>
                <w:sz w:val="24"/>
              </w:rPr>
            </w:pPr>
          </w:p>
          <w:p w14:paraId="7A8AF366" w14:textId="77777777" w:rsidR="00656DC0" w:rsidRDefault="00656DC0" w:rsidP="00656DC0">
            <w:pPr>
              <w:pStyle w:val="TableParagraph"/>
              <w:spacing w:before="0"/>
              <w:ind w:left="133"/>
              <w:jc w:val="center"/>
              <w:rPr>
                <w:b/>
                <w:sz w:val="16"/>
              </w:rPr>
            </w:pPr>
            <w:proofErr w:type="spellStart"/>
            <w:r>
              <w:rPr>
                <w:b/>
                <w:sz w:val="16"/>
              </w:rPr>
              <w:t>Pr</w:t>
            </w:r>
            <w:proofErr w:type="spellEnd"/>
            <w:r>
              <w:rPr>
                <w:b/>
                <w:spacing w:val="7"/>
                <w:sz w:val="16"/>
              </w:rPr>
              <w:t xml:space="preserve"> </w:t>
            </w:r>
            <w:r>
              <w:rPr>
                <w:b/>
                <w:sz w:val="16"/>
              </w:rPr>
              <w:t>&gt;</w:t>
            </w:r>
            <w:r>
              <w:rPr>
                <w:b/>
                <w:spacing w:val="5"/>
                <w:sz w:val="16"/>
              </w:rPr>
              <w:t xml:space="preserve"> </w:t>
            </w:r>
            <w:r>
              <w:rPr>
                <w:b/>
                <w:sz w:val="16"/>
              </w:rPr>
              <w:t>F</w:t>
            </w:r>
          </w:p>
        </w:tc>
      </w:tr>
      <w:tr w:rsidR="00656DC0" w14:paraId="2536EF2F" w14:textId="77777777" w:rsidTr="00656DC0">
        <w:trPr>
          <w:trHeight w:val="248"/>
        </w:trPr>
        <w:tc>
          <w:tcPr>
            <w:tcW w:w="2105" w:type="dxa"/>
          </w:tcPr>
          <w:p w14:paraId="4248536A" w14:textId="77777777" w:rsidR="00656DC0" w:rsidRDefault="00656DC0" w:rsidP="00AC4476">
            <w:pPr>
              <w:pStyle w:val="TableParagraph"/>
              <w:ind w:left="100"/>
              <w:rPr>
                <w:b/>
                <w:sz w:val="16"/>
              </w:rPr>
            </w:pPr>
            <w:r>
              <w:rPr>
                <w:b/>
                <w:sz w:val="16"/>
              </w:rPr>
              <w:t>Model</w:t>
            </w:r>
          </w:p>
        </w:tc>
        <w:tc>
          <w:tcPr>
            <w:tcW w:w="627" w:type="dxa"/>
          </w:tcPr>
          <w:p w14:paraId="6BB4DD46" w14:textId="77777777" w:rsidR="00656DC0" w:rsidRDefault="00656DC0" w:rsidP="00AC4476">
            <w:pPr>
              <w:pStyle w:val="TableParagraph"/>
              <w:ind w:left="140"/>
              <w:jc w:val="center"/>
              <w:rPr>
                <w:sz w:val="16"/>
              </w:rPr>
            </w:pPr>
            <w:r>
              <w:rPr>
                <w:w w:val="102"/>
                <w:sz w:val="16"/>
              </w:rPr>
              <w:t>1</w:t>
            </w:r>
          </w:p>
        </w:tc>
        <w:tc>
          <w:tcPr>
            <w:tcW w:w="1792" w:type="dxa"/>
          </w:tcPr>
          <w:p w14:paraId="1499C97B" w14:textId="77777777" w:rsidR="00656DC0" w:rsidRDefault="00656DC0" w:rsidP="00AC4476">
            <w:pPr>
              <w:pStyle w:val="TableParagraph"/>
              <w:ind w:right="82"/>
              <w:jc w:val="right"/>
              <w:rPr>
                <w:sz w:val="16"/>
              </w:rPr>
            </w:pPr>
            <w:r>
              <w:rPr>
                <w:sz w:val="16"/>
              </w:rPr>
              <w:t>2.24184</w:t>
            </w:r>
          </w:p>
        </w:tc>
        <w:tc>
          <w:tcPr>
            <w:tcW w:w="1416" w:type="dxa"/>
          </w:tcPr>
          <w:p w14:paraId="6AD341AF" w14:textId="77777777" w:rsidR="00656DC0" w:rsidRDefault="00656DC0" w:rsidP="00AC4476">
            <w:pPr>
              <w:pStyle w:val="TableParagraph"/>
              <w:ind w:left="102"/>
              <w:rPr>
                <w:sz w:val="16"/>
              </w:rPr>
            </w:pPr>
            <w:r>
              <w:rPr>
                <w:sz w:val="16"/>
              </w:rPr>
              <w:t>2.24184</w:t>
            </w:r>
          </w:p>
        </w:tc>
        <w:tc>
          <w:tcPr>
            <w:tcW w:w="915" w:type="dxa"/>
          </w:tcPr>
          <w:p w14:paraId="458BB3C9" w14:textId="77777777" w:rsidR="00656DC0" w:rsidRDefault="00656DC0" w:rsidP="00AC4476">
            <w:pPr>
              <w:pStyle w:val="TableParagraph"/>
              <w:ind w:right="80"/>
              <w:jc w:val="right"/>
              <w:rPr>
                <w:sz w:val="16"/>
              </w:rPr>
            </w:pPr>
            <w:r>
              <w:rPr>
                <w:sz w:val="16"/>
              </w:rPr>
              <w:t>52.70</w:t>
            </w:r>
          </w:p>
        </w:tc>
        <w:tc>
          <w:tcPr>
            <w:tcW w:w="2196" w:type="dxa"/>
          </w:tcPr>
          <w:p w14:paraId="1B7CFE5D" w14:textId="77777777" w:rsidR="00656DC0" w:rsidRDefault="00656DC0" w:rsidP="00AC4476">
            <w:pPr>
              <w:pStyle w:val="TableParagraph"/>
              <w:ind w:left="104"/>
              <w:rPr>
                <w:sz w:val="16"/>
              </w:rPr>
            </w:pPr>
            <w:r>
              <w:rPr>
                <w:sz w:val="16"/>
              </w:rPr>
              <w:t>&lt;.0001</w:t>
            </w:r>
          </w:p>
        </w:tc>
      </w:tr>
      <w:tr w:rsidR="00656DC0" w14:paraId="630FAA07" w14:textId="77777777" w:rsidTr="00656DC0">
        <w:trPr>
          <w:trHeight w:val="248"/>
        </w:trPr>
        <w:tc>
          <w:tcPr>
            <w:tcW w:w="2105" w:type="dxa"/>
          </w:tcPr>
          <w:p w14:paraId="478296CB" w14:textId="77777777" w:rsidR="00656DC0" w:rsidRDefault="00656DC0" w:rsidP="00AC4476">
            <w:pPr>
              <w:pStyle w:val="TableParagraph"/>
              <w:ind w:left="100"/>
              <w:rPr>
                <w:b/>
                <w:sz w:val="16"/>
              </w:rPr>
            </w:pPr>
            <w:r>
              <w:rPr>
                <w:b/>
                <w:sz w:val="16"/>
              </w:rPr>
              <w:t>Error</w:t>
            </w:r>
          </w:p>
        </w:tc>
        <w:tc>
          <w:tcPr>
            <w:tcW w:w="627" w:type="dxa"/>
          </w:tcPr>
          <w:p w14:paraId="77DFD6D7" w14:textId="77777777" w:rsidR="00656DC0" w:rsidRDefault="00656DC0" w:rsidP="00AC4476">
            <w:pPr>
              <w:pStyle w:val="TableParagraph"/>
              <w:ind w:left="81" w:right="27"/>
              <w:jc w:val="center"/>
              <w:rPr>
                <w:sz w:val="16"/>
              </w:rPr>
            </w:pPr>
            <w:r>
              <w:rPr>
                <w:sz w:val="16"/>
              </w:rPr>
              <w:t>19</w:t>
            </w:r>
          </w:p>
        </w:tc>
        <w:tc>
          <w:tcPr>
            <w:tcW w:w="1792" w:type="dxa"/>
          </w:tcPr>
          <w:p w14:paraId="6141E1ED" w14:textId="77777777" w:rsidR="00656DC0" w:rsidRDefault="00656DC0" w:rsidP="00AC4476">
            <w:pPr>
              <w:pStyle w:val="TableParagraph"/>
              <w:ind w:right="82"/>
              <w:jc w:val="right"/>
              <w:rPr>
                <w:sz w:val="16"/>
              </w:rPr>
            </w:pPr>
            <w:r>
              <w:rPr>
                <w:sz w:val="16"/>
              </w:rPr>
              <w:t>0.80818</w:t>
            </w:r>
          </w:p>
        </w:tc>
        <w:tc>
          <w:tcPr>
            <w:tcW w:w="1416" w:type="dxa"/>
          </w:tcPr>
          <w:p w14:paraId="378529A0" w14:textId="77777777" w:rsidR="00656DC0" w:rsidRDefault="00656DC0" w:rsidP="00AC4476">
            <w:pPr>
              <w:pStyle w:val="TableParagraph"/>
              <w:ind w:left="102"/>
              <w:rPr>
                <w:sz w:val="16"/>
              </w:rPr>
            </w:pPr>
            <w:r>
              <w:rPr>
                <w:sz w:val="16"/>
              </w:rPr>
              <w:t>0.04254</w:t>
            </w:r>
          </w:p>
        </w:tc>
        <w:tc>
          <w:tcPr>
            <w:tcW w:w="915" w:type="dxa"/>
          </w:tcPr>
          <w:p w14:paraId="0A9AA184" w14:textId="77777777" w:rsidR="00656DC0" w:rsidRDefault="00656DC0" w:rsidP="00AC4476">
            <w:pPr>
              <w:pStyle w:val="TableParagraph"/>
              <w:spacing w:before="0"/>
              <w:rPr>
                <w:rFonts w:ascii="Times New Roman"/>
                <w:sz w:val="16"/>
              </w:rPr>
            </w:pPr>
          </w:p>
        </w:tc>
        <w:tc>
          <w:tcPr>
            <w:tcW w:w="2196" w:type="dxa"/>
          </w:tcPr>
          <w:p w14:paraId="6932F5E1" w14:textId="77777777" w:rsidR="00656DC0" w:rsidRDefault="00656DC0" w:rsidP="00AC4476">
            <w:pPr>
              <w:pStyle w:val="TableParagraph"/>
              <w:spacing w:before="0"/>
              <w:rPr>
                <w:rFonts w:ascii="Times New Roman"/>
                <w:sz w:val="16"/>
              </w:rPr>
            </w:pPr>
          </w:p>
        </w:tc>
      </w:tr>
      <w:tr w:rsidR="00656DC0" w14:paraId="19DEFB38" w14:textId="77777777" w:rsidTr="00656DC0">
        <w:trPr>
          <w:trHeight w:val="248"/>
        </w:trPr>
        <w:tc>
          <w:tcPr>
            <w:tcW w:w="2105" w:type="dxa"/>
          </w:tcPr>
          <w:p w14:paraId="6AFAC0F5" w14:textId="77777777" w:rsidR="00656DC0" w:rsidRDefault="00656DC0" w:rsidP="00AC4476">
            <w:pPr>
              <w:pStyle w:val="TableParagraph"/>
              <w:ind w:left="100"/>
              <w:rPr>
                <w:b/>
                <w:sz w:val="16"/>
              </w:rPr>
            </w:pPr>
            <w:r>
              <w:rPr>
                <w:b/>
                <w:sz w:val="16"/>
              </w:rPr>
              <w:t>Corrected</w:t>
            </w:r>
            <w:r>
              <w:rPr>
                <w:b/>
                <w:spacing w:val="-2"/>
                <w:sz w:val="16"/>
              </w:rPr>
              <w:t xml:space="preserve"> </w:t>
            </w:r>
            <w:r>
              <w:rPr>
                <w:b/>
                <w:sz w:val="16"/>
              </w:rPr>
              <w:t>Total</w:t>
            </w:r>
          </w:p>
        </w:tc>
        <w:tc>
          <w:tcPr>
            <w:tcW w:w="627" w:type="dxa"/>
          </w:tcPr>
          <w:p w14:paraId="30C95EDB" w14:textId="77777777" w:rsidR="00656DC0" w:rsidRDefault="00656DC0" w:rsidP="00AC4476">
            <w:pPr>
              <w:pStyle w:val="TableParagraph"/>
              <w:ind w:left="81" w:right="27"/>
              <w:jc w:val="center"/>
              <w:rPr>
                <w:sz w:val="16"/>
              </w:rPr>
            </w:pPr>
            <w:r>
              <w:rPr>
                <w:sz w:val="16"/>
              </w:rPr>
              <w:t>20</w:t>
            </w:r>
          </w:p>
        </w:tc>
        <w:tc>
          <w:tcPr>
            <w:tcW w:w="1792" w:type="dxa"/>
          </w:tcPr>
          <w:p w14:paraId="3848C81B" w14:textId="77777777" w:rsidR="00656DC0" w:rsidRDefault="00656DC0" w:rsidP="00AC4476">
            <w:pPr>
              <w:pStyle w:val="TableParagraph"/>
              <w:ind w:right="82"/>
              <w:jc w:val="right"/>
              <w:rPr>
                <w:sz w:val="16"/>
              </w:rPr>
            </w:pPr>
            <w:r>
              <w:rPr>
                <w:sz w:val="16"/>
              </w:rPr>
              <w:t>3.05002</w:t>
            </w:r>
          </w:p>
        </w:tc>
        <w:tc>
          <w:tcPr>
            <w:tcW w:w="1416" w:type="dxa"/>
          </w:tcPr>
          <w:p w14:paraId="5B3197C3" w14:textId="77777777" w:rsidR="00656DC0" w:rsidRDefault="00656DC0" w:rsidP="00AC4476">
            <w:pPr>
              <w:pStyle w:val="TableParagraph"/>
              <w:spacing w:before="0"/>
              <w:rPr>
                <w:rFonts w:ascii="Times New Roman"/>
                <w:sz w:val="16"/>
              </w:rPr>
            </w:pPr>
          </w:p>
        </w:tc>
        <w:tc>
          <w:tcPr>
            <w:tcW w:w="915" w:type="dxa"/>
          </w:tcPr>
          <w:p w14:paraId="1897F985" w14:textId="77777777" w:rsidR="00656DC0" w:rsidRDefault="00656DC0" w:rsidP="00AC4476">
            <w:pPr>
              <w:pStyle w:val="TableParagraph"/>
              <w:spacing w:before="0"/>
              <w:rPr>
                <w:rFonts w:ascii="Times New Roman"/>
                <w:sz w:val="16"/>
              </w:rPr>
            </w:pPr>
          </w:p>
        </w:tc>
        <w:tc>
          <w:tcPr>
            <w:tcW w:w="2196" w:type="dxa"/>
          </w:tcPr>
          <w:p w14:paraId="194C2974" w14:textId="77777777" w:rsidR="00656DC0" w:rsidRDefault="00656DC0" w:rsidP="00AC4476">
            <w:pPr>
              <w:pStyle w:val="TableParagraph"/>
              <w:spacing w:before="0"/>
              <w:rPr>
                <w:rFonts w:ascii="Times New Roman"/>
                <w:sz w:val="16"/>
              </w:rPr>
            </w:pPr>
          </w:p>
        </w:tc>
      </w:tr>
    </w:tbl>
    <w:tbl>
      <w:tblPr>
        <w:tblpPr w:leftFromText="180" w:rightFromText="180" w:vertAnchor="text" w:horzAnchor="margin" w:tblpY="163"/>
        <w:tblW w:w="0" w:type="auto"/>
        <w:tblBorders>
          <w:top w:val="single" w:sz="4" w:space="0" w:color="919191"/>
          <w:left w:val="single" w:sz="4" w:space="0" w:color="919191"/>
          <w:bottom w:val="single" w:sz="4" w:space="0" w:color="919191"/>
          <w:right w:val="single" w:sz="4" w:space="0" w:color="919191"/>
          <w:insideH w:val="single" w:sz="4" w:space="0" w:color="919191"/>
          <w:insideV w:val="single" w:sz="4" w:space="0" w:color="919191"/>
        </w:tblBorders>
        <w:tblLayout w:type="fixed"/>
        <w:tblCellMar>
          <w:left w:w="0" w:type="dxa"/>
          <w:right w:w="0" w:type="dxa"/>
        </w:tblCellMar>
        <w:tblLook w:val="01E0" w:firstRow="1" w:lastRow="1" w:firstColumn="1" w:lastColumn="1" w:noHBand="0" w:noVBand="0"/>
      </w:tblPr>
      <w:tblGrid>
        <w:gridCol w:w="874"/>
        <w:gridCol w:w="816"/>
        <w:gridCol w:w="413"/>
        <w:gridCol w:w="979"/>
        <w:gridCol w:w="893"/>
        <w:gridCol w:w="720"/>
        <w:gridCol w:w="701"/>
      </w:tblGrid>
      <w:tr w:rsidR="00656DC0" w14:paraId="0130ABEB" w14:textId="77777777" w:rsidTr="00656DC0">
        <w:trPr>
          <w:trHeight w:val="364"/>
        </w:trPr>
        <w:tc>
          <w:tcPr>
            <w:tcW w:w="5396" w:type="dxa"/>
            <w:gridSpan w:val="7"/>
          </w:tcPr>
          <w:p w14:paraId="08F6DAB3" w14:textId="77777777" w:rsidR="00656DC0" w:rsidRDefault="00656DC0" w:rsidP="00656DC0">
            <w:pPr>
              <w:pStyle w:val="TableParagraph"/>
              <w:ind w:left="1887" w:right="1874"/>
              <w:jc w:val="center"/>
              <w:rPr>
                <w:b/>
                <w:sz w:val="16"/>
              </w:rPr>
            </w:pPr>
            <w:r>
              <w:rPr>
                <w:b/>
                <w:sz w:val="16"/>
              </w:rPr>
              <w:t>Parameter Estimates</w:t>
            </w:r>
          </w:p>
        </w:tc>
      </w:tr>
      <w:tr w:rsidR="00656DC0" w14:paraId="3D6B50A6" w14:textId="77777777" w:rsidTr="00656DC0">
        <w:trPr>
          <w:trHeight w:val="556"/>
        </w:trPr>
        <w:tc>
          <w:tcPr>
            <w:tcW w:w="874" w:type="dxa"/>
          </w:tcPr>
          <w:p w14:paraId="43401443" w14:textId="77777777" w:rsidR="00656DC0" w:rsidRDefault="00656DC0" w:rsidP="00656DC0">
            <w:pPr>
              <w:pStyle w:val="TableParagraph"/>
              <w:spacing w:before="5"/>
              <w:rPr>
                <w:rFonts w:ascii="Times New Roman"/>
                <w:sz w:val="24"/>
              </w:rPr>
            </w:pPr>
          </w:p>
          <w:p w14:paraId="0C562988" w14:textId="77777777" w:rsidR="00656DC0" w:rsidRDefault="00656DC0" w:rsidP="00656DC0">
            <w:pPr>
              <w:pStyle w:val="TableParagraph"/>
              <w:spacing w:before="0"/>
              <w:ind w:left="100"/>
              <w:rPr>
                <w:b/>
                <w:sz w:val="16"/>
              </w:rPr>
            </w:pPr>
            <w:bookmarkStart w:id="2" w:name="Parameter_Estimates"/>
            <w:bookmarkEnd w:id="2"/>
            <w:r>
              <w:rPr>
                <w:b/>
                <w:sz w:val="16"/>
              </w:rPr>
              <w:t>Variable</w:t>
            </w:r>
          </w:p>
        </w:tc>
        <w:tc>
          <w:tcPr>
            <w:tcW w:w="816" w:type="dxa"/>
          </w:tcPr>
          <w:p w14:paraId="60840784" w14:textId="77777777" w:rsidR="00656DC0" w:rsidRDefault="00656DC0" w:rsidP="00656DC0">
            <w:pPr>
              <w:pStyle w:val="TableParagraph"/>
              <w:spacing w:before="5"/>
              <w:rPr>
                <w:rFonts w:ascii="Times New Roman"/>
                <w:sz w:val="24"/>
              </w:rPr>
            </w:pPr>
          </w:p>
          <w:p w14:paraId="44214D3C" w14:textId="77777777" w:rsidR="00656DC0" w:rsidRDefault="00656DC0" w:rsidP="00656DC0">
            <w:pPr>
              <w:pStyle w:val="TableParagraph"/>
              <w:spacing w:before="0"/>
              <w:ind w:left="100"/>
              <w:rPr>
                <w:b/>
                <w:sz w:val="16"/>
              </w:rPr>
            </w:pPr>
            <w:r>
              <w:rPr>
                <w:b/>
                <w:sz w:val="16"/>
              </w:rPr>
              <w:t>Label</w:t>
            </w:r>
          </w:p>
        </w:tc>
        <w:tc>
          <w:tcPr>
            <w:tcW w:w="413" w:type="dxa"/>
          </w:tcPr>
          <w:p w14:paraId="4C9CE16B" w14:textId="77777777" w:rsidR="00656DC0" w:rsidRDefault="00656DC0" w:rsidP="00656DC0">
            <w:pPr>
              <w:pStyle w:val="TableParagraph"/>
              <w:spacing w:before="5"/>
              <w:rPr>
                <w:rFonts w:ascii="Times New Roman"/>
                <w:sz w:val="24"/>
              </w:rPr>
            </w:pPr>
          </w:p>
          <w:p w14:paraId="3980B1EB" w14:textId="77777777" w:rsidR="00656DC0" w:rsidRDefault="00656DC0" w:rsidP="00656DC0">
            <w:pPr>
              <w:pStyle w:val="TableParagraph"/>
              <w:spacing w:before="0"/>
              <w:ind w:right="85"/>
              <w:jc w:val="right"/>
              <w:rPr>
                <w:b/>
                <w:sz w:val="16"/>
              </w:rPr>
            </w:pPr>
            <w:r>
              <w:rPr>
                <w:b/>
                <w:sz w:val="16"/>
              </w:rPr>
              <w:t>DF</w:t>
            </w:r>
          </w:p>
        </w:tc>
        <w:tc>
          <w:tcPr>
            <w:tcW w:w="979" w:type="dxa"/>
          </w:tcPr>
          <w:p w14:paraId="19365B5E" w14:textId="77777777" w:rsidR="00656DC0" w:rsidRDefault="00656DC0" w:rsidP="00656DC0">
            <w:pPr>
              <w:pStyle w:val="TableParagraph"/>
              <w:spacing w:line="249" w:lineRule="auto"/>
              <w:ind w:left="224" w:right="74" w:hanging="125"/>
              <w:rPr>
                <w:b/>
                <w:sz w:val="16"/>
              </w:rPr>
            </w:pPr>
            <w:r>
              <w:rPr>
                <w:b/>
                <w:spacing w:val="-1"/>
                <w:sz w:val="16"/>
              </w:rPr>
              <w:t>Parameter</w:t>
            </w:r>
            <w:r>
              <w:rPr>
                <w:b/>
                <w:spacing w:val="-42"/>
                <w:sz w:val="16"/>
              </w:rPr>
              <w:t xml:space="preserve"> </w:t>
            </w:r>
            <w:r>
              <w:rPr>
                <w:b/>
                <w:spacing w:val="-2"/>
                <w:sz w:val="16"/>
              </w:rPr>
              <w:t>Estimate</w:t>
            </w:r>
          </w:p>
        </w:tc>
        <w:tc>
          <w:tcPr>
            <w:tcW w:w="893" w:type="dxa"/>
          </w:tcPr>
          <w:p w14:paraId="555BD434" w14:textId="77777777" w:rsidR="00656DC0" w:rsidRDefault="00656DC0" w:rsidP="00656DC0">
            <w:pPr>
              <w:pStyle w:val="TableParagraph"/>
              <w:ind w:right="85"/>
              <w:jc w:val="right"/>
              <w:rPr>
                <w:b/>
                <w:sz w:val="16"/>
              </w:rPr>
            </w:pPr>
            <w:r>
              <w:rPr>
                <w:b/>
                <w:sz w:val="16"/>
              </w:rPr>
              <w:t>Standard</w:t>
            </w:r>
          </w:p>
          <w:p w14:paraId="3EE8AB6D" w14:textId="77777777" w:rsidR="00656DC0" w:rsidRDefault="00656DC0" w:rsidP="00656DC0">
            <w:pPr>
              <w:pStyle w:val="TableParagraph"/>
              <w:spacing w:before="8"/>
              <w:ind w:right="93"/>
              <w:jc w:val="right"/>
              <w:rPr>
                <w:b/>
                <w:sz w:val="16"/>
              </w:rPr>
            </w:pPr>
            <w:r>
              <w:rPr>
                <w:b/>
                <w:sz w:val="16"/>
              </w:rPr>
              <w:t>Error</w:t>
            </w:r>
          </w:p>
        </w:tc>
        <w:tc>
          <w:tcPr>
            <w:tcW w:w="720" w:type="dxa"/>
          </w:tcPr>
          <w:p w14:paraId="7F055AF2" w14:textId="77777777" w:rsidR="00656DC0" w:rsidRDefault="00656DC0" w:rsidP="00656DC0">
            <w:pPr>
              <w:pStyle w:val="TableParagraph"/>
              <w:spacing w:before="5"/>
              <w:rPr>
                <w:rFonts w:ascii="Times New Roman"/>
                <w:sz w:val="24"/>
              </w:rPr>
            </w:pPr>
          </w:p>
          <w:p w14:paraId="0B7EFAC4" w14:textId="77777777" w:rsidR="00656DC0" w:rsidRDefault="00656DC0" w:rsidP="00656DC0">
            <w:pPr>
              <w:pStyle w:val="TableParagraph"/>
              <w:spacing w:before="0"/>
              <w:ind w:right="84"/>
              <w:jc w:val="right"/>
              <w:rPr>
                <w:b/>
                <w:sz w:val="16"/>
              </w:rPr>
            </w:pPr>
            <w:r>
              <w:rPr>
                <w:b/>
                <w:sz w:val="16"/>
              </w:rPr>
              <w:t>t</w:t>
            </w:r>
            <w:r>
              <w:rPr>
                <w:b/>
                <w:spacing w:val="3"/>
                <w:sz w:val="16"/>
              </w:rPr>
              <w:t xml:space="preserve"> </w:t>
            </w:r>
            <w:r>
              <w:rPr>
                <w:b/>
                <w:sz w:val="16"/>
              </w:rPr>
              <w:t>Value</w:t>
            </w:r>
          </w:p>
        </w:tc>
        <w:tc>
          <w:tcPr>
            <w:tcW w:w="701" w:type="dxa"/>
          </w:tcPr>
          <w:p w14:paraId="2166E6A1" w14:textId="77777777" w:rsidR="00656DC0" w:rsidRDefault="00656DC0" w:rsidP="00656DC0">
            <w:pPr>
              <w:pStyle w:val="TableParagraph"/>
              <w:spacing w:before="5"/>
              <w:rPr>
                <w:rFonts w:ascii="Times New Roman"/>
                <w:sz w:val="24"/>
              </w:rPr>
            </w:pPr>
          </w:p>
          <w:p w14:paraId="03AA7586" w14:textId="77777777" w:rsidR="00656DC0" w:rsidRDefault="00656DC0" w:rsidP="00656DC0">
            <w:pPr>
              <w:pStyle w:val="TableParagraph"/>
              <w:spacing w:before="0"/>
              <w:ind w:right="82"/>
              <w:jc w:val="right"/>
              <w:rPr>
                <w:b/>
                <w:sz w:val="16"/>
              </w:rPr>
            </w:pPr>
            <w:proofErr w:type="spellStart"/>
            <w:r>
              <w:rPr>
                <w:b/>
                <w:sz w:val="16"/>
              </w:rPr>
              <w:t>Pr</w:t>
            </w:r>
            <w:proofErr w:type="spellEnd"/>
            <w:r>
              <w:rPr>
                <w:b/>
                <w:spacing w:val="6"/>
                <w:sz w:val="16"/>
              </w:rPr>
              <w:t xml:space="preserve"> </w:t>
            </w:r>
            <w:r>
              <w:rPr>
                <w:b/>
                <w:sz w:val="16"/>
              </w:rPr>
              <w:t>&gt;</w:t>
            </w:r>
            <w:r>
              <w:rPr>
                <w:b/>
                <w:spacing w:val="4"/>
                <w:sz w:val="16"/>
              </w:rPr>
              <w:t xml:space="preserve"> </w:t>
            </w:r>
            <w:r>
              <w:rPr>
                <w:b/>
                <w:sz w:val="16"/>
              </w:rPr>
              <w:t>|t|</w:t>
            </w:r>
          </w:p>
        </w:tc>
      </w:tr>
      <w:tr w:rsidR="00656DC0" w14:paraId="3BFC1E25" w14:textId="77777777" w:rsidTr="00656DC0">
        <w:trPr>
          <w:trHeight w:val="364"/>
        </w:trPr>
        <w:tc>
          <w:tcPr>
            <w:tcW w:w="874" w:type="dxa"/>
          </w:tcPr>
          <w:p w14:paraId="5901C845" w14:textId="77777777" w:rsidR="00656DC0" w:rsidRDefault="00656DC0" w:rsidP="00656DC0">
            <w:pPr>
              <w:pStyle w:val="TableParagraph"/>
              <w:ind w:left="100"/>
              <w:rPr>
                <w:b/>
                <w:sz w:val="16"/>
              </w:rPr>
            </w:pPr>
            <w:r>
              <w:rPr>
                <w:b/>
                <w:sz w:val="16"/>
              </w:rPr>
              <w:t>Intercept</w:t>
            </w:r>
          </w:p>
        </w:tc>
        <w:tc>
          <w:tcPr>
            <w:tcW w:w="816" w:type="dxa"/>
          </w:tcPr>
          <w:p w14:paraId="346CE259" w14:textId="77777777" w:rsidR="00656DC0" w:rsidRDefault="00656DC0" w:rsidP="00656DC0">
            <w:pPr>
              <w:pStyle w:val="TableParagraph"/>
              <w:ind w:left="100"/>
              <w:rPr>
                <w:sz w:val="16"/>
              </w:rPr>
            </w:pPr>
            <w:r>
              <w:rPr>
                <w:sz w:val="16"/>
              </w:rPr>
              <w:t>Intercept</w:t>
            </w:r>
          </w:p>
        </w:tc>
        <w:tc>
          <w:tcPr>
            <w:tcW w:w="413" w:type="dxa"/>
          </w:tcPr>
          <w:p w14:paraId="50343DA8" w14:textId="77777777" w:rsidR="00656DC0" w:rsidRDefault="00656DC0" w:rsidP="00656DC0">
            <w:pPr>
              <w:pStyle w:val="TableParagraph"/>
              <w:ind w:right="84"/>
              <w:jc w:val="right"/>
              <w:rPr>
                <w:sz w:val="16"/>
              </w:rPr>
            </w:pPr>
            <w:r>
              <w:rPr>
                <w:w w:val="102"/>
                <w:sz w:val="16"/>
              </w:rPr>
              <w:t>1</w:t>
            </w:r>
          </w:p>
        </w:tc>
        <w:tc>
          <w:tcPr>
            <w:tcW w:w="979" w:type="dxa"/>
          </w:tcPr>
          <w:p w14:paraId="7F2E4140" w14:textId="77777777" w:rsidR="00656DC0" w:rsidRDefault="00656DC0" w:rsidP="00656DC0">
            <w:pPr>
              <w:pStyle w:val="TableParagraph"/>
              <w:ind w:right="84"/>
              <w:jc w:val="right"/>
              <w:rPr>
                <w:sz w:val="16"/>
              </w:rPr>
            </w:pPr>
            <w:r>
              <w:rPr>
                <w:sz w:val="16"/>
              </w:rPr>
              <w:t>-4.48676</w:t>
            </w:r>
          </w:p>
        </w:tc>
        <w:tc>
          <w:tcPr>
            <w:tcW w:w="893" w:type="dxa"/>
          </w:tcPr>
          <w:p w14:paraId="2C8A31AE" w14:textId="77777777" w:rsidR="00656DC0" w:rsidRDefault="00656DC0" w:rsidP="00656DC0">
            <w:pPr>
              <w:pStyle w:val="TableParagraph"/>
              <w:ind w:right="84"/>
              <w:jc w:val="right"/>
              <w:rPr>
                <w:sz w:val="16"/>
              </w:rPr>
            </w:pPr>
            <w:r>
              <w:rPr>
                <w:sz w:val="16"/>
              </w:rPr>
              <w:t>1.59175</w:t>
            </w:r>
          </w:p>
        </w:tc>
        <w:tc>
          <w:tcPr>
            <w:tcW w:w="720" w:type="dxa"/>
          </w:tcPr>
          <w:p w14:paraId="4CA0BCBF" w14:textId="77777777" w:rsidR="00656DC0" w:rsidRDefault="00656DC0" w:rsidP="00656DC0">
            <w:pPr>
              <w:pStyle w:val="TableParagraph"/>
              <w:ind w:right="84"/>
              <w:jc w:val="right"/>
              <w:rPr>
                <w:sz w:val="16"/>
              </w:rPr>
            </w:pPr>
            <w:r>
              <w:rPr>
                <w:sz w:val="16"/>
              </w:rPr>
              <w:t>-2.82</w:t>
            </w:r>
          </w:p>
        </w:tc>
        <w:tc>
          <w:tcPr>
            <w:tcW w:w="701" w:type="dxa"/>
          </w:tcPr>
          <w:p w14:paraId="4D75D1BD" w14:textId="77777777" w:rsidR="00656DC0" w:rsidRDefault="00656DC0" w:rsidP="00656DC0">
            <w:pPr>
              <w:pStyle w:val="TableParagraph"/>
              <w:ind w:right="85"/>
              <w:jc w:val="right"/>
              <w:rPr>
                <w:sz w:val="16"/>
              </w:rPr>
            </w:pPr>
            <w:r>
              <w:rPr>
                <w:sz w:val="16"/>
              </w:rPr>
              <w:t>0.0110</w:t>
            </w:r>
          </w:p>
        </w:tc>
      </w:tr>
      <w:tr w:rsidR="00656DC0" w14:paraId="211A7564" w14:textId="77777777" w:rsidTr="00656DC0">
        <w:trPr>
          <w:trHeight w:val="364"/>
        </w:trPr>
        <w:tc>
          <w:tcPr>
            <w:tcW w:w="874" w:type="dxa"/>
          </w:tcPr>
          <w:p w14:paraId="521D4D27" w14:textId="77777777" w:rsidR="00656DC0" w:rsidRDefault="00656DC0" w:rsidP="00656DC0">
            <w:pPr>
              <w:pStyle w:val="TableParagraph"/>
              <w:ind w:left="100"/>
              <w:rPr>
                <w:b/>
                <w:sz w:val="16"/>
              </w:rPr>
            </w:pPr>
            <w:proofErr w:type="spellStart"/>
            <w:r>
              <w:rPr>
                <w:b/>
                <w:sz w:val="16"/>
              </w:rPr>
              <w:t>FINOB</w:t>
            </w:r>
            <w:proofErr w:type="spellEnd"/>
          </w:p>
        </w:tc>
        <w:tc>
          <w:tcPr>
            <w:tcW w:w="816" w:type="dxa"/>
          </w:tcPr>
          <w:p w14:paraId="4925B798" w14:textId="77777777" w:rsidR="00656DC0" w:rsidRDefault="00656DC0" w:rsidP="00656DC0">
            <w:pPr>
              <w:pStyle w:val="TableParagraph"/>
              <w:ind w:left="100"/>
              <w:rPr>
                <w:sz w:val="16"/>
              </w:rPr>
            </w:pPr>
            <w:proofErr w:type="spellStart"/>
            <w:r>
              <w:rPr>
                <w:sz w:val="16"/>
              </w:rPr>
              <w:t>FINOB</w:t>
            </w:r>
            <w:proofErr w:type="spellEnd"/>
          </w:p>
        </w:tc>
        <w:tc>
          <w:tcPr>
            <w:tcW w:w="413" w:type="dxa"/>
          </w:tcPr>
          <w:p w14:paraId="470127AC" w14:textId="77777777" w:rsidR="00656DC0" w:rsidRDefault="00656DC0" w:rsidP="00656DC0">
            <w:pPr>
              <w:pStyle w:val="TableParagraph"/>
              <w:ind w:right="84"/>
              <w:jc w:val="right"/>
              <w:rPr>
                <w:sz w:val="16"/>
              </w:rPr>
            </w:pPr>
            <w:r>
              <w:rPr>
                <w:w w:val="102"/>
                <w:sz w:val="16"/>
              </w:rPr>
              <w:t>1</w:t>
            </w:r>
          </w:p>
        </w:tc>
        <w:tc>
          <w:tcPr>
            <w:tcW w:w="979" w:type="dxa"/>
          </w:tcPr>
          <w:p w14:paraId="125BC914" w14:textId="77777777" w:rsidR="00656DC0" w:rsidRDefault="00656DC0" w:rsidP="00656DC0">
            <w:pPr>
              <w:pStyle w:val="TableParagraph"/>
              <w:ind w:right="84"/>
              <w:jc w:val="right"/>
              <w:rPr>
                <w:sz w:val="16"/>
              </w:rPr>
            </w:pPr>
            <w:r>
              <w:rPr>
                <w:sz w:val="16"/>
              </w:rPr>
              <w:t>0.75963</w:t>
            </w:r>
          </w:p>
        </w:tc>
        <w:tc>
          <w:tcPr>
            <w:tcW w:w="893" w:type="dxa"/>
          </w:tcPr>
          <w:p w14:paraId="663DC4B4" w14:textId="77777777" w:rsidR="00656DC0" w:rsidRDefault="00656DC0" w:rsidP="00656DC0">
            <w:pPr>
              <w:pStyle w:val="TableParagraph"/>
              <w:ind w:right="84"/>
              <w:jc w:val="right"/>
              <w:rPr>
                <w:sz w:val="16"/>
              </w:rPr>
            </w:pPr>
            <w:r>
              <w:rPr>
                <w:sz w:val="16"/>
              </w:rPr>
              <w:t>0.10463</w:t>
            </w:r>
          </w:p>
        </w:tc>
        <w:tc>
          <w:tcPr>
            <w:tcW w:w="720" w:type="dxa"/>
          </w:tcPr>
          <w:p w14:paraId="6AB00F52" w14:textId="77777777" w:rsidR="00656DC0" w:rsidRDefault="00656DC0" w:rsidP="00656DC0">
            <w:pPr>
              <w:pStyle w:val="TableParagraph"/>
              <w:ind w:right="84"/>
              <w:jc w:val="right"/>
              <w:rPr>
                <w:sz w:val="16"/>
              </w:rPr>
            </w:pPr>
            <w:r>
              <w:rPr>
                <w:sz w:val="16"/>
              </w:rPr>
              <w:t>7.26</w:t>
            </w:r>
          </w:p>
        </w:tc>
        <w:tc>
          <w:tcPr>
            <w:tcW w:w="701" w:type="dxa"/>
          </w:tcPr>
          <w:p w14:paraId="7F48A622" w14:textId="77777777" w:rsidR="00656DC0" w:rsidRDefault="00656DC0" w:rsidP="00656DC0">
            <w:pPr>
              <w:pStyle w:val="TableParagraph"/>
              <w:ind w:right="85"/>
              <w:jc w:val="right"/>
              <w:rPr>
                <w:sz w:val="16"/>
              </w:rPr>
            </w:pPr>
            <w:r>
              <w:rPr>
                <w:sz w:val="16"/>
              </w:rPr>
              <w:t>&lt;.0001</w:t>
            </w:r>
          </w:p>
        </w:tc>
      </w:tr>
    </w:tbl>
    <w:p w14:paraId="16A10870" w14:textId="379E5736" w:rsidR="00656DC0" w:rsidRDefault="00656DC0" w:rsidP="00656DC0">
      <w:pPr>
        <w:rPr>
          <w:i/>
          <w:iCs/>
        </w:rPr>
      </w:pPr>
    </w:p>
    <w:tbl>
      <w:tblPr>
        <w:tblpPr w:leftFromText="180" w:rightFromText="180" w:vertAnchor="text" w:horzAnchor="margin" w:tblpXSpec="right" w:tblpY="-17"/>
        <w:tblW w:w="0" w:type="auto"/>
        <w:tblBorders>
          <w:top w:val="single" w:sz="4" w:space="0" w:color="919191"/>
          <w:left w:val="single" w:sz="4" w:space="0" w:color="919191"/>
          <w:bottom w:val="single" w:sz="4" w:space="0" w:color="919191"/>
          <w:right w:val="single" w:sz="4" w:space="0" w:color="919191"/>
          <w:insideH w:val="single" w:sz="4" w:space="0" w:color="919191"/>
          <w:insideV w:val="single" w:sz="4" w:space="0" w:color="919191"/>
        </w:tblBorders>
        <w:tblLayout w:type="fixed"/>
        <w:tblCellMar>
          <w:left w:w="0" w:type="dxa"/>
          <w:right w:w="0" w:type="dxa"/>
        </w:tblCellMar>
        <w:tblLook w:val="01E0" w:firstRow="1" w:lastRow="1" w:firstColumn="1" w:lastColumn="1" w:noHBand="0" w:noVBand="0"/>
      </w:tblPr>
      <w:tblGrid>
        <w:gridCol w:w="1459"/>
        <w:gridCol w:w="768"/>
        <w:gridCol w:w="912"/>
        <w:gridCol w:w="682"/>
      </w:tblGrid>
      <w:tr w:rsidR="00656DC0" w14:paraId="6BFD011F" w14:textId="77777777" w:rsidTr="00656DC0">
        <w:trPr>
          <w:trHeight w:val="364"/>
        </w:trPr>
        <w:tc>
          <w:tcPr>
            <w:tcW w:w="1459" w:type="dxa"/>
          </w:tcPr>
          <w:p w14:paraId="6257FAAE" w14:textId="77777777" w:rsidR="00656DC0" w:rsidRDefault="00656DC0" w:rsidP="00656DC0">
            <w:pPr>
              <w:pStyle w:val="TableParagraph"/>
              <w:ind w:left="100"/>
              <w:rPr>
                <w:b/>
                <w:sz w:val="16"/>
              </w:rPr>
            </w:pPr>
            <w:r>
              <w:rPr>
                <w:b/>
                <w:sz w:val="16"/>
              </w:rPr>
              <w:t>Root</w:t>
            </w:r>
            <w:r>
              <w:rPr>
                <w:b/>
                <w:spacing w:val="3"/>
                <w:sz w:val="16"/>
              </w:rPr>
              <w:t xml:space="preserve"> </w:t>
            </w:r>
            <w:proofErr w:type="spellStart"/>
            <w:r>
              <w:rPr>
                <w:b/>
                <w:sz w:val="16"/>
              </w:rPr>
              <w:t>MSE</w:t>
            </w:r>
            <w:proofErr w:type="spellEnd"/>
          </w:p>
        </w:tc>
        <w:tc>
          <w:tcPr>
            <w:tcW w:w="768" w:type="dxa"/>
          </w:tcPr>
          <w:p w14:paraId="6438DD65" w14:textId="77777777" w:rsidR="00656DC0" w:rsidRDefault="00656DC0" w:rsidP="00656DC0">
            <w:pPr>
              <w:pStyle w:val="TableParagraph"/>
              <w:ind w:left="76" w:right="62"/>
              <w:jc w:val="center"/>
              <w:rPr>
                <w:sz w:val="16"/>
              </w:rPr>
            </w:pPr>
            <w:r>
              <w:rPr>
                <w:sz w:val="16"/>
              </w:rPr>
              <w:t>0.20624</w:t>
            </w:r>
          </w:p>
        </w:tc>
        <w:tc>
          <w:tcPr>
            <w:tcW w:w="912" w:type="dxa"/>
          </w:tcPr>
          <w:p w14:paraId="74925304" w14:textId="77777777" w:rsidR="00656DC0" w:rsidRDefault="00656DC0" w:rsidP="00656DC0">
            <w:pPr>
              <w:pStyle w:val="TableParagraph"/>
              <w:ind w:left="100"/>
              <w:rPr>
                <w:b/>
                <w:sz w:val="16"/>
              </w:rPr>
            </w:pPr>
            <w:r>
              <w:rPr>
                <w:b/>
                <w:sz w:val="16"/>
              </w:rPr>
              <w:t>R-Square</w:t>
            </w:r>
          </w:p>
        </w:tc>
        <w:tc>
          <w:tcPr>
            <w:tcW w:w="682" w:type="dxa"/>
          </w:tcPr>
          <w:p w14:paraId="2C87ACCD" w14:textId="77777777" w:rsidR="00656DC0" w:rsidRDefault="00656DC0" w:rsidP="00656DC0">
            <w:pPr>
              <w:pStyle w:val="TableParagraph"/>
              <w:ind w:left="78" w:right="64"/>
              <w:jc w:val="center"/>
              <w:rPr>
                <w:sz w:val="16"/>
              </w:rPr>
            </w:pPr>
            <w:r>
              <w:rPr>
                <w:sz w:val="16"/>
              </w:rPr>
              <w:t>0.7350</w:t>
            </w:r>
          </w:p>
        </w:tc>
      </w:tr>
      <w:tr w:rsidR="00656DC0" w14:paraId="77CF9603" w14:textId="77777777" w:rsidTr="00656DC0">
        <w:trPr>
          <w:trHeight w:val="364"/>
        </w:trPr>
        <w:tc>
          <w:tcPr>
            <w:tcW w:w="1459" w:type="dxa"/>
          </w:tcPr>
          <w:p w14:paraId="6420FB7E" w14:textId="77777777" w:rsidR="00656DC0" w:rsidRDefault="00656DC0" w:rsidP="00656DC0">
            <w:pPr>
              <w:pStyle w:val="TableParagraph"/>
              <w:ind w:left="100"/>
              <w:rPr>
                <w:b/>
                <w:sz w:val="16"/>
              </w:rPr>
            </w:pPr>
            <w:bookmarkStart w:id="3" w:name="Fit_Statistics"/>
            <w:bookmarkEnd w:id="3"/>
            <w:r>
              <w:rPr>
                <w:b/>
                <w:spacing w:val="-2"/>
                <w:sz w:val="16"/>
              </w:rPr>
              <w:t>Dependent</w:t>
            </w:r>
            <w:r>
              <w:rPr>
                <w:b/>
                <w:spacing w:val="-4"/>
                <w:sz w:val="16"/>
              </w:rPr>
              <w:t xml:space="preserve"> </w:t>
            </w:r>
            <w:r>
              <w:rPr>
                <w:b/>
                <w:spacing w:val="-1"/>
                <w:sz w:val="16"/>
              </w:rPr>
              <w:t>Mean</w:t>
            </w:r>
          </w:p>
        </w:tc>
        <w:tc>
          <w:tcPr>
            <w:tcW w:w="768" w:type="dxa"/>
          </w:tcPr>
          <w:p w14:paraId="605D0D14" w14:textId="77777777" w:rsidR="00656DC0" w:rsidRDefault="00656DC0" w:rsidP="00656DC0">
            <w:pPr>
              <w:pStyle w:val="TableParagraph"/>
              <w:ind w:left="76" w:right="62"/>
              <w:jc w:val="center"/>
              <w:rPr>
                <w:sz w:val="16"/>
              </w:rPr>
            </w:pPr>
            <w:r>
              <w:rPr>
                <w:sz w:val="16"/>
              </w:rPr>
              <w:t>7.06442</w:t>
            </w:r>
          </w:p>
        </w:tc>
        <w:tc>
          <w:tcPr>
            <w:tcW w:w="912" w:type="dxa"/>
          </w:tcPr>
          <w:p w14:paraId="6CCB9F37" w14:textId="77777777" w:rsidR="00656DC0" w:rsidRDefault="00656DC0" w:rsidP="00656DC0">
            <w:pPr>
              <w:pStyle w:val="TableParagraph"/>
              <w:ind w:left="100"/>
              <w:rPr>
                <w:b/>
                <w:sz w:val="16"/>
              </w:rPr>
            </w:pPr>
            <w:r>
              <w:rPr>
                <w:b/>
                <w:sz w:val="16"/>
              </w:rPr>
              <w:t>Adj</w:t>
            </w:r>
            <w:r>
              <w:rPr>
                <w:b/>
                <w:spacing w:val="-7"/>
                <w:sz w:val="16"/>
              </w:rPr>
              <w:t xml:space="preserve"> </w:t>
            </w:r>
            <w:r>
              <w:rPr>
                <w:b/>
                <w:sz w:val="16"/>
              </w:rPr>
              <w:t>R-Sq</w:t>
            </w:r>
          </w:p>
        </w:tc>
        <w:tc>
          <w:tcPr>
            <w:tcW w:w="682" w:type="dxa"/>
          </w:tcPr>
          <w:p w14:paraId="5AA7F0D9" w14:textId="77777777" w:rsidR="00656DC0" w:rsidRDefault="00656DC0" w:rsidP="00656DC0">
            <w:pPr>
              <w:pStyle w:val="TableParagraph"/>
              <w:ind w:left="78" w:right="64"/>
              <w:jc w:val="center"/>
              <w:rPr>
                <w:sz w:val="16"/>
              </w:rPr>
            </w:pPr>
            <w:r>
              <w:rPr>
                <w:sz w:val="16"/>
              </w:rPr>
              <w:t>0.7211</w:t>
            </w:r>
          </w:p>
        </w:tc>
      </w:tr>
      <w:tr w:rsidR="00656DC0" w14:paraId="7F9D60F5" w14:textId="77777777" w:rsidTr="00656DC0">
        <w:trPr>
          <w:trHeight w:val="364"/>
        </w:trPr>
        <w:tc>
          <w:tcPr>
            <w:tcW w:w="1459" w:type="dxa"/>
          </w:tcPr>
          <w:p w14:paraId="71BAE17B" w14:textId="77777777" w:rsidR="00656DC0" w:rsidRDefault="00656DC0" w:rsidP="00656DC0">
            <w:pPr>
              <w:pStyle w:val="TableParagraph"/>
              <w:ind w:left="100"/>
              <w:rPr>
                <w:b/>
                <w:sz w:val="16"/>
              </w:rPr>
            </w:pPr>
            <w:r>
              <w:rPr>
                <w:b/>
                <w:sz w:val="16"/>
              </w:rPr>
              <w:t>Coeff</w:t>
            </w:r>
            <w:r>
              <w:rPr>
                <w:b/>
                <w:spacing w:val="-7"/>
                <w:sz w:val="16"/>
              </w:rPr>
              <w:t xml:space="preserve"> </w:t>
            </w:r>
            <w:r>
              <w:rPr>
                <w:b/>
                <w:sz w:val="16"/>
              </w:rPr>
              <w:t>Var</w:t>
            </w:r>
          </w:p>
        </w:tc>
        <w:tc>
          <w:tcPr>
            <w:tcW w:w="768" w:type="dxa"/>
          </w:tcPr>
          <w:p w14:paraId="29691735" w14:textId="77777777" w:rsidR="00656DC0" w:rsidRDefault="00656DC0" w:rsidP="00656DC0">
            <w:pPr>
              <w:pStyle w:val="TableParagraph"/>
              <w:ind w:left="76" w:right="62"/>
              <w:jc w:val="center"/>
              <w:rPr>
                <w:sz w:val="16"/>
              </w:rPr>
            </w:pPr>
            <w:r>
              <w:rPr>
                <w:sz w:val="16"/>
              </w:rPr>
              <w:t>2.91944</w:t>
            </w:r>
          </w:p>
        </w:tc>
        <w:tc>
          <w:tcPr>
            <w:tcW w:w="912" w:type="dxa"/>
          </w:tcPr>
          <w:p w14:paraId="3FAC18E8" w14:textId="77777777" w:rsidR="00656DC0" w:rsidRDefault="00656DC0" w:rsidP="00656DC0">
            <w:pPr>
              <w:pStyle w:val="TableParagraph"/>
              <w:spacing w:before="0"/>
              <w:rPr>
                <w:rFonts w:ascii="Times New Roman"/>
                <w:sz w:val="16"/>
              </w:rPr>
            </w:pPr>
          </w:p>
        </w:tc>
        <w:tc>
          <w:tcPr>
            <w:tcW w:w="682" w:type="dxa"/>
          </w:tcPr>
          <w:p w14:paraId="48444F27" w14:textId="77777777" w:rsidR="00656DC0" w:rsidRDefault="00656DC0" w:rsidP="00656DC0">
            <w:pPr>
              <w:pStyle w:val="TableParagraph"/>
              <w:spacing w:before="0"/>
              <w:rPr>
                <w:rFonts w:ascii="Times New Roman"/>
                <w:sz w:val="16"/>
              </w:rPr>
            </w:pPr>
          </w:p>
        </w:tc>
      </w:tr>
    </w:tbl>
    <w:p w14:paraId="508473E1" w14:textId="77777777" w:rsidR="00656DC0" w:rsidRPr="00656DC0" w:rsidRDefault="00656DC0" w:rsidP="00656DC0">
      <w:pPr>
        <w:rPr>
          <w:i/>
          <w:iCs/>
        </w:rPr>
      </w:pPr>
    </w:p>
    <w:p w14:paraId="1C64DD81" w14:textId="254827EF" w:rsidR="00656DC0" w:rsidRDefault="00656DC0" w:rsidP="00656DC0">
      <w:pPr>
        <w:rPr>
          <w:b/>
          <w:bCs/>
        </w:rPr>
      </w:pPr>
      <w:r>
        <w:rPr>
          <w:b/>
          <w:bCs/>
        </w:rPr>
        <w:lastRenderedPageBreak/>
        <w:t xml:space="preserve">Figure 5 </w:t>
      </w:r>
    </w:p>
    <w:p w14:paraId="5C30CA33" w14:textId="686F61A7" w:rsidR="00656DC0" w:rsidRDefault="00656DC0" w:rsidP="00656DC0">
      <w:pPr>
        <w:rPr>
          <w:i/>
          <w:iCs/>
        </w:rPr>
      </w:pPr>
      <w:r>
        <w:rPr>
          <w:i/>
          <w:iCs/>
        </w:rPr>
        <w:t>Regression analysis, confidence intervals</w:t>
      </w:r>
    </w:p>
    <w:p w14:paraId="14022AFF" w14:textId="63C3BF91" w:rsidR="00656DC0" w:rsidRDefault="00656DC0" w:rsidP="00656DC0">
      <w:r>
        <w:rPr>
          <w:noProof/>
        </w:rPr>
        <w:drawing>
          <wp:inline distT="0" distB="0" distL="0" distR="0" wp14:anchorId="693FC983" wp14:editId="6F942230">
            <wp:extent cx="5524500" cy="47164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39779" cy="4729527"/>
                    </a:xfrm>
                    <a:prstGeom prst="rect">
                      <a:avLst/>
                    </a:prstGeom>
                  </pic:spPr>
                </pic:pic>
              </a:graphicData>
            </a:graphic>
          </wp:inline>
        </w:drawing>
      </w:r>
    </w:p>
    <w:p w14:paraId="7D9AC4C2" w14:textId="417E42BE" w:rsidR="00426D3A" w:rsidRDefault="00426D3A" w:rsidP="00A879FE">
      <w:pPr>
        <w:spacing w:line="480" w:lineRule="auto"/>
      </w:pPr>
      <w:r>
        <w:tab/>
        <w:t xml:space="preserve">A linear regression established that </w:t>
      </w:r>
      <w:r w:rsidR="00A879FE">
        <w:t xml:space="preserve">financial obligations could statistically significantly predict changes in the percentage of new auto loan delinquencies.  The prediction equation </w:t>
      </w:r>
      <w:proofErr w:type="gramStart"/>
      <w:r w:rsidR="00A879FE">
        <w:t>is :</w:t>
      </w:r>
      <w:proofErr w:type="gramEnd"/>
      <w:r w:rsidR="00A879FE">
        <w:t xml:space="preserve"> -4.48676 + (.75963 x quarter). </w:t>
      </w:r>
    </w:p>
    <w:p w14:paraId="16D14036" w14:textId="156BF8A7" w:rsidR="00656DC0" w:rsidRDefault="00656DC0" w:rsidP="0009011E">
      <w:pPr>
        <w:spacing w:line="480" w:lineRule="auto"/>
      </w:pPr>
      <w:r>
        <w:tab/>
        <w:t xml:space="preserve">In terms of credit card </w:t>
      </w:r>
      <w:proofErr w:type="gramStart"/>
      <w:r>
        <w:t>debt</w:t>
      </w:r>
      <w:proofErr w:type="gramEnd"/>
      <w:r>
        <w:t xml:space="preserve"> the variable with the best predictive power was </w:t>
      </w:r>
      <w:proofErr w:type="spellStart"/>
      <w:r w:rsidR="0009011E">
        <w:t>DSR</w:t>
      </w:r>
      <w:proofErr w:type="spellEnd"/>
      <w:r w:rsidR="0009011E">
        <w:t xml:space="preserve">.  In terms of correlation, the relationship is there, as the tables five and six show. </w:t>
      </w:r>
      <w:r w:rsidR="00A879FE">
        <w:t xml:space="preserve"> A strong correlation </w:t>
      </w:r>
      <w:proofErr w:type="gramStart"/>
      <w:r w:rsidR="00A879FE">
        <w:t>was shown</w:t>
      </w:r>
      <w:proofErr w:type="gramEnd"/>
      <w:r w:rsidR="00A879FE">
        <w:t xml:space="preserve"> between the consumer debt service (</w:t>
      </w:r>
      <w:proofErr w:type="spellStart"/>
      <w:r w:rsidR="00A879FE">
        <w:t>DSR</w:t>
      </w:r>
      <w:proofErr w:type="spellEnd"/>
      <w:r w:rsidR="00A879FE">
        <w:t xml:space="preserve">) and changes in the rate for new delinquencies in credit card debt.  The CDS statistically explained 55% of the variation in new credit card delinquencies. </w:t>
      </w:r>
    </w:p>
    <w:p w14:paraId="79FF658F" w14:textId="55E8290B" w:rsidR="00A879FE" w:rsidRDefault="00A879FE" w:rsidP="0009011E">
      <w:pPr>
        <w:spacing w:line="480" w:lineRule="auto"/>
      </w:pPr>
    </w:p>
    <w:p w14:paraId="467B5BD8" w14:textId="77777777" w:rsidR="00A879FE" w:rsidRDefault="00A879FE" w:rsidP="0009011E">
      <w:pPr>
        <w:spacing w:line="480" w:lineRule="auto"/>
      </w:pPr>
    </w:p>
    <w:p w14:paraId="2638DB68" w14:textId="795B9B4B" w:rsidR="0009011E" w:rsidRDefault="0009011E" w:rsidP="0009011E">
      <w:pPr>
        <w:spacing w:line="240" w:lineRule="auto"/>
        <w:rPr>
          <w:b/>
          <w:bCs/>
        </w:rPr>
      </w:pPr>
      <w:r>
        <w:rPr>
          <w:b/>
          <w:bCs/>
        </w:rPr>
        <w:t xml:space="preserve">Table 5 </w:t>
      </w:r>
    </w:p>
    <w:p w14:paraId="6AC1D796" w14:textId="2343F4FC" w:rsidR="0009011E" w:rsidRDefault="0009011E" w:rsidP="0009011E">
      <w:pPr>
        <w:spacing w:line="240" w:lineRule="auto"/>
        <w:rPr>
          <w:i/>
          <w:iCs/>
        </w:rPr>
      </w:pPr>
      <w:r w:rsidRPr="0009011E">
        <w:rPr>
          <w:i/>
          <w:iCs/>
        </w:rPr>
        <w:t>Results from correlation analysis</w:t>
      </w:r>
    </w:p>
    <w:tbl>
      <w:tblPr>
        <w:tblW w:w="0" w:type="auto"/>
        <w:tblInd w:w="373" w:type="dxa"/>
        <w:tblBorders>
          <w:top w:val="single" w:sz="4" w:space="0" w:color="919191"/>
          <w:left w:val="single" w:sz="4" w:space="0" w:color="919191"/>
          <w:bottom w:val="single" w:sz="4" w:space="0" w:color="919191"/>
          <w:right w:val="single" w:sz="4" w:space="0" w:color="919191"/>
          <w:insideH w:val="single" w:sz="4" w:space="0" w:color="919191"/>
          <w:insideV w:val="single" w:sz="4" w:space="0" w:color="919191"/>
        </w:tblBorders>
        <w:tblLayout w:type="fixed"/>
        <w:tblCellMar>
          <w:left w:w="0" w:type="dxa"/>
          <w:right w:w="0" w:type="dxa"/>
        </w:tblCellMar>
        <w:tblLook w:val="01E0" w:firstRow="1" w:lastRow="1" w:firstColumn="1" w:lastColumn="1" w:noHBand="0" w:noVBand="0"/>
      </w:tblPr>
      <w:tblGrid>
        <w:gridCol w:w="1718"/>
        <w:gridCol w:w="374"/>
        <w:gridCol w:w="768"/>
        <w:gridCol w:w="797"/>
        <w:gridCol w:w="941"/>
        <w:gridCol w:w="864"/>
        <w:gridCol w:w="902"/>
        <w:gridCol w:w="1689"/>
      </w:tblGrid>
      <w:tr w:rsidR="0009011E" w14:paraId="2BAE8D67" w14:textId="77777777" w:rsidTr="00AC4476">
        <w:trPr>
          <w:trHeight w:val="364"/>
        </w:trPr>
        <w:tc>
          <w:tcPr>
            <w:tcW w:w="8053" w:type="dxa"/>
            <w:gridSpan w:val="8"/>
          </w:tcPr>
          <w:p w14:paraId="5FFDEE5F" w14:textId="77777777" w:rsidR="0009011E" w:rsidRDefault="0009011E" w:rsidP="00AC4476">
            <w:pPr>
              <w:pStyle w:val="TableParagraph"/>
              <w:ind w:left="3373" w:right="3358"/>
              <w:jc w:val="center"/>
              <w:rPr>
                <w:b/>
                <w:sz w:val="16"/>
              </w:rPr>
            </w:pPr>
            <w:r>
              <w:rPr>
                <w:b/>
                <w:sz w:val="16"/>
              </w:rPr>
              <w:t>Simple</w:t>
            </w:r>
            <w:r>
              <w:rPr>
                <w:b/>
                <w:spacing w:val="-9"/>
                <w:sz w:val="16"/>
              </w:rPr>
              <w:t xml:space="preserve"> </w:t>
            </w:r>
            <w:r>
              <w:rPr>
                <w:b/>
                <w:sz w:val="16"/>
              </w:rPr>
              <w:t>Statistics</w:t>
            </w:r>
          </w:p>
        </w:tc>
      </w:tr>
      <w:tr w:rsidR="0009011E" w14:paraId="6A829E6A" w14:textId="77777777" w:rsidTr="00AC4476">
        <w:trPr>
          <w:trHeight w:val="364"/>
        </w:trPr>
        <w:tc>
          <w:tcPr>
            <w:tcW w:w="1718" w:type="dxa"/>
          </w:tcPr>
          <w:p w14:paraId="6273688E" w14:textId="77777777" w:rsidR="0009011E" w:rsidRDefault="0009011E" w:rsidP="00AC4476">
            <w:pPr>
              <w:pStyle w:val="TableParagraph"/>
              <w:ind w:left="100"/>
              <w:rPr>
                <w:b/>
                <w:sz w:val="16"/>
              </w:rPr>
            </w:pPr>
            <w:bookmarkStart w:id="4" w:name="Simple_Statistics"/>
            <w:bookmarkEnd w:id="4"/>
            <w:r>
              <w:rPr>
                <w:b/>
                <w:sz w:val="16"/>
              </w:rPr>
              <w:t>Variable</w:t>
            </w:r>
          </w:p>
        </w:tc>
        <w:tc>
          <w:tcPr>
            <w:tcW w:w="374" w:type="dxa"/>
          </w:tcPr>
          <w:p w14:paraId="007EFC03" w14:textId="77777777" w:rsidR="0009011E" w:rsidRDefault="0009011E" w:rsidP="00AC4476">
            <w:pPr>
              <w:pStyle w:val="TableParagraph"/>
              <w:ind w:left="71"/>
              <w:jc w:val="center"/>
              <w:rPr>
                <w:b/>
                <w:sz w:val="16"/>
              </w:rPr>
            </w:pPr>
            <w:r>
              <w:rPr>
                <w:b/>
                <w:w w:val="102"/>
                <w:sz w:val="16"/>
              </w:rPr>
              <w:t>N</w:t>
            </w:r>
          </w:p>
        </w:tc>
        <w:tc>
          <w:tcPr>
            <w:tcW w:w="768" w:type="dxa"/>
          </w:tcPr>
          <w:p w14:paraId="2296AC33" w14:textId="77777777" w:rsidR="0009011E" w:rsidRDefault="0009011E" w:rsidP="00AC4476">
            <w:pPr>
              <w:pStyle w:val="TableParagraph"/>
              <w:ind w:right="84"/>
              <w:jc w:val="right"/>
              <w:rPr>
                <w:b/>
                <w:sz w:val="16"/>
              </w:rPr>
            </w:pPr>
            <w:r>
              <w:rPr>
                <w:b/>
                <w:sz w:val="16"/>
              </w:rPr>
              <w:t>Mean</w:t>
            </w:r>
          </w:p>
        </w:tc>
        <w:tc>
          <w:tcPr>
            <w:tcW w:w="797" w:type="dxa"/>
          </w:tcPr>
          <w:p w14:paraId="0958E158" w14:textId="77777777" w:rsidR="0009011E" w:rsidRDefault="0009011E" w:rsidP="00AC4476">
            <w:pPr>
              <w:pStyle w:val="TableParagraph"/>
              <w:ind w:left="77" w:right="62"/>
              <w:jc w:val="center"/>
              <w:rPr>
                <w:b/>
                <w:sz w:val="16"/>
              </w:rPr>
            </w:pPr>
            <w:r>
              <w:rPr>
                <w:b/>
                <w:sz w:val="16"/>
              </w:rPr>
              <w:t>Std</w:t>
            </w:r>
            <w:r>
              <w:rPr>
                <w:b/>
                <w:spacing w:val="-1"/>
                <w:sz w:val="16"/>
              </w:rPr>
              <w:t xml:space="preserve"> </w:t>
            </w:r>
            <w:r>
              <w:rPr>
                <w:b/>
                <w:sz w:val="16"/>
              </w:rPr>
              <w:t>Dev</w:t>
            </w:r>
          </w:p>
        </w:tc>
        <w:tc>
          <w:tcPr>
            <w:tcW w:w="941" w:type="dxa"/>
          </w:tcPr>
          <w:p w14:paraId="31C9B085" w14:textId="77777777" w:rsidR="0009011E" w:rsidRDefault="0009011E" w:rsidP="00AC4476">
            <w:pPr>
              <w:pStyle w:val="TableParagraph"/>
              <w:ind w:right="77"/>
              <w:jc w:val="right"/>
              <w:rPr>
                <w:b/>
                <w:sz w:val="16"/>
              </w:rPr>
            </w:pPr>
            <w:r>
              <w:rPr>
                <w:b/>
                <w:sz w:val="16"/>
              </w:rPr>
              <w:t>Sum</w:t>
            </w:r>
          </w:p>
        </w:tc>
        <w:tc>
          <w:tcPr>
            <w:tcW w:w="864" w:type="dxa"/>
          </w:tcPr>
          <w:p w14:paraId="21859B59" w14:textId="77777777" w:rsidR="0009011E" w:rsidRDefault="0009011E" w:rsidP="00AC4476">
            <w:pPr>
              <w:pStyle w:val="TableParagraph"/>
              <w:ind w:left="66" w:right="45"/>
              <w:jc w:val="center"/>
              <w:rPr>
                <w:b/>
                <w:sz w:val="16"/>
              </w:rPr>
            </w:pPr>
            <w:r>
              <w:rPr>
                <w:b/>
                <w:sz w:val="16"/>
              </w:rPr>
              <w:t>Minimum</w:t>
            </w:r>
          </w:p>
        </w:tc>
        <w:tc>
          <w:tcPr>
            <w:tcW w:w="902" w:type="dxa"/>
          </w:tcPr>
          <w:p w14:paraId="1DA569EE" w14:textId="77777777" w:rsidR="0009011E" w:rsidRDefault="0009011E" w:rsidP="00AC4476">
            <w:pPr>
              <w:pStyle w:val="TableParagraph"/>
              <w:ind w:left="68" w:right="46"/>
              <w:jc w:val="center"/>
              <w:rPr>
                <w:b/>
                <w:sz w:val="16"/>
              </w:rPr>
            </w:pPr>
            <w:r>
              <w:rPr>
                <w:b/>
                <w:sz w:val="16"/>
              </w:rPr>
              <w:t>Maximum</w:t>
            </w:r>
          </w:p>
        </w:tc>
        <w:tc>
          <w:tcPr>
            <w:tcW w:w="1689" w:type="dxa"/>
          </w:tcPr>
          <w:p w14:paraId="6DDDA151" w14:textId="77777777" w:rsidR="0009011E" w:rsidRDefault="0009011E" w:rsidP="00AC4476">
            <w:pPr>
              <w:pStyle w:val="TableParagraph"/>
              <w:ind w:left="101"/>
              <w:rPr>
                <w:b/>
                <w:sz w:val="16"/>
              </w:rPr>
            </w:pPr>
            <w:r>
              <w:rPr>
                <w:b/>
                <w:sz w:val="16"/>
              </w:rPr>
              <w:t>Label</w:t>
            </w:r>
          </w:p>
        </w:tc>
      </w:tr>
      <w:tr w:rsidR="0009011E" w14:paraId="224BBE2A" w14:textId="77777777" w:rsidTr="00AC4476">
        <w:trPr>
          <w:trHeight w:val="364"/>
        </w:trPr>
        <w:tc>
          <w:tcPr>
            <w:tcW w:w="1718" w:type="dxa"/>
          </w:tcPr>
          <w:p w14:paraId="30044604" w14:textId="77777777" w:rsidR="0009011E" w:rsidRDefault="0009011E" w:rsidP="00AC4476">
            <w:pPr>
              <w:pStyle w:val="TableParagraph"/>
              <w:ind w:left="100"/>
              <w:rPr>
                <w:b/>
                <w:sz w:val="16"/>
              </w:rPr>
            </w:pPr>
            <w:proofErr w:type="spellStart"/>
            <w:r>
              <w:rPr>
                <w:b/>
                <w:sz w:val="16"/>
              </w:rPr>
              <w:t>CDS_RATIO</w:t>
            </w:r>
            <w:proofErr w:type="spellEnd"/>
          </w:p>
        </w:tc>
        <w:tc>
          <w:tcPr>
            <w:tcW w:w="374" w:type="dxa"/>
          </w:tcPr>
          <w:p w14:paraId="2EFEC472" w14:textId="77777777" w:rsidR="0009011E" w:rsidRDefault="0009011E" w:rsidP="00AC4476">
            <w:pPr>
              <w:pStyle w:val="TableParagraph"/>
              <w:ind w:left="80" w:right="65"/>
              <w:jc w:val="center"/>
              <w:rPr>
                <w:sz w:val="16"/>
              </w:rPr>
            </w:pPr>
            <w:r>
              <w:rPr>
                <w:sz w:val="16"/>
              </w:rPr>
              <w:t>21</w:t>
            </w:r>
          </w:p>
        </w:tc>
        <w:tc>
          <w:tcPr>
            <w:tcW w:w="768" w:type="dxa"/>
          </w:tcPr>
          <w:p w14:paraId="7EC31DB4" w14:textId="77777777" w:rsidR="0009011E" w:rsidRDefault="0009011E" w:rsidP="00AC4476">
            <w:pPr>
              <w:pStyle w:val="TableParagraph"/>
              <w:ind w:right="83"/>
              <w:jc w:val="right"/>
              <w:rPr>
                <w:sz w:val="16"/>
              </w:rPr>
            </w:pPr>
            <w:r>
              <w:rPr>
                <w:sz w:val="16"/>
              </w:rPr>
              <w:t>5.54683</w:t>
            </w:r>
          </w:p>
        </w:tc>
        <w:tc>
          <w:tcPr>
            <w:tcW w:w="797" w:type="dxa"/>
          </w:tcPr>
          <w:p w14:paraId="1E578FDC" w14:textId="77777777" w:rsidR="0009011E" w:rsidRDefault="0009011E" w:rsidP="00AC4476">
            <w:pPr>
              <w:pStyle w:val="TableParagraph"/>
              <w:ind w:left="83" w:right="39"/>
              <w:jc w:val="center"/>
              <w:rPr>
                <w:sz w:val="16"/>
              </w:rPr>
            </w:pPr>
            <w:r>
              <w:rPr>
                <w:sz w:val="16"/>
              </w:rPr>
              <w:t>0.15753</w:t>
            </w:r>
          </w:p>
        </w:tc>
        <w:tc>
          <w:tcPr>
            <w:tcW w:w="941" w:type="dxa"/>
          </w:tcPr>
          <w:p w14:paraId="20369C01" w14:textId="77777777" w:rsidR="0009011E" w:rsidRDefault="0009011E" w:rsidP="00AC4476">
            <w:pPr>
              <w:pStyle w:val="TableParagraph"/>
              <w:ind w:right="83"/>
              <w:jc w:val="right"/>
              <w:rPr>
                <w:sz w:val="16"/>
              </w:rPr>
            </w:pPr>
            <w:r>
              <w:rPr>
                <w:sz w:val="16"/>
              </w:rPr>
              <w:t>116.48343</w:t>
            </w:r>
          </w:p>
        </w:tc>
        <w:tc>
          <w:tcPr>
            <w:tcW w:w="864" w:type="dxa"/>
          </w:tcPr>
          <w:p w14:paraId="6A0B84DD" w14:textId="77777777" w:rsidR="0009011E" w:rsidRDefault="0009011E" w:rsidP="00AC4476">
            <w:pPr>
              <w:pStyle w:val="TableParagraph"/>
              <w:ind w:left="156" w:right="45"/>
              <w:jc w:val="center"/>
              <w:rPr>
                <w:sz w:val="16"/>
              </w:rPr>
            </w:pPr>
            <w:r>
              <w:rPr>
                <w:sz w:val="16"/>
              </w:rPr>
              <w:t>5.08761</w:t>
            </w:r>
          </w:p>
        </w:tc>
        <w:tc>
          <w:tcPr>
            <w:tcW w:w="902" w:type="dxa"/>
          </w:tcPr>
          <w:p w14:paraId="56F4FC75" w14:textId="77777777" w:rsidR="0009011E" w:rsidRDefault="0009011E" w:rsidP="00AC4476">
            <w:pPr>
              <w:pStyle w:val="TableParagraph"/>
              <w:ind w:left="195" w:right="46"/>
              <w:jc w:val="center"/>
              <w:rPr>
                <w:sz w:val="16"/>
              </w:rPr>
            </w:pPr>
            <w:r>
              <w:rPr>
                <w:sz w:val="16"/>
              </w:rPr>
              <w:t>5.75578</w:t>
            </w:r>
          </w:p>
        </w:tc>
        <w:tc>
          <w:tcPr>
            <w:tcW w:w="1689" w:type="dxa"/>
          </w:tcPr>
          <w:p w14:paraId="0F85FD1B" w14:textId="77777777" w:rsidR="0009011E" w:rsidRDefault="0009011E" w:rsidP="00AC4476">
            <w:pPr>
              <w:pStyle w:val="TableParagraph"/>
              <w:ind w:left="101"/>
              <w:rPr>
                <w:sz w:val="16"/>
              </w:rPr>
            </w:pPr>
            <w:proofErr w:type="spellStart"/>
            <w:r>
              <w:rPr>
                <w:sz w:val="16"/>
              </w:rPr>
              <w:t>CDS_RATIO</w:t>
            </w:r>
            <w:proofErr w:type="spellEnd"/>
          </w:p>
        </w:tc>
      </w:tr>
      <w:tr w:rsidR="0009011E" w14:paraId="6BCF3A25" w14:textId="77777777" w:rsidTr="00AC4476">
        <w:trPr>
          <w:trHeight w:val="364"/>
        </w:trPr>
        <w:tc>
          <w:tcPr>
            <w:tcW w:w="1718" w:type="dxa"/>
          </w:tcPr>
          <w:p w14:paraId="4ECB246D" w14:textId="77777777" w:rsidR="0009011E" w:rsidRDefault="0009011E" w:rsidP="00AC4476">
            <w:pPr>
              <w:pStyle w:val="TableParagraph"/>
              <w:ind w:left="100"/>
              <w:rPr>
                <w:b/>
                <w:sz w:val="16"/>
              </w:rPr>
            </w:pPr>
            <w:proofErr w:type="spellStart"/>
            <w:r>
              <w:rPr>
                <w:b/>
                <w:sz w:val="16"/>
              </w:rPr>
              <w:t>NEW_DEL_CC_PER</w:t>
            </w:r>
            <w:proofErr w:type="spellEnd"/>
          </w:p>
        </w:tc>
        <w:tc>
          <w:tcPr>
            <w:tcW w:w="374" w:type="dxa"/>
          </w:tcPr>
          <w:p w14:paraId="62415B43" w14:textId="77777777" w:rsidR="0009011E" w:rsidRDefault="0009011E" w:rsidP="00AC4476">
            <w:pPr>
              <w:pStyle w:val="TableParagraph"/>
              <w:ind w:left="80" w:right="65"/>
              <w:jc w:val="center"/>
              <w:rPr>
                <w:sz w:val="16"/>
              </w:rPr>
            </w:pPr>
            <w:r>
              <w:rPr>
                <w:sz w:val="16"/>
              </w:rPr>
              <w:t>21</w:t>
            </w:r>
          </w:p>
        </w:tc>
        <w:tc>
          <w:tcPr>
            <w:tcW w:w="768" w:type="dxa"/>
          </w:tcPr>
          <w:p w14:paraId="0057083D" w14:textId="77777777" w:rsidR="0009011E" w:rsidRDefault="0009011E" w:rsidP="00AC4476">
            <w:pPr>
              <w:pStyle w:val="TableParagraph"/>
              <w:ind w:right="83"/>
              <w:jc w:val="right"/>
              <w:rPr>
                <w:sz w:val="16"/>
              </w:rPr>
            </w:pPr>
            <w:r>
              <w:rPr>
                <w:sz w:val="16"/>
              </w:rPr>
              <w:t>6.11116</w:t>
            </w:r>
          </w:p>
        </w:tc>
        <w:tc>
          <w:tcPr>
            <w:tcW w:w="797" w:type="dxa"/>
          </w:tcPr>
          <w:p w14:paraId="25E3B90B" w14:textId="77777777" w:rsidR="0009011E" w:rsidRDefault="0009011E" w:rsidP="00AC4476">
            <w:pPr>
              <w:pStyle w:val="TableParagraph"/>
              <w:ind w:left="83" w:right="39"/>
              <w:jc w:val="center"/>
              <w:rPr>
                <w:sz w:val="16"/>
              </w:rPr>
            </w:pPr>
            <w:r>
              <w:rPr>
                <w:sz w:val="16"/>
              </w:rPr>
              <w:t>0.62915</w:t>
            </w:r>
          </w:p>
        </w:tc>
        <w:tc>
          <w:tcPr>
            <w:tcW w:w="941" w:type="dxa"/>
          </w:tcPr>
          <w:p w14:paraId="2C3EAD45" w14:textId="77777777" w:rsidR="0009011E" w:rsidRDefault="0009011E" w:rsidP="00AC4476">
            <w:pPr>
              <w:pStyle w:val="TableParagraph"/>
              <w:ind w:right="83"/>
              <w:jc w:val="right"/>
              <w:rPr>
                <w:sz w:val="16"/>
              </w:rPr>
            </w:pPr>
            <w:r>
              <w:rPr>
                <w:sz w:val="16"/>
              </w:rPr>
              <w:t>128.33440</w:t>
            </w:r>
          </w:p>
        </w:tc>
        <w:tc>
          <w:tcPr>
            <w:tcW w:w="864" w:type="dxa"/>
          </w:tcPr>
          <w:p w14:paraId="7B8A02DC" w14:textId="77777777" w:rsidR="0009011E" w:rsidRDefault="0009011E" w:rsidP="00AC4476">
            <w:pPr>
              <w:pStyle w:val="TableParagraph"/>
              <w:ind w:left="156" w:right="45"/>
              <w:jc w:val="center"/>
              <w:rPr>
                <w:sz w:val="16"/>
              </w:rPr>
            </w:pPr>
            <w:r>
              <w:rPr>
                <w:sz w:val="16"/>
              </w:rPr>
              <w:t>5.07259</w:t>
            </w:r>
          </w:p>
        </w:tc>
        <w:tc>
          <w:tcPr>
            <w:tcW w:w="902" w:type="dxa"/>
          </w:tcPr>
          <w:p w14:paraId="789CA71B" w14:textId="77777777" w:rsidR="0009011E" w:rsidRDefault="0009011E" w:rsidP="00AC4476">
            <w:pPr>
              <w:pStyle w:val="TableParagraph"/>
              <w:ind w:left="195" w:right="46"/>
              <w:jc w:val="center"/>
              <w:rPr>
                <w:sz w:val="16"/>
              </w:rPr>
            </w:pPr>
            <w:r>
              <w:rPr>
                <w:sz w:val="16"/>
              </w:rPr>
              <w:t>6.95000</w:t>
            </w:r>
          </w:p>
        </w:tc>
        <w:tc>
          <w:tcPr>
            <w:tcW w:w="1689" w:type="dxa"/>
          </w:tcPr>
          <w:p w14:paraId="2CC3BA4F" w14:textId="77777777" w:rsidR="0009011E" w:rsidRDefault="0009011E" w:rsidP="00AC4476">
            <w:pPr>
              <w:pStyle w:val="TableParagraph"/>
              <w:ind w:left="101"/>
              <w:rPr>
                <w:sz w:val="16"/>
              </w:rPr>
            </w:pPr>
            <w:proofErr w:type="spellStart"/>
            <w:r>
              <w:rPr>
                <w:sz w:val="16"/>
              </w:rPr>
              <w:t>NEW_DEL_CC_PER</w:t>
            </w:r>
            <w:proofErr w:type="spellEnd"/>
          </w:p>
        </w:tc>
      </w:tr>
    </w:tbl>
    <w:p w14:paraId="011A2C1C" w14:textId="264B7212" w:rsidR="0009011E" w:rsidRDefault="0009011E" w:rsidP="0009011E">
      <w:pPr>
        <w:spacing w:line="240" w:lineRule="auto"/>
        <w:rPr>
          <w:i/>
          <w:iCs/>
        </w:rPr>
      </w:pPr>
    </w:p>
    <w:p w14:paraId="3763F46E" w14:textId="10A4FC47" w:rsidR="0009011E" w:rsidRDefault="0009011E" w:rsidP="0009011E">
      <w:pPr>
        <w:spacing w:line="240" w:lineRule="auto"/>
        <w:rPr>
          <w:i/>
          <w:iCs/>
        </w:rPr>
      </w:pPr>
    </w:p>
    <w:p w14:paraId="246EDAE1" w14:textId="00A2DFC0" w:rsidR="0009011E" w:rsidRDefault="0009011E" w:rsidP="0009011E">
      <w:pPr>
        <w:spacing w:line="240" w:lineRule="auto"/>
        <w:rPr>
          <w:b/>
          <w:bCs/>
        </w:rPr>
      </w:pPr>
      <w:r>
        <w:rPr>
          <w:b/>
          <w:bCs/>
        </w:rPr>
        <w:t>Table 6</w:t>
      </w:r>
    </w:p>
    <w:p w14:paraId="7335E7C9" w14:textId="7D5E4589" w:rsidR="0009011E" w:rsidRPr="0009011E" w:rsidRDefault="0009011E" w:rsidP="0009011E">
      <w:pPr>
        <w:spacing w:line="240" w:lineRule="auto"/>
        <w:rPr>
          <w:i/>
          <w:iCs/>
        </w:rPr>
      </w:pPr>
      <w:r>
        <w:rPr>
          <w:i/>
          <w:iCs/>
        </w:rPr>
        <w:t xml:space="preserve">Results from </w:t>
      </w:r>
      <w:r w:rsidR="0074266C">
        <w:rPr>
          <w:i/>
          <w:iCs/>
        </w:rPr>
        <w:t>C</w:t>
      </w:r>
      <w:r>
        <w:rPr>
          <w:i/>
          <w:iCs/>
        </w:rPr>
        <w:t>orrelation</w:t>
      </w:r>
    </w:p>
    <w:tbl>
      <w:tblPr>
        <w:tblW w:w="0" w:type="auto"/>
        <w:tblInd w:w="760" w:type="dxa"/>
        <w:tblBorders>
          <w:top w:val="single" w:sz="4" w:space="0" w:color="919191"/>
          <w:left w:val="single" w:sz="4" w:space="0" w:color="919191"/>
          <w:bottom w:val="single" w:sz="4" w:space="0" w:color="919191"/>
          <w:right w:val="single" w:sz="4" w:space="0" w:color="919191"/>
          <w:insideH w:val="single" w:sz="4" w:space="0" w:color="919191"/>
          <w:insideV w:val="single" w:sz="4" w:space="0" w:color="919191"/>
        </w:tblBorders>
        <w:tblLayout w:type="fixed"/>
        <w:tblCellMar>
          <w:left w:w="0" w:type="dxa"/>
          <w:right w:w="0" w:type="dxa"/>
        </w:tblCellMar>
        <w:tblLook w:val="01E0" w:firstRow="1" w:lastRow="1" w:firstColumn="1" w:lastColumn="1" w:noHBand="0" w:noVBand="0"/>
      </w:tblPr>
      <w:tblGrid>
        <w:gridCol w:w="1718"/>
        <w:gridCol w:w="1209"/>
        <w:gridCol w:w="1718"/>
      </w:tblGrid>
      <w:tr w:rsidR="0009011E" w14:paraId="6E180EA7" w14:textId="77777777" w:rsidTr="0009011E">
        <w:trPr>
          <w:trHeight w:val="556"/>
        </w:trPr>
        <w:tc>
          <w:tcPr>
            <w:tcW w:w="4645" w:type="dxa"/>
            <w:gridSpan w:val="3"/>
          </w:tcPr>
          <w:p w14:paraId="4B5745A8" w14:textId="77777777" w:rsidR="0009011E" w:rsidRDefault="0009011E" w:rsidP="00AC4476">
            <w:pPr>
              <w:pStyle w:val="TableParagraph"/>
              <w:spacing w:line="249" w:lineRule="auto"/>
              <w:ind w:left="1300" w:right="791" w:hanging="490"/>
              <w:rPr>
                <w:b/>
                <w:sz w:val="16"/>
              </w:rPr>
            </w:pPr>
            <w:r>
              <w:rPr>
                <w:b/>
                <w:sz w:val="16"/>
              </w:rPr>
              <w:t>Pearson</w:t>
            </w:r>
            <w:r>
              <w:rPr>
                <w:b/>
                <w:spacing w:val="-11"/>
                <w:sz w:val="16"/>
              </w:rPr>
              <w:t xml:space="preserve"> </w:t>
            </w:r>
            <w:r>
              <w:rPr>
                <w:b/>
                <w:sz w:val="16"/>
              </w:rPr>
              <w:t>Correlation</w:t>
            </w:r>
            <w:r>
              <w:rPr>
                <w:b/>
                <w:spacing w:val="-10"/>
                <w:sz w:val="16"/>
              </w:rPr>
              <w:t xml:space="preserve"> </w:t>
            </w:r>
            <w:r>
              <w:rPr>
                <w:b/>
                <w:sz w:val="16"/>
              </w:rPr>
              <w:t>Coefficients,</w:t>
            </w:r>
            <w:r>
              <w:rPr>
                <w:b/>
                <w:spacing w:val="-4"/>
                <w:sz w:val="16"/>
              </w:rPr>
              <w:t xml:space="preserve"> </w:t>
            </w:r>
            <w:r>
              <w:rPr>
                <w:b/>
                <w:sz w:val="16"/>
              </w:rPr>
              <w:t>N</w:t>
            </w:r>
            <w:r>
              <w:rPr>
                <w:b/>
                <w:spacing w:val="-10"/>
                <w:sz w:val="16"/>
              </w:rPr>
              <w:t xml:space="preserve"> </w:t>
            </w:r>
            <w:r>
              <w:rPr>
                <w:b/>
                <w:sz w:val="16"/>
              </w:rPr>
              <w:t>=</w:t>
            </w:r>
            <w:r>
              <w:rPr>
                <w:b/>
                <w:spacing w:val="-6"/>
                <w:sz w:val="16"/>
              </w:rPr>
              <w:t xml:space="preserve"> </w:t>
            </w:r>
            <w:r>
              <w:rPr>
                <w:b/>
                <w:sz w:val="16"/>
              </w:rPr>
              <w:t>21</w:t>
            </w:r>
            <w:r>
              <w:rPr>
                <w:b/>
                <w:spacing w:val="-41"/>
                <w:sz w:val="16"/>
              </w:rPr>
              <w:t xml:space="preserve"> </w:t>
            </w:r>
            <w:bookmarkStart w:id="5" w:name="Pearson_Correlations"/>
            <w:bookmarkEnd w:id="5"/>
            <w:r>
              <w:rPr>
                <w:b/>
                <w:sz w:val="16"/>
              </w:rPr>
              <w:t>Prob</w:t>
            </w:r>
            <w:r>
              <w:rPr>
                <w:b/>
                <w:spacing w:val="-3"/>
                <w:sz w:val="16"/>
              </w:rPr>
              <w:t xml:space="preserve"> </w:t>
            </w:r>
            <w:r>
              <w:rPr>
                <w:b/>
                <w:sz w:val="16"/>
              </w:rPr>
              <w:t>&gt;</w:t>
            </w:r>
            <w:r>
              <w:rPr>
                <w:b/>
                <w:spacing w:val="3"/>
                <w:sz w:val="16"/>
              </w:rPr>
              <w:t xml:space="preserve"> </w:t>
            </w:r>
            <w:r>
              <w:rPr>
                <w:b/>
                <w:sz w:val="16"/>
              </w:rPr>
              <w:t>|r|</w:t>
            </w:r>
            <w:r>
              <w:rPr>
                <w:b/>
                <w:spacing w:val="-5"/>
                <w:sz w:val="16"/>
              </w:rPr>
              <w:t xml:space="preserve"> </w:t>
            </w:r>
            <w:r>
              <w:rPr>
                <w:b/>
                <w:sz w:val="16"/>
              </w:rPr>
              <w:t>under</w:t>
            </w:r>
            <w:r>
              <w:rPr>
                <w:b/>
                <w:spacing w:val="6"/>
                <w:sz w:val="16"/>
              </w:rPr>
              <w:t xml:space="preserve"> </w:t>
            </w:r>
            <w:proofErr w:type="spellStart"/>
            <w:r>
              <w:rPr>
                <w:b/>
                <w:sz w:val="16"/>
              </w:rPr>
              <w:t>H0</w:t>
            </w:r>
            <w:proofErr w:type="spellEnd"/>
            <w:r>
              <w:rPr>
                <w:b/>
                <w:sz w:val="16"/>
              </w:rPr>
              <w:t>:</w:t>
            </w:r>
            <w:r>
              <w:rPr>
                <w:b/>
                <w:spacing w:val="6"/>
                <w:sz w:val="16"/>
              </w:rPr>
              <w:t xml:space="preserve"> </w:t>
            </w:r>
            <w:r>
              <w:rPr>
                <w:b/>
                <w:sz w:val="16"/>
              </w:rPr>
              <w:t>Rho=0</w:t>
            </w:r>
          </w:p>
        </w:tc>
      </w:tr>
      <w:tr w:rsidR="0009011E" w14:paraId="45F97443" w14:textId="77777777" w:rsidTr="0009011E">
        <w:trPr>
          <w:trHeight w:val="364"/>
        </w:trPr>
        <w:tc>
          <w:tcPr>
            <w:tcW w:w="1718" w:type="dxa"/>
          </w:tcPr>
          <w:p w14:paraId="2BF70798" w14:textId="77777777" w:rsidR="0009011E" w:rsidRDefault="0009011E" w:rsidP="00AC4476">
            <w:pPr>
              <w:pStyle w:val="TableParagraph"/>
              <w:spacing w:before="0"/>
              <w:rPr>
                <w:rFonts w:ascii="Times New Roman"/>
                <w:sz w:val="16"/>
              </w:rPr>
            </w:pPr>
          </w:p>
        </w:tc>
        <w:tc>
          <w:tcPr>
            <w:tcW w:w="1209" w:type="dxa"/>
          </w:tcPr>
          <w:p w14:paraId="3EEB0D7D" w14:textId="77777777" w:rsidR="0009011E" w:rsidRDefault="0009011E" w:rsidP="00AC4476">
            <w:pPr>
              <w:pStyle w:val="TableParagraph"/>
              <w:ind w:right="85"/>
              <w:jc w:val="right"/>
              <w:rPr>
                <w:b/>
                <w:sz w:val="16"/>
              </w:rPr>
            </w:pPr>
            <w:proofErr w:type="spellStart"/>
            <w:r>
              <w:rPr>
                <w:b/>
                <w:sz w:val="16"/>
              </w:rPr>
              <w:t>CDS_RATIO</w:t>
            </w:r>
            <w:proofErr w:type="spellEnd"/>
          </w:p>
        </w:tc>
        <w:tc>
          <w:tcPr>
            <w:tcW w:w="1718" w:type="dxa"/>
          </w:tcPr>
          <w:p w14:paraId="5A7141E2" w14:textId="77777777" w:rsidR="0009011E" w:rsidRDefault="0009011E" w:rsidP="00AC4476">
            <w:pPr>
              <w:pStyle w:val="TableParagraph"/>
              <w:ind w:right="84"/>
              <w:jc w:val="right"/>
              <w:rPr>
                <w:b/>
                <w:sz w:val="16"/>
              </w:rPr>
            </w:pPr>
            <w:proofErr w:type="spellStart"/>
            <w:r>
              <w:rPr>
                <w:b/>
                <w:sz w:val="16"/>
              </w:rPr>
              <w:t>NEW_DEL_CC_PER</w:t>
            </w:r>
            <w:proofErr w:type="spellEnd"/>
          </w:p>
        </w:tc>
      </w:tr>
      <w:tr w:rsidR="0009011E" w14:paraId="635D92C0" w14:textId="77777777" w:rsidTr="0009011E">
        <w:trPr>
          <w:trHeight w:val="556"/>
        </w:trPr>
        <w:tc>
          <w:tcPr>
            <w:tcW w:w="1718" w:type="dxa"/>
          </w:tcPr>
          <w:p w14:paraId="0DEDFD2B" w14:textId="77777777" w:rsidR="0009011E" w:rsidRDefault="0009011E" w:rsidP="00AC4476">
            <w:pPr>
              <w:pStyle w:val="TableParagraph"/>
              <w:spacing w:line="249" w:lineRule="auto"/>
              <w:ind w:left="100" w:right="690"/>
              <w:rPr>
                <w:b/>
                <w:sz w:val="16"/>
              </w:rPr>
            </w:pPr>
            <w:proofErr w:type="spellStart"/>
            <w:r>
              <w:rPr>
                <w:b/>
                <w:spacing w:val="-3"/>
                <w:sz w:val="16"/>
              </w:rPr>
              <w:t>CDS_RATIO</w:t>
            </w:r>
            <w:proofErr w:type="spellEnd"/>
            <w:r>
              <w:rPr>
                <w:b/>
                <w:spacing w:val="-42"/>
                <w:sz w:val="16"/>
              </w:rPr>
              <w:t xml:space="preserve"> </w:t>
            </w:r>
            <w:proofErr w:type="spellStart"/>
            <w:r>
              <w:rPr>
                <w:b/>
                <w:spacing w:val="-3"/>
                <w:sz w:val="16"/>
              </w:rPr>
              <w:t>CDS_RATIO</w:t>
            </w:r>
            <w:proofErr w:type="spellEnd"/>
          </w:p>
        </w:tc>
        <w:tc>
          <w:tcPr>
            <w:tcW w:w="1209" w:type="dxa"/>
          </w:tcPr>
          <w:p w14:paraId="7E161164" w14:textId="77777777" w:rsidR="0009011E" w:rsidRDefault="0009011E" w:rsidP="00AC4476">
            <w:pPr>
              <w:pStyle w:val="TableParagraph"/>
              <w:ind w:right="83"/>
              <w:jc w:val="right"/>
              <w:rPr>
                <w:sz w:val="16"/>
              </w:rPr>
            </w:pPr>
            <w:r>
              <w:rPr>
                <w:sz w:val="16"/>
              </w:rPr>
              <w:t>1.00000</w:t>
            </w:r>
          </w:p>
        </w:tc>
        <w:tc>
          <w:tcPr>
            <w:tcW w:w="1718" w:type="dxa"/>
          </w:tcPr>
          <w:p w14:paraId="2FA62111" w14:textId="77777777" w:rsidR="0009011E" w:rsidRDefault="0009011E" w:rsidP="00AC4476">
            <w:pPr>
              <w:pStyle w:val="TableParagraph"/>
              <w:ind w:left="1052"/>
              <w:rPr>
                <w:sz w:val="16"/>
              </w:rPr>
            </w:pPr>
            <w:r>
              <w:rPr>
                <w:sz w:val="16"/>
              </w:rPr>
              <w:t>0.55754</w:t>
            </w:r>
          </w:p>
          <w:p w14:paraId="134F46D8" w14:textId="77777777" w:rsidR="0009011E" w:rsidRDefault="0009011E" w:rsidP="00AC4476">
            <w:pPr>
              <w:pStyle w:val="TableParagraph"/>
              <w:spacing w:before="8"/>
              <w:ind w:left="1138"/>
              <w:rPr>
                <w:sz w:val="16"/>
              </w:rPr>
            </w:pPr>
            <w:r>
              <w:rPr>
                <w:sz w:val="16"/>
              </w:rPr>
              <w:t>0.0086</w:t>
            </w:r>
          </w:p>
        </w:tc>
      </w:tr>
      <w:tr w:rsidR="0009011E" w14:paraId="69A0B98F" w14:textId="77777777" w:rsidTr="0009011E">
        <w:trPr>
          <w:trHeight w:val="556"/>
        </w:trPr>
        <w:tc>
          <w:tcPr>
            <w:tcW w:w="1718" w:type="dxa"/>
          </w:tcPr>
          <w:p w14:paraId="17D3B821" w14:textId="77777777" w:rsidR="0009011E" w:rsidRDefault="0009011E" w:rsidP="00AC4476">
            <w:pPr>
              <w:pStyle w:val="TableParagraph"/>
              <w:spacing w:line="249" w:lineRule="auto"/>
              <w:ind w:left="100" w:right="81"/>
              <w:rPr>
                <w:b/>
                <w:sz w:val="16"/>
              </w:rPr>
            </w:pPr>
            <w:proofErr w:type="spellStart"/>
            <w:r>
              <w:rPr>
                <w:b/>
                <w:spacing w:val="-1"/>
                <w:sz w:val="16"/>
              </w:rPr>
              <w:t>NEW_DEL_CC_PER</w:t>
            </w:r>
            <w:proofErr w:type="spellEnd"/>
            <w:r>
              <w:rPr>
                <w:b/>
                <w:spacing w:val="-42"/>
                <w:sz w:val="16"/>
              </w:rPr>
              <w:t xml:space="preserve"> </w:t>
            </w:r>
            <w:proofErr w:type="spellStart"/>
            <w:r>
              <w:rPr>
                <w:b/>
                <w:spacing w:val="-1"/>
                <w:sz w:val="16"/>
              </w:rPr>
              <w:t>NEW_DEL_CC_PER</w:t>
            </w:r>
            <w:proofErr w:type="spellEnd"/>
          </w:p>
        </w:tc>
        <w:tc>
          <w:tcPr>
            <w:tcW w:w="1209" w:type="dxa"/>
          </w:tcPr>
          <w:p w14:paraId="304B7E70" w14:textId="77777777" w:rsidR="0009011E" w:rsidRDefault="0009011E" w:rsidP="00AC4476">
            <w:pPr>
              <w:pStyle w:val="TableParagraph"/>
              <w:ind w:left="542"/>
              <w:rPr>
                <w:sz w:val="16"/>
              </w:rPr>
            </w:pPr>
            <w:r>
              <w:rPr>
                <w:sz w:val="16"/>
              </w:rPr>
              <w:t>0.55754</w:t>
            </w:r>
          </w:p>
          <w:p w14:paraId="5B3E6E38" w14:textId="77777777" w:rsidR="0009011E" w:rsidRDefault="0009011E" w:rsidP="00AC4476">
            <w:pPr>
              <w:pStyle w:val="TableParagraph"/>
              <w:spacing w:before="8"/>
              <w:ind w:left="628"/>
              <w:rPr>
                <w:sz w:val="16"/>
              </w:rPr>
            </w:pPr>
            <w:r>
              <w:rPr>
                <w:sz w:val="16"/>
              </w:rPr>
              <w:t>0.0086</w:t>
            </w:r>
          </w:p>
        </w:tc>
        <w:tc>
          <w:tcPr>
            <w:tcW w:w="1718" w:type="dxa"/>
          </w:tcPr>
          <w:p w14:paraId="05174AE4" w14:textId="77777777" w:rsidR="0009011E" w:rsidRDefault="0009011E" w:rsidP="00AC4476">
            <w:pPr>
              <w:pStyle w:val="TableParagraph"/>
              <w:ind w:right="82"/>
              <w:jc w:val="right"/>
              <w:rPr>
                <w:sz w:val="16"/>
              </w:rPr>
            </w:pPr>
            <w:r>
              <w:rPr>
                <w:sz w:val="16"/>
              </w:rPr>
              <w:t>1.00000</w:t>
            </w:r>
          </w:p>
        </w:tc>
      </w:tr>
    </w:tbl>
    <w:p w14:paraId="5371ED99" w14:textId="249E8558" w:rsidR="0074266C" w:rsidRDefault="0074266C" w:rsidP="0009011E">
      <w:pPr>
        <w:spacing w:line="480" w:lineRule="auto"/>
      </w:pPr>
    </w:p>
    <w:p w14:paraId="706E3C16" w14:textId="4430153B" w:rsidR="0074266C" w:rsidRDefault="0074266C" w:rsidP="0009011E">
      <w:pPr>
        <w:spacing w:line="480" w:lineRule="auto"/>
      </w:pPr>
      <w:r>
        <w:tab/>
      </w:r>
    </w:p>
    <w:p w14:paraId="03AB4683" w14:textId="5CBCCD67" w:rsidR="0074266C" w:rsidRDefault="0074266C" w:rsidP="0009011E">
      <w:pPr>
        <w:spacing w:line="480" w:lineRule="auto"/>
      </w:pPr>
    </w:p>
    <w:p w14:paraId="5220E300" w14:textId="52B15722" w:rsidR="0074266C" w:rsidRDefault="0074266C" w:rsidP="0009011E">
      <w:pPr>
        <w:spacing w:line="480" w:lineRule="auto"/>
      </w:pPr>
    </w:p>
    <w:p w14:paraId="78688EE9" w14:textId="5E3F7F7F" w:rsidR="0074266C" w:rsidRDefault="0074266C" w:rsidP="0009011E">
      <w:pPr>
        <w:spacing w:line="480" w:lineRule="auto"/>
      </w:pPr>
    </w:p>
    <w:p w14:paraId="450B18E8" w14:textId="55C75A17" w:rsidR="0074266C" w:rsidRDefault="0074266C" w:rsidP="0009011E">
      <w:pPr>
        <w:spacing w:line="480" w:lineRule="auto"/>
      </w:pPr>
    </w:p>
    <w:p w14:paraId="5BD80E14" w14:textId="0AA0FA6C" w:rsidR="0074266C" w:rsidRDefault="0074266C" w:rsidP="0009011E">
      <w:pPr>
        <w:spacing w:line="480" w:lineRule="auto"/>
      </w:pPr>
    </w:p>
    <w:p w14:paraId="5CB3BCF3" w14:textId="7664AD8F" w:rsidR="0074266C" w:rsidRDefault="0074266C" w:rsidP="0009011E">
      <w:pPr>
        <w:spacing w:line="480" w:lineRule="auto"/>
      </w:pPr>
    </w:p>
    <w:p w14:paraId="0F634DC0" w14:textId="6FAA6988" w:rsidR="0074266C" w:rsidRDefault="0074266C" w:rsidP="0009011E">
      <w:pPr>
        <w:spacing w:line="480" w:lineRule="auto"/>
      </w:pPr>
    </w:p>
    <w:p w14:paraId="779F7BBE" w14:textId="77777777" w:rsidR="0074266C" w:rsidRDefault="0074266C" w:rsidP="0009011E">
      <w:pPr>
        <w:spacing w:line="480" w:lineRule="auto"/>
      </w:pPr>
    </w:p>
    <w:p w14:paraId="7F880D6A" w14:textId="3ABED926" w:rsidR="0009011E" w:rsidRDefault="0074266C" w:rsidP="0074266C">
      <w:pPr>
        <w:spacing w:line="240" w:lineRule="auto"/>
        <w:rPr>
          <w:b/>
          <w:bCs/>
        </w:rPr>
      </w:pPr>
      <w:r w:rsidRPr="0074266C">
        <w:rPr>
          <w:b/>
          <w:bCs/>
        </w:rPr>
        <w:t>Figure 6</w:t>
      </w:r>
    </w:p>
    <w:p w14:paraId="307C636C" w14:textId="3CDC974D" w:rsidR="0074266C" w:rsidRPr="0074266C" w:rsidRDefault="0074266C" w:rsidP="0074266C">
      <w:pPr>
        <w:spacing w:line="240" w:lineRule="auto"/>
        <w:rPr>
          <w:i/>
          <w:iCs/>
        </w:rPr>
      </w:pPr>
      <w:r w:rsidRPr="0074266C">
        <w:rPr>
          <w:i/>
          <w:iCs/>
        </w:rPr>
        <w:t>Graph of Correlation</w:t>
      </w:r>
      <w:r>
        <w:rPr>
          <w:i/>
          <w:iCs/>
        </w:rPr>
        <w:t xml:space="preserve"> of between Consumer Debt </w:t>
      </w:r>
      <w:proofErr w:type="spellStart"/>
      <w:r>
        <w:rPr>
          <w:i/>
          <w:iCs/>
        </w:rPr>
        <w:t>Raio</w:t>
      </w:r>
      <w:proofErr w:type="spellEnd"/>
      <w:r>
        <w:rPr>
          <w:i/>
          <w:iCs/>
        </w:rPr>
        <w:t xml:space="preserve"> and Percentage of New </w:t>
      </w:r>
      <w:proofErr w:type="spellStart"/>
      <w:r>
        <w:rPr>
          <w:i/>
          <w:iCs/>
        </w:rPr>
        <w:t>Deliquencies</w:t>
      </w:r>
      <w:proofErr w:type="spellEnd"/>
      <w:r>
        <w:rPr>
          <w:i/>
          <w:iCs/>
        </w:rPr>
        <w:t xml:space="preserve"> in Credit Card. </w:t>
      </w:r>
    </w:p>
    <w:p w14:paraId="2C114C46" w14:textId="376CA4AD" w:rsidR="0074266C" w:rsidRDefault="0074266C" w:rsidP="0074266C">
      <w:pPr>
        <w:pStyle w:val="BodyText"/>
        <w:spacing w:before="4"/>
        <w:ind w:firstLine="720"/>
        <w:rPr>
          <w:noProof/>
          <w:sz w:val="24"/>
          <w:szCs w:val="24"/>
        </w:rPr>
      </w:pPr>
      <w:r>
        <w:rPr>
          <w:noProof/>
          <w:sz w:val="24"/>
          <w:szCs w:val="24"/>
        </w:rPr>
        <w:drawing>
          <wp:inline distT="0" distB="0" distL="0" distR="0" wp14:anchorId="366BB24D" wp14:editId="43995278">
            <wp:extent cx="5473700" cy="410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4395" cy="4113296"/>
                    </a:xfrm>
                    <a:prstGeom prst="rect">
                      <a:avLst/>
                    </a:prstGeom>
                    <a:noFill/>
                    <a:ln>
                      <a:noFill/>
                    </a:ln>
                  </pic:spPr>
                </pic:pic>
              </a:graphicData>
            </a:graphic>
          </wp:inline>
        </w:drawing>
      </w:r>
    </w:p>
    <w:p w14:paraId="5DF6518B" w14:textId="77777777" w:rsidR="0074266C" w:rsidRPr="0074266C" w:rsidRDefault="0074266C" w:rsidP="0074266C">
      <w:pPr>
        <w:pStyle w:val="BodyText"/>
        <w:spacing w:before="4"/>
        <w:ind w:firstLine="720"/>
        <w:rPr>
          <w:noProof/>
          <w:sz w:val="24"/>
          <w:szCs w:val="24"/>
        </w:rPr>
      </w:pPr>
    </w:p>
    <w:p w14:paraId="159ED356" w14:textId="77777777" w:rsidR="00D10161" w:rsidRDefault="00D10161" w:rsidP="00536D1B">
      <w:pPr>
        <w:spacing w:line="480" w:lineRule="auto"/>
        <w:ind w:firstLine="720"/>
      </w:pPr>
    </w:p>
    <w:p w14:paraId="020493F4" w14:textId="514AA218" w:rsidR="00D10161" w:rsidRDefault="001C303A" w:rsidP="00536D1B">
      <w:pPr>
        <w:spacing w:line="480" w:lineRule="auto"/>
        <w:ind w:firstLine="720"/>
      </w:pPr>
      <w:r>
        <w:t xml:space="preserve">Linear regression analysis established that </w:t>
      </w:r>
      <w:proofErr w:type="spellStart"/>
      <w:r>
        <w:t>CDS_ratio</w:t>
      </w:r>
      <w:proofErr w:type="spellEnd"/>
      <w:r w:rsidR="00D10161">
        <w:t xml:space="preserve"> could statistically significantly predict changes in percentages of new delinquencies in auto loans. The predictive equation would be -6.24042 + (2.2678 x Quarter) </w:t>
      </w:r>
    </w:p>
    <w:p w14:paraId="59510A3A" w14:textId="374C37C7" w:rsidR="00536D1B" w:rsidRDefault="001C303A" w:rsidP="00536D1B">
      <w:pPr>
        <w:spacing w:line="480" w:lineRule="auto"/>
        <w:ind w:firstLine="720"/>
      </w:pPr>
      <w:r>
        <w:t xml:space="preserve"> </w:t>
      </w:r>
      <w:r w:rsidR="00536D1B">
        <w:t xml:space="preserve">The regression analysis showed the following when reviewing CDS and </w:t>
      </w:r>
      <w:proofErr w:type="spellStart"/>
      <w:r w:rsidR="00536D1B">
        <w:t>new_del_cc_pe</w:t>
      </w:r>
      <w:r>
        <w:t>r</w:t>
      </w:r>
      <w:proofErr w:type="spellEnd"/>
      <w:r>
        <w:t>:</w:t>
      </w:r>
    </w:p>
    <w:p w14:paraId="17EB475C" w14:textId="77777777" w:rsidR="0074266C" w:rsidRDefault="0074266C" w:rsidP="00536D1B">
      <w:pPr>
        <w:spacing w:line="240" w:lineRule="auto"/>
        <w:rPr>
          <w:b/>
          <w:bCs/>
        </w:rPr>
      </w:pPr>
    </w:p>
    <w:p w14:paraId="63EEBE14" w14:textId="77777777" w:rsidR="0074266C" w:rsidRDefault="0074266C" w:rsidP="00536D1B">
      <w:pPr>
        <w:spacing w:line="240" w:lineRule="auto"/>
        <w:rPr>
          <w:b/>
          <w:bCs/>
        </w:rPr>
      </w:pPr>
    </w:p>
    <w:p w14:paraId="7015A720" w14:textId="77777777" w:rsidR="0074266C" w:rsidRDefault="0074266C" w:rsidP="00536D1B">
      <w:pPr>
        <w:spacing w:line="240" w:lineRule="auto"/>
        <w:rPr>
          <w:b/>
          <w:bCs/>
        </w:rPr>
      </w:pPr>
    </w:p>
    <w:p w14:paraId="29DFC279" w14:textId="77777777" w:rsidR="0074266C" w:rsidRDefault="0074266C" w:rsidP="00536D1B">
      <w:pPr>
        <w:spacing w:line="240" w:lineRule="auto"/>
        <w:rPr>
          <w:b/>
          <w:bCs/>
        </w:rPr>
      </w:pPr>
    </w:p>
    <w:p w14:paraId="5D0B6223" w14:textId="77777777" w:rsidR="0074266C" w:rsidRDefault="0074266C" w:rsidP="00536D1B">
      <w:pPr>
        <w:spacing w:line="240" w:lineRule="auto"/>
        <w:rPr>
          <w:b/>
          <w:bCs/>
        </w:rPr>
      </w:pPr>
    </w:p>
    <w:p w14:paraId="35B3CA8F" w14:textId="77777777" w:rsidR="0074266C" w:rsidRDefault="0074266C" w:rsidP="00536D1B">
      <w:pPr>
        <w:spacing w:line="240" w:lineRule="auto"/>
        <w:rPr>
          <w:b/>
          <w:bCs/>
        </w:rPr>
      </w:pPr>
    </w:p>
    <w:p w14:paraId="2C22D101" w14:textId="18C0C0DE" w:rsidR="00536D1B" w:rsidRDefault="00536D1B" w:rsidP="00536D1B">
      <w:pPr>
        <w:spacing w:line="240" w:lineRule="auto"/>
        <w:rPr>
          <w:b/>
          <w:bCs/>
        </w:rPr>
      </w:pPr>
      <w:r w:rsidRPr="00536D1B">
        <w:rPr>
          <w:b/>
          <w:bCs/>
        </w:rPr>
        <w:t xml:space="preserve">Table </w:t>
      </w:r>
      <w:r>
        <w:rPr>
          <w:b/>
          <w:bCs/>
        </w:rPr>
        <w:t>7, 8 and 9</w:t>
      </w:r>
    </w:p>
    <w:p w14:paraId="30995E35" w14:textId="23D162D1" w:rsidR="00536D1B" w:rsidRPr="00536D1B" w:rsidRDefault="00536D1B" w:rsidP="00536D1B">
      <w:pPr>
        <w:spacing w:line="240" w:lineRule="auto"/>
        <w:rPr>
          <w:i/>
          <w:iCs/>
        </w:rPr>
      </w:pPr>
      <w:r w:rsidRPr="00536D1B">
        <w:rPr>
          <w:i/>
          <w:iCs/>
        </w:rPr>
        <w:t>Regression Analysis</w:t>
      </w:r>
      <w:r w:rsidR="0074266C">
        <w:rPr>
          <w:i/>
          <w:iCs/>
        </w:rPr>
        <w:t xml:space="preserve"> Results</w:t>
      </w:r>
    </w:p>
    <w:tbl>
      <w:tblPr>
        <w:tblpPr w:leftFromText="180" w:rightFromText="180" w:vertAnchor="page" w:horzAnchor="margin" w:tblpY="3031"/>
        <w:tblW w:w="0" w:type="auto"/>
        <w:tblLayout w:type="fixed"/>
        <w:tblCellMar>
          <w:left w:w="0" w:type="dxa"/>
          <w:right w:w="0" w:type="dxa"/>
        </w:tblCellMar>
        <w:tblLook w:val="0000" w:firstRow="0" w:lastRow="0" w:firstColumn="0" w:lastColumn="0" w:noHBand="0" w:noVBand="0"/>
      </w:tblPr>
      <w:tblGrid>
        <w:gridCol w:w="1522"/>
        <w:gridCol w:w="450"/>
        <w:gridCol w:w="1022"/>
        <w:gridCol w:w="958"/>
        <w:gridCol w:w="810"/>
        <w:gridCol w:w="990"/>
      </w:tblGrid>
      <w:tr w:rsidR="00536D1B" w:rsidRPr="00536D1B" w14:paraId="382ED7F0" w14:textId="77777777" w:rsidTr="00F843F9">
        <w:trPr>
          <w:cantSplit/>
          <w:tblHeader/>
        </w:trPr>
        <w:tc>
          <w:tcPr>
            <w:tcW w:w="5752" w:type="dxa"/>
            <w:gridSpan w:val="6"/>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14:paraId="2A37C289" w14:textId="77777777" w:rsidR="00536D1B" w:rsidRPr="00536D1B" w:rsidRDefault="00536D1B" w:rsidP="00536D1B">
            <w:pPr>
              <w:keepNext/>
              <w:adjustRightInd w:val="0"/>
              <w:spacing w:before="60" w:after="60"/>
              <w:jc w:val="center"/>
              <w:rPr>
                <w:rFonts w:cstheme="minorHAnsi"/>
                <w:b/>
                <w:bCs/>
                <w:color w:val="000000"/>
              </w:rPr>
            </w:pPr>
            <w:r w:rsidRPr="00536D1B">
              <w:rPr>
                <w:rFonts w:cstheme="minorHAnsi"/>
                <w:b/>
                <w:bCs/>
                <w:color w:val="000000"/>
              </w:rPr>
              <w:t>Analysis of Variance</w:t>
            </w:r>
          </w:p>
        </w:tc>
      </w:tr>
      <w:tr w:rsidR="00F843F9" w:rsidRPr="00536D1B" w14:paraId="57901BD7" w14:textId="77777777" w:rsidTr="00F843F9">
        <w:trPr>
          <w:cantSplit/>
          <w:tblHeader/>
        </w:trPr>
        <w:tc>
          <w:tcPr>
            <w:tcW w:w="1522" w:type="dxa"/>
            <w:tcBorders>
              <w:top w:val="nil"/>
              <w:left w:val="single" w:sz="6" w:space="0" w:color="000000"/>
              <w:bottom w:val="single" w:sz="2" w:space="0" w:color="000000"/>
              <w:right w:val="nil"/>
            </w:tcBorders>
            <w:shd w:val="clear" w:color="auto" w:fill="auto"/>
            <w:tcMar>
              <w:left w:w="60" w:type="dxa"/>
              <w:right w:w="60" w:type="dxa"/>
            </w:tcMar>
            <w:vAlign w:val="bottom"/>
          </w:tcPr>
          <w:p w14:paraId="781EE7AD"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Source</w:t>
            </w:r>
          </w:p>
        </w:tc>
        <w:tc>
          <w:tcPr>
            <w:tcW w:w="450" w:type="dxa"/>
            <w:tcBorders>
              <w:top w:val="nil"/>
              <w:left w:val="single" w:sz="2" w:space="0" w:color="000000"/>
              <w:bottom w:val="single" w:sz="2" w:space="0" w:color="000000"/>
              <w:right w:val="nil"/>
            </w:tcBorders>
            <w:shd w:val="clear" w:color="auto" w:fill="auto"/>
            <w:tcMar>
              <w:left w:w="60" w:type="dxa"/>
              <w:right w:w="60" w:type="dxa"/>
            </w:tcMar>
            <w:vAlign w:val="bottom"/>
          </w:tcPr>
          <w:p w14:paraId="54AAE1B7" w14:textId="77777777" w:rsidR="00536D1B" w:rsidRPr="00536D1B" w:rsidRDefault="00536D1B" w:rsidP="00536D1B">
            <w:pPr>
              <w:keepNext/>
              <w:adjustRightInd w:val="0"/>
              <w:spacing w:before="60" w:after="60"/>
              <w:jc w:val="right"/>
              <w:rPr>
                <w:rFonts w:cstheme="minorHAnsi"/>
                <w:b/>
                <w:bCs/>
                <w:color w:val="000000"/>
              </w:rPr>
            </w:pPr>
            <w:r w:rsidRPr="00536D1B">
              <w:rPr>
                <w:rFonts w:cstheme="minorHAnsi"/>
                <w:b/>
                <w:bCs/>
                <w:color w:val="000000"/>
              </w:rPr>
              <w:t>DF</w:t>
            </w:r>
          </w:p>
        </w:tc>
        <w:tc>
          <w:tcPr>
            <w:tcW w:w="1022" w:type="dxa"/>
            <w:tcBorders>
              <w:top w:val="nil"/>
              <w:left w:val="single" w:sz="2" w:space="0" w:color="000000"/>
              <w:bottom w:val="single" w:sz="2" w:space="0" w:color="000000"/>
              <w:right w:val="nil"/>
            </w:tcBorders>
            <w:shd w:val="clear" w:color="auto" w:fill="auto"/>
            <w:tcMar>
              <w:left w:w="60" w:type="dxa"/>
              <w:right w:w="60" w:type="dxa"/>
            </w:tcMar>
            <w:vAlign w:val="bottom"/>
          </w:tcPr>
          <w:p w14:paraId="3AA20BB6" w14:textId="77777777" w:rsidR="00536D1B" w:rsidRPr="00536D1B" w:rsidRDefault="00536D1B" w:rsidP="00536D1B">
            <w:pPr>
              <w:keepNext/>
              <w:adjustRightInd w:val="0"/>
              <w:spacing w:before="60" w:after="60"/>
              <w:jc w:val="right"/>
              <w:rPr>
                <w:rFonts w:cstheme="minorHAnsi"/>
                <w:b/>
                <w:bCs/>
                <w:color w:val="000000"/>
              </w:rPr>
            </w:pPr>
            <w:r w:rsidRPr="00536D1B">
              <w:rPr>
                <w:rFonts w:cstheme="minorHAnsi"/>
                <w:b/>
                <w:bCs/>
                <w:color w:val="000000"/>
              </w:rPr>
              <w:t>Sum of</w:t>
            </w:r>
            <w:r w:rsidRPr="00536D1B">
              <w:rPr>
                <w:rFonts w:cstheme="minorHAnsi"/>
                <w:b/>
                <w:bCs/>
                <w:color w:val="000000"/>
              </w:rPr>
              <w:br/>
              <w:t>Squares</w:t>
            </w:r>
          </w:p>
        </w:tc>
        <w:tc>
          <w:tcPr>
            <w:tcW w:w="958" w:type="dxa"/>
            <w:tcBorders>
              <w:top w:val="nil"/>
              <w:left w:val="single" w:sz="2" w:space="0" w:color="000000"/>
              <w:bottom w:val="single" w:sz="2" w:space="0" w:color="000000"/>
              <w:right w:val="nil"/>
            </w:tcBorders>
            <w:shd w:val="clear" w:color="auto" w:fill="auto"/>
            <w:tcMar>
              <w:left w:w="60" w:type="dxa"/>
              <w:right w:w="60" w:type="dxa"/>
            </w:tcMar>
            <w:vAlign w:val="bottom"/>
          </w:tcPr>
          <w:p w14:paraId="75A823F9" w14:textId="77777777" w:rsidR="00536D1B" w:rsidRPr="00536D1B" w:rsidRDefault="00536D1B" w:rsidP="00536D1B">
            <w:pPr>
              <w:keepNext/>
              <w:adjustRightInd w:val="0"/>
              <w:spacing w:before="60" w:after="60"/>
              <w:jc w:val="right"/>
              <w:rPr>
                <w:rFonts w:cstheme="minorHAnsi"/>
                <w:b/>
                <w:bCs/>
                <w:color w:val="000000"/>
              </w:rPr>
            </w:pPr>
            <w:r w:rsidRPr="00536D1B">
              <w:rPr>
                <w:rFonts w:cstheme="minorHAnsi"/>
                <w:b/>
                <w:bCs/>
                <w:color w:val="000000"/>
              </w:rPr>
              <w:t>Mean</w:t>
            </w:r>
            <w:r w:rsidRPr="00536D1B">
              <w:rPr>
                <w:rFonts w:cstheme="minorHAnsi"/>
                <w:b/>
                <w:bCs/>
                <w:color w:val="000000"/>
              </w:rPr>
              <w:br/>
              <w:t>Square</w:t>
            </w:r>
          </w:p>
        </w:tc>
        <w:tc>
          <w:tcPr>
            <w:tcW w:w="810" w:type="dxa"/>
            <w:tcBorders>
              <w:top w:val="nil"/>
              <w:left w:val="single" w:sz="2" w:space="0" w:color="000000"/>
              <w:bottom w:val="single" w:sz="2" w:space="0" w:color="000000"/>
              <w:right w:val="nil"/>
            </w:tcBorders>
            <w:shd w:val="clear" w:color="auto" w:fill="auto"/>
            <w:tcMar>
              <w:left w:w="60" w:type="dxa"/>
              <w:right w:w="60" w:type="dxa"/>
            </w:tcMar>
            <w:vAlign w:val="bottom"/>
          </w:tcPr>
          <w:p w14:paraId="4E790603" w14:textId="77777777" w:rsidR="00536D1B" w:rsidRPr="00536D1B" w:rsidRDefault="00536D1B" w:rsidP="00536D1B">
            <w:pPr>
              <w:keepNext/>
              <w:adjustRightInd w:val="0"/>
              <w:spacing w:before="60" w:after="60"/>
              <w:jc w:val="right"/>
              <w:rPr>
                <w:rFonts w:cstheme="minorHAnsi"/>
                <w:b/>
                <w:bCs/>
                <w:color w:val="000000"/>
              </w:rPr>
            </w:pPr>
            <w:r w:rsidRPr="00536D1B">
              <w:rPr>
                <w:rFonts w:cstheme="minorHAnsi"/>
                <w:b/>
                <w:bCs/>
                <w:color w:val="000000"/>
              </w:rPr>
              <w:t>F Value</w:t>
            </w:r>
          </w:p>
        </w:tc>
        <w:tc>
          <w:tcPr>
            <w:tcW w:w="990"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14:paraId="13E872FD" w14:textId="77777777" w:rsidR="00536D1B" w:rsidRPr="00536D1B" w:rsidRDefault="00536D1B" w:rsidP="00536D1B">
            <w:pPr>
              <w:keepNext/>
              <w:adjustRightInd w:val="0"/>
              <w:spacing w:before="60" w:after="60"/>
              <w:jc w:val="right"/>
              <w:rPr>
                <w:rFonts w:cstheme="minorHAnsi"/>
                <w:b/>
                <w:bCs/>
                <w:color w:val="000000"/>
              </w:rPr>
            </w:pPr>
            <w:proofErr w:type="spellStart"/>
            <w:r w:rsidRPr="00536D1B">
              <w:rPr>
                <w:rFonts w:cstheme="minorHAnsi"/>
                <w:b/>
                <w:bCs/>
                <w:color w:val="000000"/>
              </w:rPr>
              <w:t>Pr</w:t>
            </w:r>
            <w:proofErr w:type="spellEnd"/>
            <w:r w:rsidRPr="00536D1B">
              <w:rPr>
                <w:rFonts w:cstheme="minorHAnsi"/>
                <w:b/>
                <w:bCs/>
                <w:color w:val="000000"/>
              </w:rPr>
              <w:t> &gt; F</w:t>
            </w:r>
          </w:p>
        </w:tc>
      </w:tr>
      <w:tr w:rsidR="00F843F9" w:rsidRPr="00536D1B" w14:paraId="168C0DBD" w14:textId="77777777" w:rsidTr="00F843F9">
        <w:trPr>
          <w:cantSplit/>
        </w:trPr>
        <w:tc>
          <w:tcPr>
            <w:tcW w:w="1522" w:type="dxa"/>
            <w:tcBorders>
              <w:top w:val="nil"/>
              <w:left w:val="single" w:sz="6" w:space="0" w:color="000000"/>
              <w:bottom w:val="single" w:sz="2" w:space="0" w:color="000000"/>
              <w:right w:val="nil"/>
            </w:tcBorders>
            <w:shd w:val="clear" w:color="auto" w:fill="auto"/>
            <w:tcMar>
              <w:left w:w="60" w:type="dxa"/>
              <w:right w:w="60" w:type="dxa"/>
            </w:tcMar>
          </w:tcPr>
          <w:p w14:paraId="4E88EF55"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Model</w:t>
            </w:r>
          </w:p>
        </w:tc>
        <w:tc>
          <w:tcPr>
            <w:tcW w:w="450" w:type="dxa"/>
            <w:tcBorders>
              <w:top w:val="nil"/>
              <w:left w:val="single" w:sz="2" w:space="0" w:color="000000"/>
              <w:bottom w:val="single" w:sz="2" w:space="0" w:color="000000"/>
              <w:right w:val="nil"/>
            </w:tcBorders>
            <w:shd w:val="clear" w:color="auto" w:fill="auto"/>
            <w:tcMar>
              <w:left w:w="60" w:type="dxa"/>
              <w:right w:w="60" w:type="dxa"/>
            </w:tcMar>
          </w:tcPr>
          <w:p w14:paraId="76525CC1"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14:paraId="50BD3FE3"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2.46087</w:t>
            </w:r>
          </w:p>
        </w:tc>
        <w:tc>
          <w:tcPr>
            <w:tcW w:w="958" w:type="dxa"/>
            <w:tcBorders>
              <w:top w:val="nil"/>
              <w:left w:val="single" w:sz="2" w:space="0" w:color="000000"/>
              <w:bottom w:val="single" w:sz="2" w:space="0" w:color="000000"/>
              <w:right w:val="nil"/>
            </w:tcBorders>
            <w:shd w:val="clear" w:color="auto" w:fill="auto"/>
            <w:tcMar>
              <w:left w:w="60" w:type="dxa"/>
              <w:right w:w="60" w:type="dxa"/>
            </w:tcMar>
          </w:tcPr>
          <w:p w14:paraId="0748D756"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2.46087</w:t>
            </w:r>
          </w:p>
        </w:tc>
        <w:tc>
          <w:tcPr>
            <w:tcW w:w="810" w:type="dxa"/>
            <w:tcBorders>
              <w:top w:val="nil"/>
              <w:left w:val="single" w:sz="2" w:space="0" w:color="000000"/>
              <w:bottom w:val="single" w:sz="2" w:space="0" w:color="000000"/>
              <w:right w:val="nil"/>
            </w:tcBorders>
            <w:shd w:val="clear" w:color="auto" w:fill="auto"/>
            <w:tcMar>
              <w:left w:w="60" w:type="dxa"/>
              <w:right w:w="60" w:type="dxa"/>
            </w:tcMar>
          </w:tcPr>
          <w:p w14:paraId="1079B8FD"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8.57</w:t>
            </w:r>
          </w:p>
        </w:tc>
        <w:tc>
          <w:tcPr>
            <w:tcW w:w="990"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28BA84F9"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0.0086</w:t>
            </w:r>
          </w:p>
        </w:tc>
      </w:tr>
      <w:tr w:rsidR="00F843F9" w:rsidRPr="00536D1B" w14:paraId="52CCA96A" w14:textId="77777777" w:rsidTr="00F843F9">
        <w:trPr>
          <w:cantSplit/>
        </w:trPr>
        <w:tc>
          <w:tcPr>
            <w:tcW w:w="1522" w:type="dxa"/>
            <w:tcBorders>
              <w:top w:val="nil"/>
              <w:left w:val="single" w:sz="6" w:space="0" w:color="000000"/>
              <w:bottom w:val="single" w:sz="2" w:space="0" w:color="000000"/>
              <w:right w:val="nil"/>
            </w:tcBorders>
            <w:shd w:val="clear" w:color="auto" w:fill="auto"/>
            <w:tcMar>
              <w:left w:w="60" w:type="dxa"/>
              <w:right w:w="60" w:type="dxa"/>
            </w:tcMar>
          </w:tcPr>
          <w:p w14:paraId="15F7D7DD"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Error</w:t>
            </w:r>
          </w:p>
        </w:tc>
        <w:tc>
          <w:tcPr>
            <w:tcW w:w="450" w:type="dxa"/>
            <w:tcBorders>
              <w:top w:val="nil"/>
              <w:left w:val="single" w:sz="2" w:space="0" w:color="000000"/>
              <w:bottom w:val="single" w:sz="2" w:space="0" w:color="000000"/>
              <w:right w:val="nil"/>
            </w:tcBorders>
            <w:shd w:val="clear" w:color="auto" w:fill="auto"/>
            <w:tcMar>
              <w:left w:w="60" w:type="dxa"/>
              <w:right w:w="60" w:type="dxa"/>
            </w:tcMar>
          </w:tcPr>
          <w:p w14:paraId="602108B5"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19</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14:paraId="6E57F645"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5.45576</w:t>
            </w:r>
          </w:p>
        </w:tc>
        <w:tc>
          <w:tcPr>
            <w:tcW w:w="958" w:type="dxa"/>
            <w:tcBorders>
              <w:top w:val="nil"/>
              <w:left w:val="single" w:sz="2" w:space="0" w:color="000000"/>
              <w:bottom w:val="single" w:sz="2" w:space="0" w:color="000000"/>
              <w:right w:val="nil"/>
            </w:tcBorders>
            <w:shd w:val="clear" w:color="auto" w:fill="auto"/>
            <w:tcMar>
              <w:left w:w="60" w:type="dxa"/>
              <w:right w:w="60" w:type="dxa"/>
            </w:tcMar>
          </w:tcPr>
          <w:p w14:paraId="3F8FB232"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0.28715</w:t>
            </w:r>
          </w:p>
        </w:tc>
        <w:tc>
          <w:tcPr>
            <w:tcW w:w="810" w:type="dxa"/>
            <w:tcBorders>
              <w:top w:val="nil"/>
              <w:left w:val="single" w:sz="2" w:space="0" w:color="000000"/>
              <w:bottom w:val="single" w:sz="2" w:space="0" w:color="000000"/>
              <w:right w:val="nil"/>
            </w:tcBorders>
            <w:shd w:val="clear" w:color="auto" w:fill="auto"/>
            <w:tcMar>
              <w:left w:w="60" w:type="dxa"/>
              <w:right w:w="60" w:type="dxa"/>
            </w:tcMar>
          </w:tcPr>
          <w:p w14:paraId="06B40F32" w14:textId="77777777" w:rsidR="00536D1B" w:rsidRPr="00536D1B" w:rsidRDefault="00536D1B" w:rsidP="00536D1B">
            <w:pPr>
              <w:keepNext/>
              <w:adjustRightInd w:val="0"/>
              <w:spacing w:before="60" w:after="60"/>
              <w:jc w:val="right"/>
              <w:rPr>
                <w:rFonts w:cstheme="minorHAnsi"/>
                <w:color w:val="000000"/>
              </w:rPr>
            </w:pPr>
          </w:p>
        </w:tc>
        <w:tc>
          <w:tcPr>
            <w:tcW w:w="990"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44B79B46" w14:textId="77777777" w:rsidR="00536D1B" w:rsidRPr="00536D1B" w:rsidRDefault="00536D1B" w:rsidP="00536D1B">
            <w:pPr>
              <w:keepNext/>
              <w:adjustRightInd w:val="0"/>
              <w:spacing w:before="60" w:after="60"/>
              <w:jc w:val="right"/>
              <w:rPr>
                <w:rFonts w:cstheme="minorHAnsi"/>
                <w:color w:val="000000"/>
              </w:rPr>
            </w:pPr>
          </w:p>
        </w:tc>
      </w:tr>
      <w:tr w:rsidR="00F843F9" w:rsidRPr="00536D1B" w14:paraId="52B41B3E" w14:textId="77777777" w:rsidTr="00F843F9">
        <w:trPr>
          <w:cantSplit/>
        </w:trPr>
        <w:tc>
          <w:tcPr>
            <w:tcW w:w="1522" w:type="dxa"/>
            <w:tcBorders>
              <w:top w:val="nil"/>
              <w:left w:val="single" w:sz="6" w:space="0" w:color="000000"/>
              <w:bottom w:val="single" w:sz="6" w:space="0" w:color="000000"/>
              <w:right w:val="nil"/>
            </w:tcBorders>
            <w:shd w:val="clear" w:color="auto" w:fill="auto"/>
            <w:tcMar>
              <w:left w:w="60" w:type="dxa"/>
              <w:right w:w="60" w:type="dxa"/>
            </w:tcMar>
          </w:tcPr>
          <w:p w14:paraId="108C314F"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Corrected Total</w:t>
            </w:r>
          </w:p>
        </w:tc>
        <w:tc>
          <w:tcPr>
            <w:tcW w:w="450" w:type="dxa"/>
            <w:tcBorders>
              <w:top w:val="nil"/>
              <w:left w:val="single" w:sz="2" w:space="0" w:color="000000"/>
              <w:bottom w:val="single" w:sz="6" w:space="0" w:color="000000"/>
              <w:right w:val="nil"/>
            </w:tcBorders>
            <w:shd w:val="clear" w:color="auto" w:fill="auto"/>
            <w:tcMar>
              <w:left w:w="60" w:type="dxa"/>
              <w:right w:w="60" w:type="dxa"/>
            </w:tcMar>
          </w:tcPr>
          <w:p w14:paraId="6D4C6974"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20</w:t>
            </w:r>
          </w:p>
        </w:tc>
        <w:tc>
          <w:tcPr>
            <w:tcW w:w="1022" w:type="dxa"/>
            <w:tcBorders>
              <w:top w:val="nil"/>
              <w:left w:val="single" w:sz="2" w:space="0" w:color="000000"/>
              <w:bottom w:val="single" w:sz="6" w:space="0" w:color="000000"/>
              <w:right w:val="nil"/>
            </w:tcBorders>
            <w:shd w:val="clear" w:color="auto" w:fill="auto"/>
            <w:tcMar>
              <w:left w:w="60" w:type="dxa"/>
              <w:right w:w="60" w:type="dxa"/>
            </w:tcMar>
          </w:tcPr>
          <w:p w14:paraId="27768B77"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7.91663</w:t>
            </w:r>
          </w:p>
        </w:tc>
        <w:tc>
          <w:tcPr>
            <w:tcW w:w="958" w:type="dxa"/>
            <w:tcBorders>
              <w:top w:val="nil"/>
              <w:left w:val="single" w:sz="2" w:space="0" w:color="000000"/>
              <w:bottom w:val="single" w:sz="6" w:space="0" w:color="000000"/>
              <w:right w:val="nil"/>
            </w:tcBorders>
            <w:shd w:val="clear" w:color="auto" w:fill="auto"/>
            <w:tcMar>
              <w:left w:w="60" w:type="dxa"/>
              <w:right w:w="60" w:type="dxa"/>
            </w:tcMar>
          </w:tcPr>
          <w:p w14:paraId="09D125AE" w14:textId="77777777" w:rsidR="00536D1B" w:rsidRPr="00536D1B" w:rsidRDefault="00536D1B" w:rsidP="00536D1B">
            <w:pPr>
              <w:keepNext/>
              <w:adjustRightInd w:val="0"/>
              <w:spacing w:before="60" w:after="60"/>
              <w:jc w:val="right"/>
              <w:rPr>
                <w:rFonts w:cstheme="minorHAnsi"/>
                <w:color w:val="000000"/>
              </w:rPr>
            </w:pPr>
          </w:p>
        </w:tc>
        <w:tc>
          <w:tcPr>
            <w:tcW w:w="810" w:type="dxa"/>
            <w:tcBorders>
              <w:top w:val="nil"/>
              <w:left w:val="single" w:sz="2" w:space="0" w:color="000000"/>
              <w:bottom w:val="single" w:sz="6" w:space="0" w:color="000000"/>
              <w:right w:val="nil"/>
            </w:tcBorders>
            <w:shd w:val="clear" w:color="auto" w:fill="auto"/>
            <w:tcMar>
              <w:left w:w="60" w:type="dxa"/>
              <w:right w:w="60" w:type="dxa"/>
            </w:tcMar>
          </w:tcPr>
          <w:p w14:paraId="379F48B2" w14:textId="77777777" w:rsidR="00536D1B" w:rsidRPr="00536D1B" w:rsidRDefault="00536D1B" w:rsidP="00536D1B">
            <w:pPr>
              <w:keepNext/>
              <w:adjustRightInd w:val="0"/>
              <w:spacing w:before="60" w:after="60"/>
              <w:jc w:val="right"/>
              <w:rPr>
                <w:rFonts w:cstheme="minorHAnsi"/>
                <w:color w:val="000000"/>
              </w:rPr>
            </w:pPr>
          </w:p>
        </w:tc>
        <w:tc>
          <w:tcPr>
            <w:tcW w:w="990" w:type="dxa"/>
            <w:tcBorders>
              <w:top w:val="nil"/>
              <w:left w:val="single" w:sz="2" w:space="0" w:color="000000"/>
              <w:bottom w:val="single" w:sz="6" w:space="0" w:color="000000"/>
              <w:right w:val="single" w:sz="6" w:space="0" w:color="000000"/>
            </w:tcBorders>
            <w:shd w:val="clear" w:color="auto" w:fill="auto"/>
            <w:tcMar>
              <w:left w:w="60" w:type="dxa"/>
              <w:right w:w="60" w:type="dxa"/>
            </w:tcMar>
          </w:tcPr>
          <w:p w14:paraId="74B4AF40" w14:textId="77777777" w:rsidR="00536D1B" w:rsidRPr="00536D1B" w:rsidRDefault="00536D1B" w:rsidP="00536D1B">
            <w:pPr>
              <w:keepNext/>
              <w:adjustRightInd w:val="0"/>
              <w:spacing w:before="60" w:after="60"/>
              <w:jc w:val="right"/>
              <w:rPr>
                <w:rFonts w:cstheme="minorHAnsi"/>
                <w:color w:val="000000"/>
              </w:rPr>
            </w:pPr>
          </w:p>
        </w:tc>
      </w:tr>
    </w:tbl>
    <w:p w14:paraId="3742FD72" w14:textId="5659A2D9" w:rsidR="00536D1B" w:rsidRDefault="00536D1B" w:rsidP="00536D1B">
      <w:pPr>
        <w:spacing w:line="480" w:lineRule="auto"/>
        <w:ind w:firstLine="720"/>
      </w:pPr>
    </w:p>
    <w:p w14:paraId="47C94077" w14:textId="0EBAE2B6" w:rsidR="00536D1B" w:rsidRPr="00536D1B" w:rsidRDefault="00536D1B" w:rsidP="00536D1B"/>
    <w:p w14:paraId="32980C8D" w14:textId="0E264C0D" w:rsidR="00536D1B" w:rsidRDefault="00536D1B" w:rsidP="00536D1B"/>
    <w:p w14:paraId="6E40457E" w14:textId="589A630E" w:rsidR="00536D1B" w:rsidRDefault="00536D1B" w:rsidP="00536D1B">
      <w:pPr>
        <w:ind w:firstLine="720"/>
      </w:pPr>
    </w:p>
    <w:p w14:paraId="35D6FAB6" w14:textId="135CDDCE" w:rsidR="00536D1B" w:rsidRDefault="00536D1B" w:rsidP="00536D1B">
      <w:pPr>
        <w:ind w:firstLine="720"/>
      </w:pPr>
    </w:p>
    <w:tbl>
      <w:tblPr>
        <w:tblpPr w:leftFromText="180" w:rightFromText="180" w:vertAnchor="text" w:horzAnchor="margin" w:tblpY="1244"/>
        <w:tblW w:w="0" w:type="auto"/>
        <w:tblLayout w:type="fixed"/>
        <w:tblCellMar>
          <w:left w:w="0" w:type="dxa"/>
          <w:right w:w="0" w:type="dxa"/>
        </w:tblCellMar>
        <w:tblLook w:val="0000" w:firstRow="0" w:lastRow="0" w:firstColumn="0" w:lastColumn="0" w:noHBand="0" w:noVBand="0"/>
      </w:tblPr>
      <w:tblGrid>
        <w:gridCol w:w="1792"/>
        <w:gridCol w:w="900"/>
        <w:gridCol w:w="1158"/>
        <w:gridCol w:w="822"/>
      </w:tblGrid>
      <w:tr w:rsidR="00536D1B" w:rsidRPr="00536D1B" w14:paraId="32131C9C" w14:textId="77777777" w:rsidTr="00536D1B">
        <w:trPr>
          <w:cantSplit/>
        </w:trPr>
        <w:tc>
          <w:tcPr>
            <w:tcW w:w="1792" w:type="dxa"/>
            <w:tcBorders>
              <w:top w:val="single" w:sz="6" w:space="0" w:color="000000"/>
              <w:left w:val="single" w:sz="6" w:space="0" w:color="000000"/>
              <w:bottom w:val="single" w:sz="2" w:space="0" w:color="000000"/>
              <w:right w:val="nil"/>
            </w:tcBorders>
            <w:shd w:val="clear" w:color="auto" w:fill="auto"/>
            <w:tcMar>
              <w:left w:w="60" w:type="dxa"/>
              <w:right w:w="60" w:type="dxa"/>
            </w:tcMar>
          </w:tcPr>
          <w:p w14:paraId="10550A83"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 xml:space="preserve">Root </w:t>
            </w:r>
            <w:proofErr w:type="spellStart"/>
            <w:r w:rsidRPr="00536D1B">
              <w:rPr>
                <w:rFonts w:cstheme="minorHAnsi"/>
                <w:b/>
                <w:bCs/>
                <w:color w:val="000000"/>
              </w:rPr>
              <w:t>MSE</w:t>
            </w:r>
            <w:proofErr w:type="spellEnd"/>
          </w:p>
        </w:tc>
        <w:tc>
          <w:tcPr>
            <w:tcW w:w="900" w:type="dxa"/>
            <w:tcBorders>
              <w:top w:val="single" w:sz="6" w:space="0" w:color="000000"/>
              <w:left w:val="single" w:sz="2" w:space="0" w:color="000000"/>
              <w:bottom w:val="single" w:sz="2" w:space="0" w:color="000000"/>
              <w:right w:val="nil"/>
            </w:tcBorders>
            <w:shd w:val="clear" w:color="auto" w:fill="auto"/>
            <w:tcMar>
              <w:left w:w="60" w:type="dxa"/>
              <w:right w:w="60" w:type="dxa"/>
            </w:tcMar>
          </w:tcPr>
          <w:p w14:paraId="2980F92A"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0.53586</w:t>
            </w:r>
          </w:p>
        </w:tc>
        <w:tc>
          <w:tcPr>
            <w:tcW w:w="1158" w:type="dxa"/>
            <w:tcBorders>
              <w:top w:val="single" w:sz="6" w:space="0" w:color="000000"/>
              <w:left w:val="single" w:sz="2" w:space="0" w:color="000000"/>
              <w:bottom w:val="single" w:sz="2" w:space="0" w:color="000000"/>
              <w:right w:val="nil"/>
            </w:tcBorders>
            <w:shd w:val="clear" w:color="auto" w:fill="auto"/>
            <w:tcMar>
              <w:left w:w="60" w:type="dxa"/>
              <w:right w:w="60" w:type="dxa"/>
            </w:tcMar>
          </w:tcPr>
          <w:p w14:paraId="53E3953A"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R-Square</w:t>
            </w:r>
          </w:p>
        </w:tc>
        <w:tc>
          <w:tcPr>
            <w:tcW w:w="822"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tcPr>
          <w:p w14:paraId="5CE0AB29"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0.3108</w:t>
            </w:r>
          </w:p>
        </w:tc>
      </w:tr>
      <w:tr w:rsidR="00536D1B" w:rsidRPr="00536D1B" w14:paraId="76AEA074" w14:textId="77777777" w:rsidTr="00536D1B">
        <w:trPr>
          <w:cantSplit/>
        </w:trPr>
        <w:tc>
          <w:tcPr>
            <w:tcW w:w="1792" w:type="dxa"/>
            <w:tcBorders>
              <w:top w:val="nil"/>
              <w:left w:val="single" w:sz="6" w:space="0" w:color="000000"/>
              <w:bottom w:val="single" w:sz="2" w:space="0" w:color="000000"/>
              <w:right w:val="nil"/>
            </w:tcBorders>
            <w:shd w:val="clear" w:color="auto" w:fill="auto"/>
            <w:tcMar>
              <w:left w:w="60" w:type="dxa"/>
              <w:right w:w="60" w:type="dxa"/>
            </w:tcMar>
          </w:tcPr>
          <w:p w14:paraId="223D68E9"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Dependent Mean</w:t>
            </w:r>
          </w:p>
        </w:tc>
        <w:tc>
          <w:tcPr>
            <w:tcW w:w="900" w:type="dxa"/>
            <w:tcBorders>
              <w:top w:val="nil"/>
              <w:left w:val="single" w:sz="2" w:space="0" w:color="000000"/>
              <w:bottom w:val="single" w:sz="2" w:space="0" w:color="000000"/>
              <w:right w:val="nil"/>
            </w:tcBorders>
            <w:shd w:val="clear" w:color="auto" w:fill="auto"/>
            <w:tcMar>
              <w:left w:w="60" w:type="dxa"/>
              <w:right w:w="60" w:type="dxa"/>
            </w:tcMar>
          </w:tcPr>
          <w:p w14:paraId="28EE7D20"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6.11116</w:t>
            </w:r>
          </w:p>
        </w:tc>
        <w:tc>
          <w:tcPr>
            <w:tcW w:w="1158" w:type="dxa"/>
            <w:tcBorders>
              <w:top w:val="nil"/>
              <w:left w:val="single" w:sz="2" w:space="0" w:color="000000"/>
              <w:bottom w:val="single" w:sz="2" w:space="0" w:color="000000"/>
              <w:right w:val="nil"/>
            </w:tcBorders>
            <w:shd w:val="clear" w:color="auto" w:fill="auto"/>
            <w:tcMar>
              <w:left w:w="60" w:type="dxa"/>
              <w:right w:w="60" w:type="dxa"/>
            </w:tcMar>
          </w:tcPr>
          <w:p w14:paraId="6042FD3B" w14:textId="77777777" w:rsidR="00536D1B" w:rsidRPr="00536D1B" w:rsidRDefault="00536D1B" w:rsidP="00536D1B">
            <w:pPr>
              <w:keepNext/>
              <w:adjustRightInd w:val="0"/>
              <w:spacing w:before="60" w:after="60"/>
              <w:rPr>
                <w:rFonts w:cstheme="minorHAnsi"/>
                <w:b/>
                <w:bCs/>
                <w:color w:val="000000"/>
              </w:rPr>
            </w:pPr>
            <w:r w:rsidRPr="00536D1B">
              <w:rPr>
                <w:rFonts w:cstheme="minorHAnsi"/>
                <w:b/>
                <w:bCs/>
                <w:color w:val="000000"/>
              </w:rPr>
              <w:t>Adj R-Sq</w:t>
            </w:r>
          </w:p>
        </w:tc>
        <w:tc>
          <w:tcPr>
            <w:tcW w:w="822"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04F99AA7" w14:textId="77777777" w:rsidR="00536D1B" w:rsidRPr="00536D1B" w:rsidRDefault="00536D1B" w:rsidP="00536D1B">
            <w:pPr>
              <w:keepNext/>
              <w:adjustRightInd w:val="0"/>
              <w:spacing w:before="60" w:after="60"/>
              <w:jc w:val="right"/>
              <w:rPr>
                <w:rFonts w:cstheme="minorHAnsi"/>
                <w:color w:val="000000"/>
              </w:rPr>
            </w:pPr>
            <w:r w:rsidRPr="00536D1B">
              <w:rPr>
                <w:rFonts w:cstheme="minorHAnsi"/>
                <w:color w:val="000000"/>
              </w:rPr>
              <w:t>0.2746</w:t>
            </w:r>
          </w:p>
        </w:tc>
      </w:tr>
      <w:tr w:rsidR="00536D1B" w:rsidRPr="00536D1B" w14:paraId="51F01A00" w14:textId="77777777" w:rsidTr="00536D1B">
        <w:trPr>
          <w:cantSplit/>
        </w:trPr>
        <w:tc>
          <w:tcPr>
            <w:tcW w:w="1792" w:type="dxa"/>
            <w:tcBorders>
              <w:top w:val="nil"/>
              <w:left w:val="single" w:sz="6" w:space="0" w:color="000000"/>
              <w:bottom w:val="single" w:sz="6" w:space="0" w:color="000000"/>
              <w:right w:val="nil"/>
            </w:tcBorders>
            <w:shd w:val="clear" w:color="auto" w:fill="auto"/>
            <w:tcMar>
              <w:left w:w="60" w:type="dxa"/>
              <w:right w:w="60" w:type="dxa"/>
            </w:tcMar>
          </w:tcPr>
          <w:p w14:paraId="244E6D4A" w14:textId="77777777" w:rsidR="00536D1B" w:rsidRPr="00536D1B" w:rsidRDefault="00536D1B" w:rsidP="00536D1B">
            <w:pPr>
              <w:adjustRightInd w:val="0"/>
              <w:spacing w:before="60" w:after="60"/>
              <w:rPr>
                <w:rFonts w:cstheme="minorHAnsi"/>
                <w:b/>
                <w:bCs/>
                <w:color w:val="000000"/>
              </w:rPr>
            </w:pPr>
            <w:r w:rsidRPr="00536D1B">
              <w:rPr>
                <w:rFonts w:cstheme="minorHAnsi"/>
                <w:b/>
                <w:bCs/>
                <w:color w:val="000000"/>
              </w:rPr>
              <w:t>Coeff Var</w:t>
            </w:r>
          </w:p>
        </w:tc>
        <w:tc>
          <w:tcPr>
            <w:tcW w:w="900" w:type="dxa"/>
            <w:tcBorders>
              <w:top w:val="nil"/>
              <w:left w:val="single" w:sz="2" w:space="0" w:color="000000"/>
              <w:bottom w:val="single" w:sz="6" w:space="0" w:color="000000"/>
              <w:right w:val="nil"/>
            </w:tcBorders>
            <w:shd w:val="clear" w:color="auto" w:fill="auto"/>
            <w:tcMar>
              <w:left w:w="60" w:type="dxa"/>
              <w:right w:w="60" w:type="dxa"/>
            </w:tcMar>
          </w:tcPr>
          <w:p w14:paraId="6FC38021" w14:textId="77777777" w:rsidR="00536D1B" w:rsidRPr="00536D1B" w:rsidRDefault="00536D1B" w:rsidP="00536D1B">
            <w:pPr>
              <w:adjustRightInd w:val="0"/>
              <w:spacing w:before="60" w:after="60"/>
              <w:jc w:val="right"/>
              <w:rPr>
                <w:rFonts w:cstheme="minorHAnsi"/>
                <w:color w:val="000000"/>
              </w:rPr>
            </w:pPr>
            <w:r w:rsidRPr="00536D1B">
              <w:rPr>
                <w:rFonts w:cstheme="minorHAnsi"/>
                <w:color w:val="000000"/>
              </w:rPr>
              <w:t>8.76854</w:t>
            </w:r>
          </w:p>
        </w:tc>
        <w:tc>
          <w:tcPr>
            <w:tcW w:w="1158" w:type="dxa"/>
            <w:tcBorders>
              <w:top w:val="nil"/>
              <w:left w:val="single" w:sz="2" w:space="0" w:color="000000"/>
              <w:bottom w:val="single" w:sz="6" w:space="0" w:color="000000"/>
              <w:right w:val="nil"/>
            </w:tcBorders>
            <w:shd w:val="clear" w:color="auto" w:fill="auto"/>
            <w:tcMar>
              <w:left w:w="60" w:type="dxa"/>
              <w:right w:w="60" w:type="dxa"/>
            </w:tcMar>
          </w:tcPr>
          <w:p w14:paraId="3A17606F" w14:textId="77777777" w:rsidR="00536D1B" w:rsidRPr="00536D1B" w:rsidRDefault="00536D1B" w:rsidP="00536D1B">
            <w:pPr>
              <w:adjustRightInd w:val="0"/>
              <w:spacing w:before="60" w:after="60"/>
              <w:rPr>
                <w:rFonts w:cstheme="minorHAnsi"/>
                <w:b/>
                <w:bCs/>
                <w:color w:val="000000"/>
              </w:rPr>
            </w:pPr>
          </w:p>
        </w:tc>
        <w:tc>
          <w:tcPr>
            <w:tcW w:w="822" w:type="dxa"/>
            <w:tcBorders>
              <w:top w:val="nil"/>
              <w:left w:val="single" w:sz="2" w:space="0" w:color="000000"/>
              <w:bottom w:val="single" w:sz="6" w:space="0" w:color="000000"/>
              <w:right w:val="single" w:sz="6" w:space="0" w:color="000000"/>
            </w:tcBorders>
            <w:shd w:val="clear" w:color="auto" w:fill="auto"/>
            <w:tcMar>
              <w:left w:w="60" w:type="dxa"/>
              <w:right w:w="60" w:type="dxa"/>
            </w:tcMar>
          </w:tcPr>
          <w:p w14:paraId="2DDB5246" w14:textId="77777777" w:rsidR="00536D1B" w:rsidRPr="00536D1B" w:rsidRDefault="00536D1B" w:rsidP="00536D1B">
            <w:pPr>
              <w:adjustRightInd w:val="0"/>
              <w:spacing w:before="60" w:after="60"/>
              <w:jc w:val="right"/>
              <w:rPr>
                <w:rFonts w:cstheme="minorHAnsi"/>
                <w:color w:val="000000"/>
              </w:rPr>
            </w:pPr>
          </w:p>
        </w:tc>
      </w:tr>
    </w:tbl>
    <w:p w14:paraId="6CB5D876" w14:textId="173E22A7" w:rsidR="00536D1B" w:rsidRDefault="00536D1B" w:rsidP="00536D1B">
      <w:pPr>
        <w:ind w:firstLine="720"/>
      </w:pPr>
    </w:p>
    <w:p w14:paraId="45C416D7" w14:textId="0EAD1C76" w:rsidR="00536D1B" w:rsidRDefault="00536D1B" w:rsidP="00536D1B">
      <w:pPr>
        <w:ind w:firstLine="720"/>
      </w:pPr>
    </w:p>
    <w:p w14:paraId="222992FE" w14:textId="2FF8CFA0" w:rsidR="00536D1B" w:rsidRDefault="00536D1B" w:rsidP="00536D1B">
      <w:pPr>
        <w:ind w:firstLine="720"/>
      </w:pPr>
    </w:p>
    <w:p w14:paraId="7741ED30" w14:textId="37352FE4" w:rsidR="00536D1B" w:rsidRDefault="00536D1B" w:rsidP="00536D1B">
      <w:pPr>
        <w:ind w:firstLine="720"/>
      </w:pPr>
    </w:p>
    <w:p w14:paraId="0E7B1593" w14:textId="77777777" w:rsidR="00536D1B" w:rsidRDefault="00536D1B" w:rsidP="00536D1B">
      <w:pPr>
        <w:ind w:firstLine="720"/>
      </w:pPr>
    </w:p>
    <w:p w14:paraId="257EB75B" w14:textId="03225249" w:rsidR="00536D1B" w:rsidRDefault="00536D1B" w:rsidP="00536D1B">
      <w:pPr>
        <w:ind w:firstLine="720"/>
      </w:pPr>
    </w:p>
    <w:p w14:paraId="56BB7DA7" w14:textId="77777777" w:rsidR="00536D1B" w:rsidRDefault="00536D1B" w:rsidP="00536D1B">
      <w:pPr>
        <w:ind w:firstLine="720"/>
      </w:pPr>
    </w:p>
    <w:tbl>
      <w:tblPr>
        <w:tblW w:w="0" w:type="auto"/>
        <w:tblInd w:w="-8" w:type="dxa"/>
        <w:tblLayout w:type="fixed"/>
        <w:tblCellMar>
          <w:left w:w="0" w:type="dxa"/>
          <w:right w:w="0" w:type="dxa"/>
        </w:tblCellMar>
        <w:tblLook w:val="0000" w:firstRow="0" w:lastRow="0" w:firstColumn="0" w:lastColumn="0" w:noHBand="0" w:noVBand="0"/>
      </w:tblPr>
      <w:tblGrid>
        <w:gridCol w:w="1431"/>
        <w:gridCol w:w="1247"/>
        <w:gridCol w:w="424"/>
        <w:gridCol w:w="1146"/>
        <w:gridCol w:w="1023"/>
        <w:gridCol w:w="815"/>
        <w:gridCol w:w="1114"/>
      </w:tblGrid>
      <w:tr w:rsidR="00536D1B" w:rsidRPr="00536D1B" w14:paraId="7F87C1F5" w14:textId="77777777" w:rsidTr="00536D1B">
        <w:trPr>
          <w:cantSplit/>
          <w:tblHeader/>
        </w:trPr>
        <w:tc>
          <w:tcPr>
            <w:tcW w:w="7200" w:type="dxa"/>
            <w:gridSpan w:val="7"/>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14:paraId="3AAC500C" w14:textId="77777777" w:rsidR="00536D1B" w:rsidRPr="00536D1B" w:rsidRDefault="00536D1B" w:rsidP="00AC4476">
            <w:pPr>
              <w:keepNext/>
              <w:adjustRightInd w:val="0"/>
              <w:spacing w:before="60" w:after="60"/>
              <w:jc w:val="center"/>
              <w:rPr>
                <w:rFonts w:cstheme="minorHAnsi"/>
                <w:b/>
                <w:bCs/>
                <w:color w:val="000000"/>
              </w:rPr>
            </w:pPr>
            <w:r w:rsidRPr="00536D1B">
              <w:rPr>
                <w:rFonts w:cstheme="minorHAnsi"/>
                <w:b/>
                <w:bCs/>
                <w:color w:val="000000"/>
              </w:rPr>
              <w:t>Parameter Estimates</w:t>
            </w:r>
          </w:p>
        </w:tc>
      </w:tr>
      <w:tr w:rsidR="00536D1B" w:rsidRPr="00536D1B" w14:paraId="067ACB02" w14:textId="77777777" w:rsidTr="00536D1B">
        <w:trPr>
          <w:cantSplit/>
          <w:tblHeader/>
        </w:trPr>
        <w:tc>
          <w:tcPr>
            <w:tcW w:w="1431" w:type="dxa"/>
            <w:tcBorders>
              <w:top w:val="nil"/>
              <w:left w:val="single" w:sz="6" w:space="0" w:color="000000"/>
              <w:bottom w:val="single" w:sz="2" w:space="0" w:color="000000"/>
              <w:right w:val="nil"/>
            </w:tcBorders>
            <w:shd w:val="clear" w:color="auto" w:fill="auto"/>
            <w:tcMar>
              <w:left w:w="60" w:type="dxa"/>
              <w:right w:w="60" w:type="dxa"/>
            </w:tcMar>
            <w:vAlign w:val="bottom"/>
          </w:tcPr>
          <w:p w14:paraId="1628DFE6" w14:textId="77777777" w:rsidR="00536D1B" w:rsidRPr="00536D1B" w:rsidRDefault="00536D1B" w:rsidP="00AC4476">
            <w:pPr>
              <w:keepNext/>
              <w:adjustRightInd w:val="0"/>
              <w:spacing w:before="60" w:after="60"/>
              <w:rPr>
                <w:rFonts w:cstheme="minorHAnsi"/>
                <w:b/>
                <w:bCs/>
                <w:color w:val="000000"/>
              </w:rPr>
            </w:pPr>
            <w:r w:rsidRPr="00536D1B">
              <w:rPr>
                <w:rFonts w:cstheme="minorHAnsi"/>
                <w:b/>
                <w:bCs/>
                <w:color w:val="000000"/>
              </w:rPr>
              <w:t>Variable</w:t>
            </w:r>
          </w:p>
        </w:tc>
        <w:tc>
          <w:tcPr>
            <w:tcW w:w="1247" w:type="dxa"/>
            <w:tcBorders>
              <w:top w:val="nil"/>
              <w:left w:val="single" w:sz="2" w:space="0" w:color="000000"/>
              <w:bottom w:val="single" w:sz="2" w:space="0" w:color="000000"/>
              <w:right w:val="nil"/>
            </w:tcBorders>
            <w:shd w:val="clear" w:color="auto" w:fill="auto"/>
            <w:tcMar>
              <w:left w:w="60" w:type="dxa"/>
              <w:right w:w="60" w:type="dxa"/>
            </w:tcMar>
            <w:vAlign w:val="bottom"/>
          </w:tcPr>
          <w:p w14:paraId="392232D4" w14:textId="77777777" w:rsidR="00536D1B" w:rsidRPr="00536D1B" w:rsidRDefault="00536D1B" w:rsidP="00AC4476">
            <w:pPr>
              <w:keepNext/>
              <w:adjustRightInd w:val="0"/>
              <w:spacing w:before="60" w:after="60"/>
              <w:rPr>
                <w:rFonts w:cstheme="minorHAnsi"/>
                <w:b/>
                <w:bCs/>
                <w:color w:val="000000"/>
              </w:rPr>
            </w:pPr>
            <w:r w:rsidRPr="00536D1B">
              <w:rPr>
                <w:rFonts w:cstheme="minorHAnsi"/>
                <w:b/>
                <w:bCs/>
                <w:color w:val="000000"/>
              </w:rPr>
              <w:t>Label</w:t>
            </w:r>
          </w:p>
        </w:tc>
        <w:tc>
          <w:tcPr>
            <w:tcW w:w="424" w:type="dxa"/>
            <w:tcBorders>
              <w:top w:val="nil"/>
              <w:left w:val="single" w:sz="2" w:space="0" w:color="000000"/>
              <w:bottom w:val="single" w:sz="2" w:space="0" w:color="000000"/>
              <w:right w:val="nil"/>
            </w:tcBorders>
            <w:shd w:val="clear" w:color="auto" w:fill="auto"/>
            <w:tcMar>
              <w:left w:w="60" w:type="dxa"/>
              <w:right w:w="60" w:type="dxa"/>
            </w:tcMar>
            <w:vAlign w:val="bottom"/>
          </w:tcPr>
          <w:p w14:paraId="7004B24C" w14:textId="77777777" w:rsidR="00536D1B" w:rsidRPr="00536D1B" w:rsidRDefault="00536D1B" w:rsidP="00AC4476">
            <w:pPr>
              <w:keepNext/>
              <w:adjustRightInd w:val="0"/>
              <w:spacing w:before="60" w:after="60"/>
              <w:jc w:val="right"/>
              <w:rPr>
                <w:rFonts w:cstheme="minorHAnsi"/>
                <w:b/>
                <w:bCs/>
                <w:color w:val="000000"/>
              </w:rPr>
            </w:pPr>
            <w:r w:rsidRPr="00536D1B">
              <w:rPr>
                <w:rFonts w:cstheme="minorHAnsi"/>
                <w:b/>
                <w:bCs/>
                <w:color w:val="000000"/>
              </w:rPr>
              <w:t>DF</w:t>
            </w:r>
          </w:p>
        </w:tc>
        <w:tc>
          <w:tcPr>
            <w:tcW w:w="1146" w:type="dxa"/>
            <w:tcBorders>
              <w:top w:val="nil"/>
              <w:left w:val="single" w:sz="2" w:space="0" w:color="000000"/>
              <w:bottom w:val="single" w:sz="2" w:space="0" w:color="000000"/>
              <w:right w:val="nil"/>
            </w:tcBorders>
            <w:shd w:val="clear" w:color="auto" w:fill="auto"/>
            <w:tcMar>
              <w:left w:w="60" w:type="dxa"/>
              <w:right w:w="60" w:type="dxa"/>
            </w:tcMar>
            <w:vAlign w:val="bottom"/>
          </w:tcPr>
          <w:p w14:paraId="7F391227" w14:textId="77777777" w:rsidR="00536D1B" w:rsidRPr="00536D1B" w:rsidRDefault="00536D1B" w:rsidP="00AC4476">
            <w:pPr>
              <w:keepNext/>
              <w:adjustRightInd w:val="0"/>
              <w:spacing w:before="60" w:after="60"/>
              <w:jc w:val="right"/>
              <w:rPr>
                <w:rFonts w:cstheme="minorHAnsi"/>
                <w:b/>
                <w:bCs/>
                <w:color w:val="000000"/>
              </w:rPr>
            </w:pPr>
            <w:r w:rsidRPr="00536D1B">
              <w:rPr>
                <w:rFonts w:cstheme="minorHAnsi"/>
                <w:b/>
                <w:bCs/>
                <w:color w:val="000000"/>
              </w:rPr>
              <w:t>Parameter</w:t>
            </w:r>
            <w:r w:rsidRPr="00536D1B">
              <w:rPr>
                <w:rFonts w:cstheme="minorHAnsi"/>
                <w:b/>
                <w:bCs/>
                <w:color w:val="000000"/>
              </w:rPr>
              <w:br/>
              <w:t>Estimate</w:t>
            </w:r>
          </w:p>
        </w:tc>
        <w:tc>
          <w:tcPr>
            <w:tcW w:w="1023" w:type="dxa"/>
            <w:tcBorders>
              <w:top w:val="nil"/>
              <w:left w:val="single" w:sz="2" w:space="0" w:color="000000"/>
              <w:bottom w:val="single" w:sz="2" w:space="0" w:color="000000"/>
              <w:right w:val="nil"/>
            </w:tcBorders>
            <w:shd w:val="clear" w:color="auto" w:fill="auto"/>
            <w:tcMar>
              <w:left w:w="60" w:type="dxa"/>
              <w:right w:w="60" w:type="dxa"/>
            </w:tcMar>
            <w:vAlign w:val="bottom"/>
          </w:tcPr>
          <w:p w14:paraId="4B7A6ECF" w14:textId="77777777" w:rsidR="00536D1B" w:rsidRPr="00536D1B" w:rsidRDefault="00536D1B" w:rsidP="00AC4476">
            <w:pPr>
              <w:keepNext/>
              <w:adjustRightInd w:val="0"/>
              <w:spacing w:before="60" w:after="60"/>
              <w:jc w:val="right"/>
              <w:rPr>
                <w:rFonts w:cstheme="minorHAnsi"/>
                <w:b/>
                <w:bCs/>
                <w:color w:val="000000"/>
              </w:rPr>
            </w:pPr>
            <w:r w:rsidRPr="00536D1B">
              <w:rPr>
                <w:rFonts w:cstheme="minorHAnsi"/>
                <w:b/>
                <w:bCs/>
                <w:color w:val="000000"/>
              </w:rPr>
              <w:t>Standard</w:t>
            </w:r>
            <w:r w:rsidRPr="00536D1B">
              <w:rPr>
                <w:rFonts w:cstheme="minorHAnsi"/>
                <w:b/>
                <w:bCs/>
                <w:color w:val="000000"/>
              </w:rPr>
              <w:br/>
              <w:t>Error</w:t>
            </w:r>
          </w:p>
        </w:tc>
        <w:tc>
          <w:tcPr>
            <w:tcW w:w="815" w:type="dxa"/>
            <w:tcBorders>
              <w:top w:val="nil"/>
              <w:left w:val="single" w:sz="2" w:space="0" w:color="000000"/>
              <w:bottom w:val="single" w:sz="2" w:space="0" w:color="000000"/>
              <w:right w:val="nil"/>
            </w:tcBorders>
            <w:shd w:val="clear" w:color="auto" w:fill="auto"/>
            <w:tcMar>
              <w:left w:w="60" w:type="dxa"/>
              <w:right w:w="60" w:type="dxa"/>
            </w:tcMar>
            <w:vAlign w:val="bottom"/>
          </w:tcPr>
          <w:p w14:paraId="32F9D2CB" w14:textId="77777777" w:rsidR="00536D1B" w:rsidRPr="00536D1B" w:rsidRDefault="00536D1B" w:rsidP="00AC4476">
            <w:pPr>
              <w:keepNext/>
              <w:adjustRightInd w:val="0"/>
              <w:spacing w:before="60" w:after="60"/>
              <w:jc w:val="right"/>
              <w:rPr>
                <w:rFonts w:cstheme="minorHAnsi"/>
                <w:b/>
                <w:bCs/>
                <w:color w:val="000000"/>
              </w:rPr>
            </w:pPr>
            <w:r w:rsidRPr="00536D1B">
              <w:rPr>
                <w:rFonts w:cstheme="minorHAnsi"/>
                <w:b/>
                <w:bCs/>
                <w:color w:val="000000"/>
              </w:rPr>
              <w:t>t Value</w:t>
            </w:r>
          </w:p>
        </w:tc>
        <w:tc>
          <w:tcPr>
            <w:tcW w:w="1114"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14:paraId="3518762F" w14:textId="77777777" w:rsidR="00536D1B" w:rsidRPr="00536D1B" w:rsidRDefault="00536D1B" w:rsidP="00AC4476">
            <w:pPr>
              <w:keepNext/>
              <w:adjustRightInd w:val="0"/>
              <w:spacing w:before="60" w:after="60"/>
              <w:jc w:val="right"/>
              <w:rPr>
                <w:rFonts w:cstheme="minorHAnsi"/>
                <w:b/>
                <w:bCs/>
                <w:color w:val="000000"/>
              </w:rPr>
            </w:pPr>
            <w:proofErr w:type="spellStart"/>
            <w:r w:rsidRPr="00536D1B">
              <w:rPr>
                <w:rFonts w:cstheme="minorHAnsi"/>
                <w:b/>
                <w:bCs/>
                <w:color w:val="000000"/>
              </w:rPr>
              <w:t>Pr</w:t>
            </w:r>
            <w:proofErr w:type="spellEnd"/>
            <w:r w:rsidRPr="00536D1B">
              <w:rPr>
                <w:rFonts w:cstheme="minorHAnsi"/>
                <w:b/>
                <w:bCs/>
                <w:color w:val="000000"/>
              </w:rPr>
              <w:t> &gt; |t|</w:t>
            </w:r>
          </w:p>
        </w:tc>
      </w:tr>
      <w:tr w:rsidR="00536D1B" w:rsidRPr="00536D1B" w14:paraId="76429B9F" w14:textId="77777777" w:rsidTr="00536D1B">
        <w:trPr>
          <w:cantSplit/>
        </w:trPr>
        <w:tc>
          <w:tcPr>
            <w:tcW w:w="1431" w:type="dxa"/>
            <w:tcBorders>
              <w:top w:val="nil"/>
              <w:left w:val="single" w:sz="6" w:space="0" w:color="000000"/>
              <w:bottom w:val="single" w:sz="2" w:space="0" w:color="000000"/>
              <w:right w:val="nil"/>
            </w:tcBorders>
            <w:shd w:val="clear" w:color="auto" w:fill="auto"/>
            <w:tcMar>
              <w:left w:w="60" w:type="dxa"/>
              <w:right w:w="60" w:type="dxa"/>
            </w:tcMar>
          </w:tcPr>
          <w:p w14:paraId="2FCACEB7" w14:textId="77777777" w:rsidR="00536D1B" w:rsidRPr="00536D1B" w:rsidRDefault="00536D1B" w:rsidP="00AC4476">
            <w:pPr>
              <w:keepNext/>
              <w:adjustRightInd w:val="0"/>
              <w:spacing w:before="60" w:after="60"/>
              <w:rPr>
                <w:rFonts w:cstheme="minorHAnsi"/>
                <w:b/>
                <w:bCs/>
                <w:color w:val="000000"/>
              </w:rPr>
            </w:pPr>
            <w:r w:rsidRPr="00536D1B">
              <w:rPr>
                <w:rFonts w:cstheme="minorHAnsi"/>
                <w:b/>
                <w:bCs/>
                <w:color w:val="000000"/>
              </w:rPr>
              <w:t>Intercept</w:t>
            </w:r>
          </w:p>
        </w:tc>
        <w:tc>
          <w:tcPr>
            <w:tcW w:w="1247" w:type="dxa"/>
            <w:tcBorders>
              <w:top w:val="nil"/>
              <w:left w:val="single" w:sz="2" w:space="0" w:color="000000"/>
              <w:bottom w:val="single" w:sz="2" w:space="0" w:color="000000"/>
              <w:right w:val="nil"/>
            </w:tcBorders>
            <w:shd w:val="clear" w:color="auto" w:fill="auto"/>
            <w:tcMar>
              <w:left w:w="60" w:type="dxa"/>
              <w:right w:w="60" w:type="dxa"/>
            </w:tcMar>
          </w:tcPr>
          <w:p w14:paraId="126904CC" w14:textId="77777777" w:rsidR="00536D1B" w:rsidRPr="00536D1B" w:rsidRDefault="00536D1B" w:rsidP="00AC4476">
            <w:pPr>
              <w:keepNext/>
              <w:adjustRightInd w:val="0"/>
              <w:spacing w:before="60" w:after="60"/>
              <w:rPr>
                <w:rFonts w:cstheme="minorHAnsi"/>
                <w:color w:val="000000"/>
              </w:rPr>
            </w:pPr>
            <w:r w:rsidRPr="00536D1B">
              <w:rPr>
                <w:rFonts w:cstheme="minorHAnsi"/>
                <w:color w:val="000000"/>
              </w:rPr>
              <w:t>Intercept</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14:paraId="61E9B011"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1</w:t>
            </w:r>
          </w:p>
        </w:tc>
        <w:tc>
          <w:tcPr>
            <w:tcW w:w="1146" w:type="dxa"/>
            <w:tcBorders>
              <w:top w:val="nil"/>
              <w:left w:val="single" w:sz="2" w:space="0" w:color="000000"/>
              <w:bottom w:val="single" w:sz="2" w:space="0" w:color="000000"/>
              <w:right w:val="nil"/>
            </w:tcBorders>
            <w:shd w:val="clear" w:color="auto" w:fill="auto"/>
            <w:tcMar>
              <w:left w:w="60" w:type="dxa"/>
              <w:right w:w="60" w:type="dxa"/>
            </w:tcMar>
          </w:tcPr>
          <w:p w14:paraId="5D147196"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-6.24042</w:t>
            </w:r>
          </w:p>
        </w:tc>
        <w:tc>
          <w:tcPr>
            <w:tcW w:w="1023" w:type="dxa"/>
            <w:tcBorders>
              <w:top w:val="nil"/>
              <w:left w:val="single" w:sz="2" w:space="0" w:color="000000"/>
              <w:bottom w:val="single" w:sz="2" w:space="0" w:color="000000"/>
              <w:right w:val="nil"/>
            </w:tcBorders>
            <w:shd w:val="clear" w:color="auto" w:fill="auto"/>
            <w:tcMar>
              <w:left w:w="60" w:type="dxa"/>
              <w:right w:w="60" w:type="dxa"/>
            </w:tcMar>
          </w:tcPr>
          <w:p w14:paraId="74567988"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4.22081</w:t>
            </w:r>
          </w:p>
        </w:tc>
        <w:tc>
          <w:tcPr>
            <w:tcW w:w="815" w:type="dxa"/>
            <w:tcBorders>
              <w:top w:val="nil"/>
              <w:left w:val="single" w:sz="2" w:space="0" w:color="000000"/>
              <w:bottom w:val="single" w:sz="2" w:space="0" w:color="000000"/>
              <w:right w:val="nil"/>
            </w:tcBorders>
            <w:shd w:val="clear" w:color="auto" w:fill="auto"/>
            <w:tcMar>
              <w:left w:w="60" w:type="dxa"/>
              <w:right w:w="60" w:type="dxa"/>
            </w:tcMar>
          </w:tcPr>
          <w:p w14:paraId="348141C8"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-1.48</w:t>
            </w:r>
          </w:p>
        </w:tc>
        <w:tc>
          <w:tcPr>
            <w:tcW w:w="1114" w:type="dxa"/>
            <w:tcBorders>
              <w:top w:val="nil"/>
              <w:left w:val="single" w:sz="2" w:space="0" w:color="000000"/>
              <w:bottom w:val="single" w:sz="2" w:space="0" w:color="000000"/>
              <w:right w:val="single" w:sz="6" w:space="0" w:color="000000"/>
            </w:tcBorders>
            <w:shd w:val="clear" w:color="auto" w:fill="auto"/>
            <w:tcMar>
              <w:left w:w="60" w:type="dxa"/>
              <w:right w:w="60" w:type="dxa"/>
            </w:tcMar>
          </w:tcPr>
          <w:p w14:paraId="5DC5545F"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0.1557</w:t>
            </w:r>
          </w:p>
        </w:tc>
      </w:tr>
      <w:tr w:rsidR="00536D1B" w:rsidRPr="00536D1B" w14:paraId="711A0CB9" w14:textId="77777777" w:rsidTr="00536D1B">
        <w:trPr>
          <w:cantSplit/>
        </w:trPr>
        <w:tc>
          <w:tcPr>
            <w:tcW w:w="1431" w:type="dxa"/>
            <w:tcBorders>
              <w:top w:val="nil"/>
              <w:left w:val="single" w:sz="6" w:space="0" w:color="000000"/>
              <w:bottom w:val="single" w:sz="6" w:space="0" w:color="000000"/>
              <w:right w:val="nil"/>
            </w:tcBorders>
            <w:shd w:val="clear" w:color="auto" w:fill="auto"/>
            <w:tcMar>
              <w:left w:w="60" w:type="dxa"/>
              <w:right w:w="60" w:type="dxa"/>
            </w:tcMar>
          </w:tcPr>
          <w:p w14:paraId="74591E2A" w14:textId="77777777" w:rsidR="00536D1B" w:rsidRPr="00536D1B" w:rsidRDefault="00536D1B" w:rsidP="00AC4476">
            <w:pPr>
              <w:keepNext/>
              <w:adjustRightInd w:val="0"/>
              <w:spacing w:before="60" w:after="60"/>
              <w:rPr>
                <w:rFonts w:cstheme="minorHAnsi"/>
                <w:b/>
                <w:bCs/>
                <w:color w:val="000000"/>
              </w:rPr>
            </w:pPr>
            <w:proofErr w:type="spellStart"/>
            <w:r w:rsidRPr="00536D1B">
              <w:rPr>
                <w:rFonts w:cstheme="minorHAnsi"/>
                <w:b/>
                <w:bCs/>
                <w:color w:val="000000"/>
              </w:rPr>
              <w:t>CDS_RATIO</w:t>
            </w:r>
            <w:proofErr w:type="spellEnd"/>
          </w:p>
        </w:tc>
        <w:tc>
          <w:tcPr>
            <w:tcW w:w="1247" w:type="dxa"/>
            <w:tcBorders>
              <w:top w:val="nil"/>
              <w:left w:val="single" w:sz="2" w:space="0" w:color="000000"/>
              <w:bottom w:val="single" w:sz="6" w:space="0" w:color="000000"/>
              <w:right w:val="nil"/>
            </w:tcBorders>
            <w:shd w:val="clear" w:color="auto" w:fill="auto"/>
            <w:tcMar>
              <w:left w:w="60" w:type="dxa"/>
              <w:right w:w="60" w:type="dxa"/>
            </w:tcMar>
          </w:tcPr>
          <w:p w14:paraId="19E737C2" w14:textId="77777777" w:rsidR="00536D1B" w:rsidRPr="00536D1B" w:rsidRDefault="00536D1B" w:rsidP="00AC4476">
            <w:pPr>
              <w:keepNext/>
              <w:adjustRightInd w:val="0"/>
              <w:spacing w:before="60" w:after="60"/>
              <w:rPr>
                <w:rFonts w:cstheme="minorHAnsi"/>
                <w:color w:val="000000"/>
              </w:rPr>
            </w:pPr>
            <w:proofErr w:type="spellStart"/>
            <w:r w:rsidRPr="00536D1B">
              <w:rPr>
                <w:rFonts w:cstheme="minorHAnsi"/>
                <w:color w:val="000000"/>
              </w:rPr>
              <w:t>CDS_RATIO</w:t>
            </w:r>
            <w:proofErr w:type="spellEnd"/>
          </w:p>
        </w:tc>
        <w:tc>
          <w:tcPr>
            <w:tcW w:w="424" w:type="dxa"/>
            <w:tcBorders>
              <w:top w:val="nil"/>
              <w:left w:val="single" w:sz="2" w:space="0" w:color="000000"/>
              <w:bottom w:val="single" w:sz="6" w:space="0" w:color="000000"/>
              <w:right w:val="nil"/>
            </w:tcBorders>
            <w:shd w:val="clear" w:color="auto" w:fill="auto"/>
            <w:tcMar>
              <w:left w:w="60" w:type="dxa"/>
              <w:right w:w="60" w:type="dxa"/>
            </w:tcMar>
          </w:tcPr>
          <w:p w14:paraId="5652C2C0"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1</w:t>
            </w:r>
          </w:p>
        </w:tc>
        <w:tc>
          <w:tcPr>
            <w:tcW w:w="1146" w:type="dxa"/>
            <w:tcBorders>
              <w:top w:val="nil"/>
              <w:left w:val="single" w:sz="2" w:space="0" w:color="000000"/>
              <w:bottom w:val="single" w:sz="6" w:space="0" w:color="000000"/>
              <w:right w:val="nil"/>
            </w:tcBorders>
            <w:shd w:val="clear" w:color="auto" w:fill="auto"/>
            <w:tcMar>
              <w:left w:w="60" w:type="dxa"/>
              <w:right w:w="60" w:type="dxa"/>
            </w:tcMar>
          </w:tcPr>
          <w:p w14:paraId="40061F35"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2.22678</w:t>
            </w:r>
          </w:p>
        </w:tc>
        <w:tc>
          <w:tcPr>
            <w:tcW w:w="1023" w:type="dxa"/>
            <w:tcBorders>
              <w:top w:val="nil"/>
              <w:left w:val="single" w:sz="2" w:space="0" w:color="000000"/>
              <w:bottom w:val="single" w:sz="6" w:space="0" w:color="000000"/>
              <w:right w:val="nil"/>
            </w:tcBorders>
            <w:shd w:val="clear" w:color="auto" w:fill="auto"/>
            <w:tcMar>
              <w:left w:w="60" w:type="dxa"/>
              <w:right w:w="60" w:type="dxa"/>
            </w:tcMar>
          </w:tcPr>
          <w:p w14:paraId="45E81DD4"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0.76065</w:t>
            </w:r>
          </w:p>
        </w:tc>
        <w:tc>
          <w:tcPr>
            <w:tcW w:w="815" w:type="dxa"/>
            <w:tcBorders>
              <w:top w:val="nil"/>
              <w:left w:val="single" w:sz="2" w:space="0" w:color="000000"/>
              <w:bottom w:val="single" w:sz="6" w:space="0" w:color="000000"/>
              <w:right w:val="nil"/>
            </w:tcBorders>
            <w:shd w:val="clear" w:color="auto" w:fill="auto"/>
            <w:tcMar>
              <w:left w:w="60" w:type="dxa"/>
              <w:right w:w="60" w:type="dxa"/>
            </w:tcMar>
          </w:tcPr>
          <w:p w14:paraId="74CD253B"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2.93</w:t>
            </w:r>
          </w:p>
        </w:tc>
        <w:tc>
          <w:tcPr>
            <w:tcW w:w="1114" w:type="dxa"/>
            <w:tcBorders>
              <w:top w:val="nil"/>
              <w:left w:val="single" w:sz="2" w:space="0" w:color="000000"/>
              <w:bottom w:val="single" w:sz="6" w:space="0" w:color="000000"/>
              <w:right w:val="single" w:sz="6" w:space="0" w:color="000000"/>
            </w:tcBorders>
            <w:shd w:val="clear" w:color="auto" w:fill="auto"/>
            <w:tcMar>
              <w:left w:w="60" w:type="dxa"/>
              <w:right w:w="60" w:type="dxa"/>
            </w:tcMar>
          </w:tcPr>
          <w:p w14:paraId="7D1A32C1" w14:textId="77777777" w:rsidR="00536D1B" w:rsidRPr="00536D1B" w:rsidRDefault="00536D1B" w:rsidP="00AC4476">
            <w:pPr>
              <w:keepNext/>
              <w:adjustRightInd w:val="0"/>
              <w:spacing w:before="60" w:after="60"/>
              <w:jc w:val="right"/>
              <w:rPr>
                <w:rFonts w:cstheme="minorHAnsi"/>
                <w:color w:val="000000"/>
              </w:rPr>
            </w:pPr>
            <w:r w:rsidRPr="00536D1B">
              <w:rPr>
                <w:rFonts w:cstheme="minorHAnsi"/>
                <w:color w:val="000000"/>
              </w:rPr>
              <w:t>0.0086</w:t>
            </w:r>
          </w:p>
        </w:tc>
      </w:tr>
    </w:tbl>
    <w:p w14:paraId="09D13A0A" w14:textId="71D06647" w:rsidR="00536D1B" w:rsidRDefault="00536D1B" w:rsidP="00536D1B">
      <w:pPr>
        <w:ind w:firstLine="720"/>
      </w:pPr>
    </w:p>
    <w:p w14:paraId="08F48B93" w14:textId="289B34C9" w:rsidR="00F843F9" w:rsidRDefault="00F843F9" w:rsidP="00536D1B">
      <w:pPr>
        <w:ind w:firstLine="720"/>
      </w:pPr>
    </w:p>
    <w:p w14:paraId="6544C734" w14:textId="1A9AFAF9" w:rsidR="00F843F9" w:rsidRDefault="00F843F9" w:rsidP="00536D1B">
      <w:pPr>
        <w:ind w:firstLine="720"/>
      </w:pPr>
    </w:p>
    <w:p w14:paraId="469AD735" w14:textId="3D3EE14C" w:rsidR="00F843F9" w:rsidRDefault="00F843F9" w:rsidP="00536D1B">
      <w:pPr>
        <w:ind w:firstLine="720"/>
      </w:pPr>
    </w:p>
    <w:p w14:paraId="305600AB" w14:textId="6E6474B6" w:rsidR="00F843F9" w:rsidRDefault="00F843F9" w:rsidP="00536D1B">
      <w:pPr>
        <w:ind w:firstLine="720"/>
      </w:pPr>
    </w:p>
    <w:p w14:paraId="1EDE6D18" w14:textId="32C8B941" w:rsidR="00F843F9" w:rsidRDefault="00F843F9" w:rsidP="00536D1B">
      <w:pPr>
        <w:ind w:firstLine="720"/>
      </w:pPr>
    </w:p>
    <w:p w14:paraId="5977B779" w14:textId="77777777" w:rsidR="0074266C" w:rsidRDefault="0074266C" w:rsidP="00536D1B">
      <w:pPr>
        <w:ind w:firstLine="720"/>
      </w:pPr>
    </w:p>
    <w:p w14:paraId="244FDF37" w14:textId="0BCA05D1" w:rsidR="00F843F9" w:rsidRDefault="00F843F9" w:rsidP="00536D1B">
      <w:pPr>
        <w:ind w:firstLine="720"/>
      </w:pPr>
    </w:p>
    <w:p w14:paraId="604DEBC1" w14:textId="285A3A3C" w:rsidR="00F843F9" w:rsidRDefault="00F843F9" w:rsidP="00536D1B">
      <w:pPr>
        <w:ind w:firstLine="720"/>
      </w:pPr>
    </w:p>
    <w:p w14:paraId="2878D196" w14:textId="687FDBEB" w:rsidR="00F843F9" w:rsidRDefault="0074266C" w:rsidP="0074266C">
      <w:pPr>
        <w:rPr>
          <w:b/>
          <w:bCs/>
        </w:rPr>
      </w:pPr>
      <w:r w:rsidRPr="0074266C">
        <w:rPr>
          <w:b/>
          <w:bCs/>
        </w:rPr>
        <w:t>Figure 7</w:t>
      </w:r>
    </w:p>
    <w:p w14:paraId="0C24A529" w14:textId="49E12081" w:rsidR="0074266C" w:rsidRDefault="0074266C" w:rsidP="0074266C">
      <w:pPr>
        <w:rPr>
          <w:i/>
          <w:iCs/>
        </w:rPr>
      </w:pPr>
      <w:r>
        <w:rPr>
          <w:i/>
          <w:iCs/>
        </w:rPr>
        <w:t xml:space="preserve">Graph of Regression Analysis. </w:t>
      </w:r>
    </w:p>
    <w:p w14:paraId="5CA8CD47" w14:textId="290FA4D5" w:rsidR="0074266C" w:rsidRPr="0074266C" w:rsidRDefault="0074266C" w:rsidP="0074266C">
      <w:r>
        <w:rPr>
          <w:noProof/>
          <w:sz w:val="24"/>
          <w:szCs w:val="24"/>
        </w:rPr>
        <w:drawing>
          <wp:inline distT="0" distB="0" distL="0" distR="0" wp14:anchorId="061082F7" wp14:editId="2E1C2F9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92F3A4B" w14:textId="60C67406" w:rsidR="00F843F9" w:rsidRDefault="00F843F9" w:rsidP="00536D1B">
      <w:pPr>
        <w:ind w:firstLine="720"/>
      </w:pPr>
    </w:p>
    <w:p w14:paraId="6F557896" w14:textId="733FE011" w:rsidR="00F843F9" w:rsidRDefault="00F843F9" w:rsidP="00F843F9"/>
    <w:p w14:paraId="7483EC3A" w14:textId="59207FF0" w:rsidR="00F843F9" w:rsidRDefault="00F843F9" w:rsidP="00F843F9">
      <w:pPr>
        <w:rPr>
          <w:b/>
          <w:bCs/>
        </w:rPr>
      </w:pPr>
      <w:r>
        <w:rPr>
          <w:b/>
          <w:bCs/>
        </w:rPr>
        <w:t>Conclusion</w:t>
      </w:r>
    </w:p>
    <w:p w14:paraId="4ED90137" w14:textId="1776BCBE" w:rsidR="001B36A3" w:rsidRPr="001B36A3" w:rsidRDefault="001B36A3" w:rsidP="001B36A3">
      <w:pPr>
        <w:spacing w:line="480" w:lineRule="auto"/>
      </w:pPr>
      <w:r>
        <w:rPr>
          <w:b/>
          <w:bCs/>
        </w:rPr>
        <w:tab/>
      </w:r>
      <w:r>
        <w:t xml:space="preserve">Given the results, we can accept the alternative hypothesis and reject the null hypothesis. The variables </w:t>
      </w:r>
      <w:proofErr w:type="spellStart"/>
      <w:r>
        <w:t>FINOB</w:t>
      </w:r>
      <w:proofErr w:type="spellEnd"/>
      <w:r>
        <w:t xml:space="preserve"> and </w:t>
      </w:r>
      <w:proofErr w:type="spellStart"/>
      <w:r>
        <w:t>CDS_RATIO</w:t>
      </w:r>
      <w:proofErr w:type="spellEnd"/>
      <w:r>
        <w:t xml:space="preserve"> are good predictors of potential delinquencies. </w:t>
      </w:r>
    </w:p>
    <w:p w14:paraId="39CC09E9" w14:textId="47E1C2ED" w:rsidR="00F843F9" w:rsidRDefault="00F843F9" w:rsidP="001B36A3">
      <w:pPr>
        <w:spacing w:line="480" w:lineRule="auto"/>
      </w:pPr>
      <w:r>
        <w:rPr>
          <w:b/>
          <w:bCs/>
        </w:rPr>
        <w:tab/>
      </w:r>
      <w:r w:rsidR="00D10161">
        <w:t xml:space="preserve">Banks can create their own versions of the ratios using the data they have and score the results. The scores can translate into risk categories. The banks can then act to minimize the risks and protect the solvency of the bank from unforeseen losses. </w:t>
      </w:r>
      <w:r>
        <w:t xml:space="preserve">  </w:t>
      </w:r>
    </w:p>
    <w:p w14:paraId="4FF46B4D" w14:textId="77777777" w:rsidR="001B36A3" w:rsidRPr="001B36A3" w:rsidRDefault="001B36A3" w:rsidP="001B36A3">
      <w:pPr>
        <w:pStyle w:val="NormalWeb"/>
        <w:spacing w:before="0" w:beforeAutospacing="0" w:after="0" w:afterAutospacing="0" w:line="480" w:lineRule="auto"/>
        <w:jc w:val="center"/>
        <w:rPr>
          <w:rFonts w:asciiTheme="minorHAnsi" w:hAnsiTheme="minorHAnsi" w:cstheme="minorHAnsi"/>
          <w:sz w:val="22"/>
          <w:szCs w:val="22"/>
        </w:rPr>
      </w:pPr>
      <w:r>
        <w:br w:type="page"/>
      </w:r>
      <w:r w:rsidRPr="001B36A3">
        <w:rPr>
          <w:rFonts w:asciiTheme="minorHAnsi" w:hAnsiTheme="minorHAnsi" w:cstheme="minorHAnsi"/>
          <w:sz w:val="22"/>
          <w:szCs w:val="22"/>
        </w:rPr>
        <w:lastRenderedPageBreak/>
        <w:t>References</w:t>
      </w:r>
    </w:p>
    <w:p w14:paraId="6EC54522" w14:textId="77777777" w:rsidR="001B36A3" w:rsidRPr="001B36A3" w:rsidRDefault="001B36A3" w:rsidP="001B36A3">
      <w:pPr>
        <w:spacing w:after="0" w:line="480" w:lineRule="auto"/>
        <w:ind w:left="720" w:hanging="720"/>
        <w:rPr>
          <w:rFonts w:eastAsia="Times New Roman" w:cstheme="minorHAnsi"/>
        </w:rPr>
      </w:pPr>
      <w:proofErr w:type="spellStart"/>
      <w:r w:rsidRPr="001B36A3">
        <w:rPr>
          <w:rFonts w:eastAsia="Times New Roman" w:cstheme="minorHAnsi"/>
        </w:rPr>
        <w:t>Herkenhoff</w:t>
      </w:r>
      <w:proofErr w:type="spellEnd"/>
      <w:r w:rsidRPr="001B36A3">
        <w:rPr>
          <w:rFonts w:eastAsia="Times New Roman" w:cstheme="minorHAnsi"/>
        </w:rPr>
        <w:t xml:space="preserve">, K. (2019, February). </w:t>
      </w:r>
      <w:r w:rsidRPr="001B36A3">
        <w:rPr>
          <w:rFonts w:eastAsia="Times New Roman" w:cstheme="minorHAnsi"/>
          <w:i/>
          <w:iCs/>
        </w:rPr>
        <w:t>The Impact of Consumer Credit Access on Unemployment.: Discovery Service for CSU - Global Campus</w:t>
      </w:r>
      <w:r w:rsidRPr="001B36A3">
        <w:rPr>
          <w:rFonts w:eastAsia="Times New Roman" w:cstheme="minorHAnsi"/>
        </w:rPr>
        <w:t xml:space="preserve">. </w:t>
      </w:r>
      <w:proofErr w:type="spellStart"/>
      <w:r w:rsidRPr="001B36A3">
        <w:rPr>
          <w:rFonts w:eastAsia="Times New Roman" w:cstheme="minorHAnsi"/>
        </w:rPr>
        <w:t>Oclc.org</w:t>
      </w:r>
      <w:proofErr w:type="spellEnd"/>
      <w:r w:rsidRPr="001B36A3">
        <w:rPr>
          <w:rFonts w:eastAsia="Times New Roman" w:cstheme="minorHAnsi"/>
        </w:rPr>
        <w:t>; Review of Economic Studies. https://eds-a-ebscohost-com.csuglobal.idm.oclc.org/eds/pdfviewer/pdfviewer?vid=2&amp;sid=b0ce0ee6-850a-4be0-8c95-9e06dd53d05c%40sessionmgr4007</w:t>
      </w:r>
    </w:p>
    <w:p w14:paraId="20FA133A" w14:textId="5F6DDE3F" w:rsidR="001B36A3" w:rsidRPr="001B36A3" w:rsidRDefault="001B36A3" w:rsidP="001B36A3">
      <w:pPr>
        <w:spacing w:after="0" w:line="480" w:lineRule="auto"/>
        <w:ind w:left="720" w:hanging="720"/>
        <w:rPr>
          <w:rFonts w:eastAsia="Times New Roman" w:cstheme="minorHAnsi"/>
        </w:rPr>
      </w:pPr>
      <w:r w:rsidRPr="001B36A3">
        <w:rPr>
          <w:rFonts w:eastAsia="Times New Roman" w:cstheme="minorHAnsi"/>
        </w:rPr>
        <w:t>Holt, S., &amp; Lucas McKay, K. (n.d.). C</w:t>
      </w:r>
      <w:r w:rsidR="001C303A">
        <w:rPr>
          <w:rFonts w:eastAsia="Times New Roman" w:cstheme="minorHAnsi"/>
        </w:rPr>
        <w:t>onsumer</w:t>
      </w:r>
      <w:r w:rsidRPr="001B36A3">
        <w:rPr>
          <w:rFonts w:eastAsia="Times New Roman" w:cstheme="minorHAnsi"/>
        </w:rPr>
        <w:t xml:space="preserve"> D</w:t>
      </w:r>
      <w:r w:rsidR="001C303A">
        <w:rPr>
          <w:rFonts w:eastAsia="Times New Roman" w:cstheme="minorHAnsi"/>
        </w:rPr>
        <w:t>ebt:</w:t>
      </w:r>
      <w:r w:rsidRPr="001B36A3">
        <w:rPr>
          <w:rFonts w:eastAsia="Times New Roman" w:cstheme="minorHAnsi"/>
        </w:rPr>
        <w:t xml:space="preserve"> A Primer. In </w:t>
      </w:r>
      <w:proofErr w:type="spellStart"/>
      <w:r w:rsidRPr="001B36A3">
        <w:rPr>
          <w:rFonts w:eastAsia="Times New Roman" w:cstheme="minorHAnsi"/>
          <w:i/>
          <w:iCs/>
        </w:rPr>
        <w:t>aspeninstitute.org</w:t>
      </w:r>
      <w:proofErr w:type="spellEnd"/>
      <w:r w:rsidRPr="001B36A3">
        <w:rPr>
          <w:rFonts w:eastAsia="Times New Roman" w:cstheme="minorHAnsi"/>
        </w:rPr>
        <w:t xml:space="preserve"> (p. 4). Retrieved February 20, 2021, from https://www.aspeninstitute.org/wp-content/uploads/2018/03/ASPEN_ConsumerDebt_06B.pdf</w:t>
      </w:r>
    </w:p>
    <w:p w14:paraId="34C064DF" w14:textId="77777777" w:rsidR="001B36A3" w:rsidRPr="001B36A3" w:rsidRDefault="001B36A3" w:rsidP="001B36A3">
      <w:pPr>
        <w:spacing w:after="0" w:line="480" w:lineRule="auto"/>
        <w:ind w:left="720" w:hanging="720"/>
        <w:rPr>
          <w:rFonts w:eastAsia="Times New Roman" w:cstheme="minorHAnsi"/>
        </w:rPr>
      </w:pPr>
      <w:proofErr w:type="spellStart"/>
      <w:r w:rsidRPr="001B36A3">
        <w:rPr>
          <w:rFonts w:eastAsia="Times New Roman" w:cstheme="minorHAnsi"/>
          <w:i/>
          <w:iCs/>
        </w:rPr>
        <w:t>S.3548</w:t>
      </w:r>
      <w:proofErr w:type="spellEnd"/>
      <w:r w:rsidRPr="001B36A3">
        <w:rPr>
          <w:rFonts w:eastAsia="Times New Roman" w:cstheme="minorHAnsi"/>
          <w:i/>
          <w:iCs/>
        </w:rPr>
        <w:t xml:space="preserve"> - 116th Congress (2019-2020): CARES Act</w:t>
      </w:r>
      <w:r w:rsidRPr="001B36A3">
        <w:rPr>
          <w:rFonts w:eastAsia="Times New Roman" w:cstheme="minorHAnsi"/>
        </w:rPr>
        <w:t xml:space="preserve">. (2019). </w:t>
      </w:r>
      <w:proofErr w:type="spellStart"/>
      <w:r w:rsidRPr="001B36A3">
        <w:rPr>
          <w:rFonts w:eastAsia="Times New Roman" w:cstheme="minorHAnsi"/>
        </w:rPr>
        <w:t>Congress.gov</w:t>
      </w:r>
      <w:proofErr w:type="spellEnd"/>
      <w:r w:rsidRPr="001B36A3">
        <w:rPr>
          <w:rFonts w:eastAsia="Times New Roman" w:cstheme="minorHAnsi"/>
        </w:rPr>
        <w:t>. https://www.congress.gov/bill/116th-congress/senate-bill/3548?q=%7B%22search%22%3A%5B%22Coronavirus+Relief+Aid%2C+Relief%2C+and+Economic+SEcurity%22%5D%7D&amp;s=1&amp;r=1</w:t>
      </w:r>
    </w:p>
    <w:p w14:paraId="53EA9FD1" w14:textId="77777777" w:rsidR="001B36A3" w:rsidRPr="001B36A3" w:rsidRDefault="001B36A3" w:rsidP="001B36A3">
      <w:pPr>
        <w:spacing w:after="0" w:line="480" w:lineRule="auto"/>
        <w:ind w:left="720" w:hanging="720"/>
        <w:rPr>
          <w:rFonts w:eastAsia="Times New Roman" w:cstheme="minorHAnsi"/>
        </w:rPr>
      </w:pPr>
      <w:r w:rsidRPr="001B36A3">
        <w:rPr>
          <w:rFonts w:eastAsia="Times New Roman" w:cstheme="minorHAnsi"/>
        </w:rPr>
        <w:t xml:space="preserve">U.S. Department of Labor - Bureau of Labor Statistics. (2021, February 20). </w:t>
      </w:r>
      <w:r w:rsidRPr="001B36A3">
        <w:rPr>
          <w:rFonts w:eastAsia="Times New Roman" w:cstheme="minorHAnsi"/>
          <w:i/>
          <w:iCs/>
        </w:rPr>
        <w:t>Labor force statistics from the current population survey</w:t>
      </w:r>
      <w:r w:rsidRPr="001B36A3">
        <w:rPr>
          <w:rFonts w:eastAsia="Times New Roman" w:cstheme="minorHAnsi"/>
        </w:rPr>
        <w:t xml:space="preserve">. </w:t>
      </w:r>
      <w:proofErr w:type="spellStart"/>
      <w:r w:rsidRPr="001B36A3">
        <w:rPr>
          <w:rFonts w:eastAsia="Times New Roman" w:cstheme="minorHAnsi"/>
        </w:rPr>
        <w:t>Bls.gov</w:t>
      </w:r>
      <w:proofErr w:type="spellEnd"/>
      <w:r w:rsidRPr="001B36A3">
        <w:rPr>
          <w:rFonts w:eastAsia="Times New Roman" w:cstheme="minorHAnsi"/>
        </w:rPr>
        <w:t>; U.S. Department of Labor. https://</w:t>
      </w:r>
      <w:proofErr w:type="spellStart"/>
      <w:r w:rsidRPr="001B36A3">
        <w:rPr>
          <w:rFonts w:eastAsia="Times New Roman" w:cstheme="minorHAnsi"/>
        </w:rPr>
        <w:t>data.bls.gov</w:t>
      </w:r>
      <w:proofErr w:type="spellEnd"/>
      <w:r w:rsidRPr="001B36A3">
        <w:rPr>
          <w:rFonts w:eastAsia="Times New Roman" w:cstheme="minorHAnsi"/>
        </w:rPr>
        <w:t>/</w:t>
      </w:r>
      <w:proofErr w:type="spellStart"/>
      <w:r w:rsidRPr="001B36A3">
        <w:rPr>
          <w:rFonts w:eastAsia="Times New Roman" w:cstheme="minorHAnsi"/>
        </w:rPr>
        <w:t>cgi</w:t>
      </w:r>
      <w:proofErr w:type="spellEnd"/>
      <w:r w:rsidRPr="001B36A3">
        <w:rPr>
          <w:rFonts w:eastAsia="Times New Roman" w:cstheme="minorHAnsi"/>
        </w:rPr>
        <w:t>-bin/</w:t>
      </w:r>
      <w:proofErr w:type="spellStart"/>
      <w:r w:rsidRPr="001B36A3">
        <w:rPr>
          <w:rFonts w:eastAsia="Times New Roman" w:cstheme="minorHAnsi"/>
        </w:rPr>
        <w:t>surveymost</w:t>
      </w:r>
      <w:proofErr w:type="spellEnd"/>
    </w:p>
    <w:p w14:paraId="3547FBF9" w14:textId="6B0208D6" w:rsidR="001B36A3" w:rsidRDefault="001B36A3"/>
    <w:p w14:paraId="2AABC973" w14:textId="7D130248" w:rsidR="001B36A3" w:rsidRDefault="001B36A3">
      <w:r>
        <w:br w:type="page"/>
      </w:r>
    </w:p>
    <w:p w14:paraId="5D4B7D64" w14:textId="77777777" w:rsidR="001B36A3" w:rsidRDefault="001B36A3" w:rsidP="001B36A3">
      <w:pPr>
        <w:spacing w:line="480" w:lineRule="auto"/>
      </w:pPr>
    </w:p>
    <w:p w14:paraId="2E4E710D" w14:textId="406388E8" w:rsidR="00F843F9" w:rsidRPr="001B36A3" w:rsidRDefault="00F843F9" w:rsidP="001B36A3">
      <w:pPr>
        <w:spacing w:line="480" w:lineRule="auto"/>
        <w:ind w:left="3600" w:firstLine="720"/>
        <w:rPr>
          <w:b/>
          <w:bCs/>
        </w:rPr>
      </w:pPr>
      <w:r w:rsidRPr="001B36A3">
        <w:rPr>
          <w:b/>
          <w:bCs/>
        </w:rPr>
        <w:t>Appendix A</w:t>
      </w:r>
    </w:p>
    <w:p w14:paraId="4587F3C3" w14:textId="3E6F3D76" w:rsidR="00F843F9" w:rsidRDefault="00641FD2" w:rsidP="00F843F9">
      <w:pPr>
        <w:spacing w:line="480" w:lineRule="auto"/>
      </w:pPr>
      <w:r>
        <w:t>Data Definitions</w:t>
      </w:r>
    </w:p>
    <w:p w14:paraId="5D900E57" w14:textId="5B5BAECB" w:rsidR="00E47DE7" w:rsidRDefault="00E47DE7" w:rsidP="00E47DE7">
      <w:r>
        <w:t xml:space="preserve">Data </w:t>
      </w:r>
      <w:proofErr w:type="gramStart"/>
      <w:r>
        <w:t>was taken</w:t>
      </w:r>
      <w:proofErr w:type="gramEnd"/>
      <w:r>
        <w:t xml:space="preserve"> from </w:t>
      </w:r>
      <w:proofErr w:type="spellStart"/>
      <w:r>
        <w:t>Q3</w:t>
      </w:r>
      <w:proofErr w:type="spellEnd"/>
      <w:r>
        <w:t xml:space="preserve"> of 2015 to </w:t>
      </w:r>
      <w:proofErr w:type="spellStart"/>
      <w:r>
        <w:t>Q3</w:t>
      </w:r>
      <w:proofErr w:type="spellEnd"/>
      <w:r>
        <w:t xml:space="preserve"> of 2020</w:t>
      </w:r>
      <w:r w:rsidR="001B36A3">
        <w:t xml:space="preserve">. The following variables </w:t>
      </w:r>
      <w:proofErr w:type="gramStart"/>
      <w:r w:rsidR="001B36A3">
        <w:t>were used</w:t>
      </w:r>
      <w:proofErr w:type="gramEnd"/>
      <w:r w:rsidR="001B36A3">
        <w:t xml:space="preserve"> in the analysis. </w:t>
      </w:r>
    </w:p>
    <w:p w14:paraId="7A8309ED" w14:textId="77777777" w:rsidR="00E47DE7" w:rsidRDefault="00E47DE7" w:rsidP="00E47DE7">
      <w:pPr>
        <w:rPr>
          <w:b/>
          <w:bCs/>
        </w:rPr>
      </w:pPr>
      <w:proofErr w:type="spellStart"/>
      <w:r w:rsidRPr="00C64990">
        <w:rPr>
          <w:b/>
          <w:bCs/>
        </w:rPr>
        <w:t>TDB_AGE</w:t>
      </w:r>
      <w:proofErr w:type="spellEnd"/>
      <w:r w:rsidRPr="00C64990">
        <w:rPr>
          <w:b/>
          <w:bCs/>
        </w:rPr>
        <w:t>_</w:t>
      </w:r>
      <w:r>
        <w:rPr>
          <w:b/>
          <w:bCs/>
        </w:rPr>
        <w:t>(RANGE)</w:t>
      </w:r>
    </w:p>
    <w:p w14:paraId="1020BFA3" w14:textId="77777777" w:rsidR="00E47DE7" w:rsidRPr="00203689" w:rsidRDefault="00E47DE7" w:rsidP="00E47DE7">
      <w:r>
        <w:rPr>
          <w:b/>
          <w:bCs/>
        </w:rPr>
        <w:tab/>
      </w:r>
      <w:r w:rsidRPr="00203689">
        <w:t>Total debt balance by age group</w:t>
      </w:r>
    </w:p>
    <w:p w14:paraId="5364917A" w14:textId="77777777" w:rsidR="00E47DE7" w:rsidRDefault="00E47DE7" w:rsidP="00E47DE7">
      <w:r>
        <w:rPr>
          <w:b/>
          <w:bCs/>
        </w:rPr>
        <w:tab/>
      </w:r>
      <w:r>
        <w:t>Age 1 = 18-29</w:t>
      </w:r>
    </w:p>
    <w:p w14:paraId="542DD72D" w14:textId="77777777" w:rsidR="00E47DE7" w:rsidRDefault="00E47DE7" w:rsidP="00E47DE7">
      <w:r>
        <w:tab/>
        <w:t>Age 2 = 30-39</w:t>
      </w:r>
    </w:p>
    <w:p w14:paraId="7DA4BBBA" w14:textId="77777777" w:rsidR="00E47DE7" w:rsidRDefault="00E47DE7" w:rsidP="00E47DE7">
      <w:r>
        <w:tab/>
        <w:t>Age 3 = 40-49</w:t>
      </w:r>
    </w:p>
    <w:p w14:paraId="33C2BB5E" w14:textId="77777777" w:rsidR="00E47DE7" w:rsidRDefault="00E47DE7" w:rsidP="00E47DE7">
      <w:r>
        <w:tab/>
        <w:t>Age 4 = 50-59</w:t>
      </w:r>
    </w:p>
    <w:p w14:paraId="509AD519" w14:textId="77777777" w:rsidR="00E47DE7" w:rsidRDefault="00E47DE7" w:rsidP="00E47DE7">
      <w:r>
        <w:tab/>
        <w:t>Age 5 = 60-69</w:t>
      </w:r>
    </w:p>
    <w:p w14:paraId="5EEDF2A7" w14:textId="77777777" w:rsidR="00E47DE7" w:rsidRPr="00C64990" w:rsidRDefault="00E47DE7" w:rsidP="00E47DE7">
      <w:r>
        <w:tab/>
        <w:t xml:space="preserve">Age 6 = 70 and over </w:t>
      </w:r>
    </w:p>
    <w:p w14:paraId="6982D0F3" w14:textId="77777777" w:rsidR="00E47DE7" w:rsidRPr="003F7097" w:rsidRDefault="00E47DE7" w:rsidP="00E47DE7">
      <w:pPr>
        <w:rPr>
          <w:b/>
          <w:bCs/>
        </w:rPr>
      </w:pPr>
      <w:proofErr w:type="spellStart"/>
      <w:r w:rsidRPr="003F7097">
        <w:rPr>
          <w:b/>
          <w:bCs/>
        </w:rPr>
        <w:t>TDB_T</w:t>
      </w:r>
      <w:r>
        <w:rPr>
          <w:b/>
          <w:bCs/>
        </w:rPr>
        <w:t>RIL</w:t>
      </w:r>
      <w:proofErr w:type="spellEnd"/>
      <w:proofErr w:type="gramStart"/>
      <w:r w:rsidRPr="003F7097">
        <w:rPr>
          <w:b/>
          <w:bCs/>
        </w:rPr>
        <w:t>_</w:t>
      </w:r>
      <w:r>
        <w:rPr>
          <w:b/>
          <w:bCs/>
        </w:rPr>
        <w:t>(</w:t>
      </w:r>
      <w:proofErr w:type="gramEnd"/>
      <w:r>
        <w:rPr>
          <w:b/>
          <w:bCs/>
        </w:rPr>
        <w:t>AUTO -CC)</w:t>
      </w:r>
    </w:p>
    <w:p w14:paraId="5A96E3C6" w14:textId="77777777" w:rsidR="00E47DE7" w:rsidRDefault="00E47DE7" w:rsidP="00E47DE7">
      <w:pPr>
        <w:ind w:firstLine="720"/>
      </w:pPr>
      <w:r>
        <w:t xml:space="preserve">Total Debt Balance in trillions of dollars. Loan Category follows </w:t>
      </w:r>
      <w:proofErr w:type="spellStart"/>
      <w:r>
        <w:t>Tril</w:t>
      </w:r>
      <w:proofErr w:type="spellEnd"/>
      <w:r>
        <w:t>_</w:t>
      </w:r>
    </w:p>
    <w:p w14:paraId="69AD198A" w14:textId="77777777" w:rsidR="00E47DE7" w:rsidRPr="003F7097" w:rsidRDefault="00E47DE7" w:rsidP="00E47DE7">
      <w:pPr>
        <w:rPr>
          <w:b/>
          <w:bCs/>
        </w:rPr>
      </w:pPr>
      <w:proofErr w:type="spellStart"/>
      <w:r w:rsidRPr="003F7097">
        <w:rPr>
          <w:b/>
          <w:bCs/>
        </w:rPr>
        <w:t>NUM_ACC</w:t>
      </w:r>
      <w:proofErr w:type="spellEnd"/>
      <w:r w:rsidRPr="003F7097">
        <w:rPr>
          <w:b/>
          <w:bCs/>
        </w:rPr>
        <w:t>_</w:t>
      </w:r>
      <w:r>
        <w:rPr>
          <w:b/>
          <w:bCs/>
        </w:rPr>
        <w:t>(AUTO-CC)</w:t>
      </w:r>
    </w:p>
    <w:p w14:paraId="30B9B194" w14:textId="77777777" w:rsidR="00E47DE7" w:rsidRDefault="00E47DE7" w:rsidP="00E47DE7">
      <w:r>
        <w:tab/>
        <w:t xml:space="preserve">Number of Accounts in millions. Loan category follows ACC_ </w:t>
      </w:r>
    </w:p>
    <w:p w14:paraId="5EDE4A90" w14:textId="77777777" w:rsidR="00E47DE7" w:rsidRDefault="00E47DE7" w:rsidP="00E47DE7">
      <w:pPr>
        <w:rPr>
          <w:b/>
          <w:bCs/>
        </w:rPr>
      </w:pPr>
      <w:proofErr w:type="spellStart"/>
      <w:r>
        <w:rPr>
          <w:b/>
          <w:bCs/>
        </w:rPr>
        <w:t>AVG_BAL</w:t>
      </w:r>
      <w:proofErr w:type="spellEnd"/>
      <w:r>
        <w:rPr>
          <w:b/>
          <w:bCs/>
        </w:rPr>
        <w:t>_</w:t>
      </w:r>
    </w:p>
    <w:p w14:paraId="10DF6150" w14:textId="77777777" w:rsidR="00E47DE7" w:rsidRPr="00E46EE4" w:rsidRDefault="00E47DE7" w:rsidP="00E47DE7">
      <w:r>
        <w:rPr>
          <w:b/>
          <w:bCs/>
        </w:rPr>
        <w:tab/>
      </w:r>
      <w:r>
        <w:t xml:space="preserve">Average value of the credit type. Derived from dividing </w:t>
      </w:r>
      <w:proofErr w:type="spellStart"/>
      <w:r w:rsidRPr="002E7510">
        <w:rPr>
          <w:b/>
          <w:bCs/>
        </w:rPr>
        <w:t>TBD_TRIL</w:t>
      </w:r>
      <w:proofErr w:type="spellEnd"/>
      <w:r w:rsidRPr="002E7510">
        <w:rPr>
          <w:b/>
          <w:bCs/>
        </w:rPr>
        <w:t>_</w:t>
      </w:r>
      <w:r>
        <w:t xml:space="preserve"> / </w:t>
      </w:r>
      <w:proofErr w:type="spellStart"/>
      <w:r>
        <w:rPr>
          <w:b/>
          <w:bCs/>
        </w:rPr>
        <w:t>NUM_ACC</w:t>
      </w:r>
      <w:proofErr w:type="spellEnd"/>
      <w:r>
        <w:rPr>
          <w:b/>
          <w:bCs/>
        </w:rPr>
        <w:t xml:space="preserve">_. </w:t>
      </w:r>
      <w:r w:rsidRPr="00E46EE4">
        <w:t>Expressed in thousands</w:t>
      </w:r>
    </w:p>
    <w:p w14:paraId="64A4FC39" w14:textId="77777777" w:rsidR="00E47DE7" w:rsidRPr="00E84CCE" w:rsidRDefault="00E47DE7" w:rsidP="00E47DE7">
      <w:pPr>
        <w:rPr>
          <w:b/>
          <w:bCs/>
        </w:rPr>
      </w:pPr>
      <w:proofErr w:type="spellStart"/>
      <w:r>
        <w:rPr>
          <w:b/>
          <w:bCs/>
        </w:rPr>
        <w:t>AOR_BILL</w:t>
      </w:r>
      <w:proofErr w:type="spellEnd"/>
      <w:r>
        <w:rPr>
          <w:b/>
          <w:bCs/>
        </w:rPr>
        <w:t>_</w:t>
      </w:r>
    </w:p>
    <w:p w14:paraId="286CFF75" w14:textId="77777777" w:rsidR="00E47DE7" w:rsidRDefault="00E47DE7" w:rsidP="00E47DE7">
      <w:r w:rsidRPr="00D65233">
        <w:tab/>
        <w:t xml:space="preserve"> </w:t>
      </w:r>
      <w:r>
        <w:t xml:space="preserve">Auto loan origination by credit score. In billions of </w:t>
      </w:r>
      <w:proofErr w:type="spellStart"/>
      <w:r>
        <w:t>dolars</w:t>
      </w:r>
      <w:proofErr w:type="spellEnd"/>
    </w:p>
    <w:p w14:paraId="789102CB" w14:textId="77777777" w:rsidR="00E47DE7" w:rsidRDefault="00E47DE7" w:rsidP="00E47DE7">
      <w:r>
        <w:tab/>
      </w:r>
      <w:r>
        <w:tab/>
        <w:t>1= Less than 620 credit score</w:t>
      </w:r>
    </w:p>
    <w:p w14:paraId="6E251709" w14:textId="77777777" w:rsidR="00E47DE7" w:rsidRDefault="00E47DE7" w:rsidP="00E47DE7">
      <w:r>
        <w:tab/>
      </w:r>
      <w:r>
        <w:tab/>
        <w:t>2= Between 620 and 659 credit score</w:t>
      </w:r>
    </w:p>
    <w:p w14:paraId="1FF1A6B0" w14:textId="77777777" w:rsidR="00E47DE7" w:rsidRDefault="00E47DE7" w:rsidP="00E47DE7">
      <w:r>
        <w:tab/>
      </w:r>
      <w:r>
        <w:tab/>
        <w:t>3= Between 660 and 719 credit score</w:t>
      </w:r>
    </w:p>
    <w:p w14:paraId="14946F81" w14:textId="77777777" w:rsidR="00E47DE7" w:rsidRDefault="00E47DE7" w:rsidP="00E47DE7">
      <w:r>
        <w:tab/>
      </w:r>
      <w:r>
        <w:tab/>
        <w:t>4= Between 720 and 759 credit score</w:t>
      </w:r>
    </w:p>
    <w:p w14:paraId="1D8658DE" w14:textId="77777777" w:rsidR="00E47DE7" w:rsidRDefault="00E47DE7" w:rsidP="00E47DE7">
      <w:r>
        <w:tab/>
      </w:r>
      <w:r>
        <w:tab/>
        <w:t>5= Above 760 credit score</w:t>
      </w:r>
    </w:p>
    <w:p w14:paraId="460C0E8C" w14:textId="77777777" w:rsidR="00E47DE7" w:rsidRDefault="00E47DE7" w:rsidP="00E47DE7"/>
    <w:p w14:paraId="02E0FED1" w14:textId="64C01349" w:rsidR="00E47DE7" w:rsidRDefault="00E47DE7" w:rsidP="00E47DE7"/>
    <w:p w14:paraId="37B0C690" w14:textId="77777777" w:rsidR="00E47DE7" w:rsidRDefault="00E47DE7" w:rsidP="00E47DE7"/>
    <w:p w14:paraId="0C9C3A79" w14:textId="77777777" w:rsidR="00E47DE7" w:rsidRDefault="00E47DE7" w:rsidP="00E47DE7">
      <w:pPr>
        <w:rPr>
          <w:b/>
          <w:bCs/>
        </w:rPr>
      </w:pPr>
      <w:proofErr w:type="spellStart"/>
      <w:r w:rsidRPr="009E5EE2">
        <w:rPr>
          <w:b/>
          <w:bCs/>
        </w:rPr>
        <w:t>NEW_DEL</w:t>
      </w:r>
      <w:proofErr w:type="spellEnd"/>
      <w:r w:rsidRPr="009E5EE2">
        <w:rPr>
          <w:b/>
          <w:bCs/>
        </w:rPr>
        <w:t>_</w:t>
      </w:r>
      <w:r>
        <w:rPr>
          <w:b/>
          <w:bCs/>
        </w:rPr>
        <w:t xml:space="preserve"> (AUTO, CC) _PER</w:t>
      </w:r>
    </w:p>
    <w:p w14:paraId="607BDD51" w14:textId="77777777" w:rsidR="00E47DE7" w:rsidRDefault="00E47DE7" w:rsidP="00E47DE7">
      <w:pPr>
        <w:ind w:left="720"/>
      </w:pPr>
      <w:r w:rsidRPr="009E5EE2">
        <w:t>New delinquencies by loan type</w:t>
      </w:r>
      <w:r>
        <w:t xml:space="preserve">. This is a loan which previously was current. PER is the percent of new delinquencies. </w:t>
      </w:r>
    </w:p>
    <w:p w14:paraId="0AE66774" w14:textId="77777777" w:rsidR="00E47DE7" w:rsidRDefault="00E47DE7" w:rsidP="00E47DE7">
      <w:pPr>
        <w:rPr>
          <w:b/>
          <w:bCs/>
        </w:rPr>
      </w:pPr>
      <w:proofErr w:type="spellStart"/>
      <w:r>
        <w:rPr>
          <w:b/>
          <w:bCs/>
        </w:rPr>
        <w:t>SER_DEL_AUTO_PER</w:t>
      </w:r>
      <w:proofErr w:type="spellEnd"/>
    </w:p>
    <w:p w14:paraId="441B7B12" w14:textId="77777777" w:rsidR="00E47DE7" w:rsidRDefault="00E47DE7" w:rsidP="00E47DE7">
      <w:r>
        <w:rPr>
          <w:b/>
          <w:bCs/>
        </w:rPr>
        <w:tab/>
      </w:r>
      <w:r w:rsidRPr="00386A17">
        <w:t>Serious</w:t>
      </w:r>
      <w:r>
        <w:t xml:space="preserve"> delinquency is an account that is 90 days or more delinquent. </w:t>
      </w:r>
    </w:p>
    <w:p w14:paraId="6D4D48A3" w14:textId="77777777" w:rsidR="00E47DE7" w:rsidRDefault="00E47DE7" w:rsidP="00E47DE7">
      <w:pPr>
        <w:rPr>
          <w:b/>
          <w:bCs/>
        </w:rPr>
      </w:pPr>
      <w:proofErr w:type="spellStart"/>
      <w:r w:rsidRPr="00203689">
        <w:rPr>
          <w:b/>
          <w:bCs/>
        </w:rPr>
        <w:t>SER_</w:t>
      </w:r>
      <w:r>
        <w:rPr>
          <w:b/>
          <w:bCs/>
        </w:rPr>
        <w:t>DEL_AGE</w:t>
      </w:r>
      <w:proofErr w:type="spellEnd"/>
      <w:r>
        <w:rPr>
          <w:b/>
          <w:bCs/>
        </w:rPr>
        <w:t>_(range)</w:t>
      </w:r>
    </w:p>
    <w:p w14:paraId="48E89305" w14:textId="77777777" w:rsidR="00E47DE7" w:rsidRPr="00203689" w:rsidRDefault="00E47DE7" w:rsidP="00E47DE7">
      <w:r>
        <w:rPr>
          <w:b/>
          <w:bCs/>
        </w:rPr>
        <w:tab/>
      </w:r>
      <w:r w:rsidRPr="00203689">
        <w:t>Transition to serious delinquency by age range</w:t>
      </w:r>
      <w:r>
        <w:t>, percent. All debt</w:t>
      </w:r>
    </w:p>
    <w:p w14:paraId="1D5CFFC2" w14:textId="77777777" w:rsidR="00E47DE7" w:rsidRDefault="00E47DE7" w:rsidP="00E47DE7">
      <w:r>
        <w:tab/>
        <w:t>Age 1 = 18-29</w:t>
      </w:r>
    </w:p>
    <w:p w14:paraId="13CC8042" w14:textId="77777777" w:rsidR="00E47DE7" w:rsidRDefault="00E47DE7" w:rsidP="00E47DE7">
      <w:r>
        <w:tab/>
        <w:t>Age 2 = 30-39</w:t>
      </w:r>
    </w:p>
    <w:p w14:paraId="27612218" w14:textId="77777777" w:rsidR="00E47DE7" w:rsidRDefault="00E47DE7" w:rsidP="00E47DE7">
      <w:r>
        <w:tab/>
        <w:t>Age 3 = 40-49</w:t>
      </w:r>
    </w:p>
    <w:p w14:paraId="5465BC73" w14:textId="77777777" w:rsidR="00E47DE7" w:rsidRDefault="00E47DE7" w:rsidP="00E47DE7">
      <w:r>
        <w:tab/>
        <w:t>Age 4 = 50-59</w:t>
      </w:r>
    </w:p>
    <w:p w14:paraId="5DFB576D" w14:textId="77777777" w:rsidR="00E47DE7" w:rsidRDefault="00E47DE7" w:rsidP="00E47DE7">
      <w:r>
        <w:tab/>
        <w:t>Age 5 = 60-69</w:t>
      </w:r>
    </w:p>
    <w:p w14:paraId="0E55CDA9" w14:textId="77777777" w:rsidR="00E47DE7" w:rsidRPr="00C64990" w:rsidRDefault="00E47DE7" w:rsidP="00E47DE7">
      <w:r>
        <w:tab/>
        <w:t xml:space="preserve">Age 6 = 70 and over </w:t>
      </w:r>
    </w:p>
    <w:p w14:paraId="0CBF96CD" w14:textId="77777777" w:rsidR="00E47DE7" w:rsidRDefault="00E47DE7" w:rsidP="00E47DE7">
      <w:pPr>
        <w:rPr>
          <w:b/>
          <w:bCs/>
        </w:rPr>
      </w:pPr>
      <w:proofErr w:type="spellStart"/>
      <w:r w:rsidRPr="00203689">
        <w:rPr>
          <w:b/>
          <w:bCs/>
        </w:rPr>
        <w:t>SER_</w:t>
      </w:r>
      <w:r>
        <w:rPr>
          <w:b/>
          <w:bCs/>
        </w:rPr>
        <w:t>DEL_AUTO_AGE</w:t>
      </w:r>
      <w:proofErr w:type="spellEnd"/>
      <w:r>
        <w:rPr>
          <w:b/>
          <w:bCs/>
        </w:rPr>
        <w:t>_(range)</w:t>
      </w:r>
    </w:p>
    <w:p w14:paraId="2D08F81C" w14:textId="77777777" w:rsidR="00E47DE7" w:rsidRPr="00203689" w:rsidRDefault="00E47DE7" w:rsidP="00E47DE7">
      <w:r>
        <w:rPr>
          <w:b/>
          <w:bCs/>
        </w:rPr>
        <w:tab/>
      </w:r>
      <w:r w:rsidRPr="00203689">
        <w:t>Transition to serious delinquency by age range</w:t>
      </w:r>
      <w:r>
        <w:t>, percent. Auto loans</w:t>
      </w:r>
    </w:p>
    <w:p w14:paraId="4C232882" w14:textId="77777777" w:rsidR="00E47DE7" w:rsidRDefault="00E47DE7" w:rsidP="00E47DE7">
      <w:r>
        <w:tab/>
        <w:t>Age 1 = 18-29</w:t>
      </w:r>
    </w:p>
    <w:p w14:paraId="7BD5D100" w14:textId="77777777" w:rsidR="00E47DE7" w:rsidRDefault="00E47DE7" w:rsidP="00E47DE7">
      <w:r>
        <w:tab/>
        <w:t>Age 2 = 30-39</w:t>
      </w:r>
    </w:p>
    <w:p w14:paraId="54BFDBAB" w14:textId="77777777" w:rsidR="00E47DE7" w:rsidRDefault="00E47DE7" w:rsidP="00E47DE7">
      <w:r>
        <w:tab/>
        <w:t>Age 3 = 40-49</w:t>
      </w:r>
    </w:p>
    <w:p w14:paraId="5F5B13E6" w14:textId="77777777" w:rsidR="00E47DE7" w:rsidRDefault="00E47DE7" w:rsidP="00E47DE7">
      <w:r>
        <w:tab/>
        <w:t>Age 4 = 50-59</w:t>
      </w:r>
    </w:p>
    <w:p w14:paraId="44174428" w14:textId="77777777" w:rsidR="00E47DE7" w:rsidRDefault="00E47DE7" w:rsidP="00E47DE7">
      <w:r>
        <w:tab/>
        <w:t>Age 5 = 60-69</w:t>
      </w:r>
    </w:p>
    <w:p w14:paraId="4B9E980F" w14:textId="77777777" w:rsidR="00E47DE7" w:rsidRDefault="00E47DE7" w:rsidP="00E47DE7">
      <w:r>
        <w:tab/>
        <w:t xml:space="preserve">Age 6 = 70 and over </w:t>
      </w:r>
    </w:p>
    <w:p w14:paraId="1E3C5603" w14:textId="77777777" w:rsidR="00E47DE7" w:rsidRDefault="00E47DE7" w:rsidP="00E47DE7">
      <w:pPr>
        <w:rPr>
          <w:b/>
          <w:bCs/>
        </w:rPr>
      </w:pPr>
      <w:proofErr w:type="spellStart"/>
      <w:r w:rsidRPr="00203689">
        <w:rPr>
          <w:b/>
          <w:bCs/>
        </w:rPr>
        <w:t>SER_</w:t>
      </w:r>
      <w:r>
        <w:rPr>
          <w:b/>
          <w:bCs/>
        </w:rPr>
        <w:t>DEL_CC</w:t>
      </w:r>
      <w:proofErr w:type="spellEnd"/>
      <w:r>
        <w:rPr>
          <w:b/>
          <w:bCs/>
        </w:rPr>
        <w:t xml:space="preserve"> _AGE_(range)</w:t>
      </w:r>
    </w:p>
    <w:p w14:paraId="0BBC6D69" w14:textId="77777777" w:rsidR="00E47DE7" w:rsidRPr="00203689" w:rsidRDefault="00E47DE7" w:rsidP="00E47DE7">
      <w:r>
        <w:rPr>
          <w:b/>
          <w:bCs/>
        </w:rPr>
        <w:tab/>
      </w:r>
      <w:r w:rsidRPr="00203689">
        <w:t>Transition to serious delinquency by age range</w:t>
      </w:r>
      <w:r>
        <w:t>, percent. Credit cards</w:t>
      </w:r>
    </w:p>
    <w:p w14:paraId="56BE1116" w14:textId="77777777" w:rsidR="00E47DE7" w:rsidRDefault="00E47DE7" w:rsidP="00E47DE7">
      <w:r>
        <w:tab/>
        <w:t>Age 1 = 18-29</w:t>
      </w:r>
    </w:p>
    <w:p w14:paraId="54A25ED2" w14:textId="77777777" w:rsidR="00E47DE7" w:rsidRDefault="00E47DE7" w:rsidP="00E47DE7">
      <w:r>
        <w:tab/>
        <w:t>Age 2 = 30-39</w:t>
      </w:r>
    </w:p>
    <w:p w14:paraId="741C725B" w14:textId="77777777" w:rsidR="00E47DE7" w:rsidRDefault="00E47DE7" w:rsidP="00E47DE7">
      <w:r>
        <w:tab/>
        <w:t>Age 3 = 40-49</w:t>
      </w:r>
    </w:p>
    <w:p w14:paraId="025C059F" w14:textId="77777777" w:rsidR="00E47DE7" w:rsidRDefault="00E47DE7" w:rsidP="00E47DE7">
      <w:r>
        <w:tab/>
        <w:t>Age 4 = 50-59</w:t>
      </w:r>
    </w:p>
    <w:p w14:paraId="1F506248" w14:textId="77777777" w:rsidR="00E47DE7" w:rsidRPr="00ED74D3" w:rsidRDefault="00E47DE7" w:rsidP="00E47DE7">
      <w:pPr>
        <w:rPr>
          <w:i/>
          <w:iCs/>
        </w:rPr>
      </w:pPr>
      <w:proofErr w:type="spellStart"/>
      <w:r w:rsidRPr="00203689">
        <w:rPr>
          <w:b/>
          <w:bCs/>
        </w:rPr>
        <w:lastRenderedPageBreak/>
        <w:t>SER_</w:t>
      </w:r>
      <w:r>
        <w:rPr>
          <w:b/>
          <w:bCs/>
        </w:rPr>
        <w:t>DEL_CC</w:t>
      </w:r>
      <w:proofErr w:type="spellEnd"/>
      <w:r>
        <w:rPr>
          <w:b/>
          <w:bCs/>
        </w:rPr>
        <w:t xml:space="preserve"> _AGE_(range) </w:t>
      </w:r>
      <w:r>
        <w:rPr>
          <w:i/>
          <w:iCs/>
        </w:rPr>
        <w:t>(cont.)</w:t>
      </w:r>
    </w:p>
    <w:p w14:paraId="69D71C81" w14:textId="77777777" w:rsidR="00E47DE7" w:rsidRDefault="00E47DE7" w:rsidP="00E47DE7">
      <w:r>
        <w:tab/>
        <w:t>Age 5 = 60-69</w:t>
      </w:r>
    </w:p>
    <w:p w14:paraId="7C6D621E" w14:textId="77777777" w:rsidR="00E47DE7" w:rsidRDefault="00E47DE7" w:rsidP="00E47DE7">
      <w:r>
        <w:tab/>
        <w:t xml:space="preserve">Age 6 = 70 and over </w:t>
      </w:r>
    </w:p>
    <w:p w14:paraId="0B5A1043" w14:textId="77777777" w:rsidR="00E47DE7" w:rsidRDefault="00E47DE7" w:rsidP="00E47DE7">
      <w:pPr>
        <w:rPr>
          <w:b/>
          <w:bCs/>
        </w:rPr>
      </w:pPr>
      <w:proofErr w:type="spellStart"/>
      <w:r>
        <w:rPr>
          <w:b/>
          <w:bCs/>
        </w:rPr>
        <w:t>BK_AGE</w:t>
      </w:r>
      <w:proofErr w:type="spellEnd"/>
      <w:r>
        <w:rPr>
          <w:b/>
          <w:bCs/>
        </w:rPr>
        <w:t>_(range)</w:t>
      </w:r>
    </w:p>
    <w:p w14:paraId="192E9B75" w14:textId="77777777" w:rsidR="00E47DE7" w:rsidRDefault="00E47DE7" w:rsidP="00E47DE7">
      <w:r>
        <w:rPr>
          <w:b/>
          <w:bCs/>
        </w:rPr>
        <w:tab/>
      </w:r>
      <w:r w:rsidRPr="001F5E6C">
        <w:t>Percent of new bankruptcies by age range</w:t>
      </w:r>
    </w:p>
    <w:p w14:paraId="2C0E8510" w14:textId="77777777" w:rsidR="00E47DE7" w:rsidRDefault="00E47DE7" w:rsidP="00E47DE7">
      <w:r>
        <w:tab/>
        <w:t>Age 1 = 18-29</w:t>
      </w:r>
    </w:p>
    <w:p w14:paraId="44137B12" w14:textId="77777777" w:rsidR="00E47DE7" w:rsidRDefault="00E47DE7" w:rsidP="00E47DE7">
      <w:r>
        <w:tab/>
        <w:t>Age 2 = 30-39</w:t>
      </w:r>
    </w:p>
    <w:p w14:paraId="3A654D96" w14:textId="77777777" w:rsidR="00E47DE7" w:rsidRDefault="00E47DE7" w:rsidP="00E47DE7">
      <w:r>
        <w:tab/>
        <w:t>Age 3 = 40-49</w:t>
      </w:r>
    </w:p>
    <w:p w14:paraId="5B5E4A7C" w14:textId="77777777" w:rsidR="00E47DE7" w:rsidRDefault="00E47DE7" w:rsidP="00E47DE7">
      <w:r>
        <w:tab/>
        <w:t>Age 4 = 50-59</w:t>
      </w:r>
    </w:p>
    <w:p w14:paraId="4B5C4C77" w14:textId="77777777" w:rsidR="00E47DE7" w:rsidRDefault="00E47DE7" w:rsidP="00E47DE7">
      <w:r>
        <w:tab/>
        <w:t>Age 5 = 60-69</w:t>
      </w:r>
    </w:p>
    <w:p w14:paraId="2EEE4DC5" w14:textId="77777777" w:rsidR="00E47DE7" w:rsidRDefault="00E47DE7" w:rsidP="00E47DE7">
      <w:r>
        <w:tab/>
        <w:t xml:space="preserve">Age 6 = 70 and over </w:t>
      </w:r>
    </w:p>
    <w:p w14:paraId="072A3E8F" w14:textId="77777777" w:rsidR="00E47DE7" w:rsidRDefault="00E47DE7" w:rsidP="00E47DE7">
      <w:pPr>
        <w:rPr>
          <w:b/>
          <w:bCs/>
        </w:rPr>
      </w:pPr>
      <w:proofErr w:type="spellStart"/>
      <w:r>
        <w:rPr>
          <w:b/>
          <w:bCs/>
        </w:rPr>
        <w:t>FINOB</w:t>
      </w:r>
      <w:proofErr w:type="spellEnd"/>
    </w:p>
    <w:p w14:paraId="7AAEAC11" w14:textId="77777777" w:rsidR="00E47DE7" w:rsidRPr="00E47DE7" w:rsidRDefault="00E47DE7" w:rsidP="00E47DE7">
      <w:r>
        <w:rPr>
          <w:b/>
          <w:bCs/>
        </w:rPr>
        <w:tab/>
      </w:r>
      <w:r w:rsidRPr="00E47DE7">
        <w:t xml:space="preserve">Financial obligations, seasonally adjusted, expressed as a percent. </w:t>
      </w:r>
      <w:r w:rsidRPr="00E47DE7">
        <w:rPr>
          <w:color w:val="000000"/>
          <w:shd w:val="clear" w:color="auto" w:fill="FFFFFF"/>
        </w:rPr>
        <w:t>It includes rent payments on tenant-occupied property, auto lease payments, homeowners' insurance, and property tax payments.</w:t>
      </w:r>
    </w:p>
    <w:p w14:paraId="1A0C0A41" w14:textId="77777777" w:rsidR="00E47DE7" w:rsidRDefault="00E47DE7" w:rsidP="00E47DE7">
      <w:pPr>
        <w:rPr>
          <w:b/>
          <w:bCs/>
        </w:rPr>
      </w:pPr>
      <w:proofErr w:type="spellStart"/>
      <w:r>
        <w:rPr>
          <w:b/>
          <w:bCs/>
        </w:rPr>
        <w:t>CDS_RATIO</w:t>
      </w:r>
      <w:proofErr w:type="spellEnd"/>
    </w:p>
    <w:p w14:paraId="5AF21FAD" w14:textId="77777777" w:rsidR="00E47DE7" w:rsidRPr="00E47DE7" w:rsidRDefault="00E47DE7" w:rsidP="00E47DE7">
      <w:r>
        <w:rPr>
          <w:b/>
          <w:bCs/>
        </w:rPr>
        <w:tab/>
      </w:r>
      <w:r w:rsidRPr="00E47DE7">
        <w:t xml:space="preserve">Consumer debt service ratio expressed as a percent. </w:t>
      </w:r>
      <w:r w:rsidRPr="00E47DE7">
        <w:rPr>
          <w:color w:val="000000"/>
          <w:shd w:val="clear" w:color="auto" w:fill="FFFFFF"/>
        </w:rPr>
        <w:t xml:space="preserve">The Consumer </w:t>
      </w:r>
      <w:proofErr w:type="spellStart"/>
      <w:r w:rsidRPr="00E47DE7">
        <w:rPr>
          <w:color w:val="000000"/>
          <w:shd w:val="clear" w:color="auto" w:fill="FFFFFF"/>
        </w:rPr>
        <w:t>DSR</w:t>
      </w:r>
      <w:proofErr w:type="spellEnd"/>
      <w:r w:rsidRPr="00E47DE7">
        <w:rPr>
          <w:color w:val="000000"/>
          <w:shd w:val="clear" w:color="auto" w:fill="FFFFFF"/>
        </w:rPr>
        <w:t xml:space="preserve"> is total quarterly scheduled consumer debt payments divided by total quarterly disposable personal income.</w:t>
      </w:r>
    </w:p>
    <w:p w14:paraId="15B6154E" w14:textId="3B9AA0D9" w:rsidR="00E115D2" w:rsidRDefault="00E115D2">
      <w:r>
        <w:br w:type="page"/>
      </w:r>
    </w:p>
    <w:p w14:paraId="306A6C6C" w14:textId="77777777" w:rsidR="00E115D2" w:rsidRDefault="00E115D2" w:rsidP="00E115D2">
      <w:pPr>
        <w:pStyle w:val="NormalWeb"/>
        <w:spacing w:before="0" w:beforeAutospacing="0" w:after="0" w:afterAutospacing="0" w:line="480" w:lineRule="auto"/>
        <w:jc w:val="center"/>
      </w:pPr>
      <w:r>
        <w:lastRenderedPageBreak/>
        <w:t>References</w:t>
      </w:r>
    </w:p>
    <w:p w14:paraId="7DCE3350" w14:textId="77777777" w:rsidR="00E115D2" w:rsidRDefault="00E115D2" w:rsidP="00E115D2">
      <w:pPr>
        <w:pStyle w:val="NormalWeb"/>
        <w:spacing w:before="0" w:beforeAutospacing="0" w:after="0" w:afterAutospacing="0" w:line="480" w:lineRule="auto"/>
        <w:ind w:left="720" w:hanging="720"/>
      </w:pPr>
      <w:proofErr w:type="spellStart"/>
      <w:r>
        <w:t>Buchholtz</w:t>
      </w:r>
      <w:proofErr w:type="spellEnd"/>
      <w:r>
        <w:t xml:space="preserve">, K. (2020, September 22). </w:t>
      </w:r>
      <w:r>
        <w:rPr>
          <w:i/>
          <w:iCs/>
        </w:rPr>
        <w:t>Infographic: 2021 to Set off Avalanche of Business Insolvencies.</w:t>
      </w:r>
      <w:r>
        <w:t xml:space="preserve"> </w:t>
      </w:r>
      <w:proofErr w:type="spellStart"/>
      <w:r>
        <w:t>Statistia</w:t>
      </w:r>
      <w:proofErr w:type="spellEnd"/>
      <w:proofErr w:type="gramStart"/>
      <w:r>
        <w:t>. .</w:t>
      </w:r>
      <w:proofErr w:type="gramEnd"/>
      <w:r>
        <w:t xml:space="preserve"> https://www.statista.com/chart/22996/projected-increase-of-business-insolvencies-per-year/</w:t>
      </w:r>
    </w:p>
    <w:p w14:paraId="6A937A39" w14:textId="77777777" w:rsidR="00E115D2" w:rsidRDefault="00E115D2" w:rsidP="00E115D2">
      <w:pPr>
        <w:pStyle w:val="NormalWeb"/>
        <w:spacing w:before="0" w:beforeAutospacing="0" w:after="0" w:afterAutospacing="0" w:line="480" w:lineRule="auto"/>
        <w:ind w:left="720" w:hanging="720"/>
      </w:pPr>
      <w:r>
        <w:t xml:space="preserve">Federal Reserve Bank. (2013). </w:t>
      </w:r>
      <w:r>
        <w:rPr>
          <w:i/>
          <w:iCs/>
        </w:rPr>
        <w:t>Household Debt Service and Financial Obligations Ratios</w:t>
      </w:r>
      <w:r>
        <w:t xml:space="preserve">. </w:t>
      </w:r>
      <w:proofErr w:type="spellStart"/>
      <w:r>
        <w:t>Federalreserve.gov</w:t>
      </w:r>
      <w:proofErr w:type="spellEnd"/>
      <w:r>
        <w:t>. https://</w:t>
      </w:r>
      <w:proofErr w:type="spellStart"/>
      <w:r>
        <w:t>www.federalreserve.gov</w:t>
      </w:r>
      <w:proofErr w:type="spellEnd"/>
      <w:r>
        <w:t>/releases/</w:t>
      </w:r>
      <w:proofErr w:type="spellStart"/>
      <w:r>
        <w:t>housedebt</w:t>
      </w:r>
      <w:proofErr w:type="spellEnd"/>
      <w:r>
        <w:t>/</w:t>
      </w:r>
      <w:proofErr w:type="spellStart"/>
      <w:r>
        <w:t>about.htm</w:t>
      </w:r>
      <w:proofErr w:type="spellEnd"/>
    </w:p>
    <w:p w14:paraId="36C4C7C8" w14:textId="77777777" w:rsidR="00E115D2" w:rsidRDefault="00E115D2" w:rsidP="00E115D2">
      <w:pPr>
        <w:pStyle w:val="NormalWeb"/>
        <w:spacing w:before="0" w:beforeAutospacing="0" w:after="0" w:afterAutospacing="0" w:line="480" w:lineRule="auto"/>
        <w:ind w:left="720" w:hanging="720"/>
      </w:pPr>
      <w:r>
        <w:t xml:space="preserve">Federal Reserve Bank of New York. (2021). Quarterly report on household debt and credit. In </w:t>
      </w:r>
      <w:proofErr w:type="spellStart"/>
      <w:r>
        <w:rPr>
          <w:i/>
          <w:iCs/>
        </w:rPr>
        <w:t>newyorkfed.org</w:t>
      </w:r>
      <w:proofErr w:type="spellEnd"/>
      <w:r>
        <w:t xml:space="preserve"> (p. 15). https://www.newyorkfed.org/medialibrary/interactives/householdcredit/data/pdf/HHDC_2020Q4.pdf</w:t>
      </w:r>
    </w:p>
    <w:p w14:paraId="36310CCA" w14:textId="77777777" w:rsidR="00E115D2" w:rsidRDefault="00E115D2" w:rsidP="00E115D2">
      <w:pPr>
        <w:pStyle w:val="NormalWeb"/>
        <w:spacing w:before="0" w:beforeAutospacing="0" w:after="0" w:afterAutospacing="0" w:line="480" w:lineRule="auto"/>
        <w:ind w:left="720" w:hanging="720"/>
      </w:pPr>
      <w:proofErr w:type="spellStart"/>
      <w:r>
        <w:t>Herkenhoff</w:t>
      </w:r>
      <w:proofErr w:type="spellEnd"/>
      <w:r>
        <w:t xml:space="preserve">, K. (2019, February 7). </w:t>
      </w:r>
      <w:r>
        <w:rPr>
          <w:i/>
          <w:iCs/>
        </w:rPr>
        <w:t>The impact of consumer credit access on unemployment: Discovery service for CSU - Global Campus</w:t>
      </w:r>
      <w:r>
        <w:t xml:space="preserve">. </w:t>
      </w:r>
      <w:proofErr w:type="spellStart"/>
      <w:r>
        <w:t>Oclc.org</w:t>
      </w:r>
      <w:proofErr w:type="spellEnd"/>
      <w:r>
        <w:t>; Review of Economic Studies. https://eds-a-ebscohost-com.csuglobal.idm.oclc.org/eds/detail/detail?vid=4&amp;sid=d7695bc9-beb6-41e6-8e6e-eb32cbdd8d0d%40sessionmgr4007&amp;bdata=JnNpdGU9ZWRzLWxpdmU%3d#AN=139743878&amp;db=bth</w:t>
      </w:r>
    </w:p>
    <w:p w14:paraId="12C45FA7" w14:textId="77777777" w:rsidR="00E115D2" w:rsidRDefault="00E115D2" w:rsidP="00E115D2">
      <w:pPr>
        <w:pStyle w:val="NormalWeb"/>
        <w:spacing w:before="0" w:beforeAutospacing="0" w:after="0" w:afterAutospacing="0" w:line="480" w:lineRule="auto"/>
        <w:ind w:left="720" w:hanging="720"/>
      </w:pPr>
      <w:r>
        <w:t xml:space="preserve">Holt, S., &amp; Lucas McKay, K. (n.d.). Consumer Debt A Primer. In </w:t>
      </w:r>
      <w:proofErr w:type="spellStart"/>
      <w:r>
        <w:rPr>
          <w:i/>
          <w:iCs/>
        </w:rPr>
        <w:t>aspeninstitute.org</w:t>
      </w:r>
      <w:proofErr w:type="spellEnd"/>
      <w:r>
        <w:t>. Retrieved February 19, 2021, from https://www.aspeninstitute.org/wp-content/uploads/2018/03/ASPEN_ConsumerDebt_06B.pdf</w:t>
      </w:r>
    </w:p>
    <w:p w14:paraId="12963AF9" w14:textId="77777777" w:rsidR="00E115D2" w:rsidRDefault="00E115D2" w:rsidP="00E115D2">
      <w:pPr>
        <w:pStyle w:val="NormalWeb"/>
        <w:spacing w:before="0" w:beforeAutospacing="0" w:after="0" w:afterAutospacing="0" w:line="480" w:lineRule="auto"/>
        <w:ind w:left="720" w:hanging="720"/>
      </w:pPr>
      <w:r>
        <w:t xml:space="preserve">United States Department of Labor. (2021, January 5). </w:t>
      </w:r>
      <w:r>
        <w:rPr>
          <w:i/>
          <w:iCs/>
        </w:rPr>
        <w:t>Labor Force Statistics from the Current Population Survey</w:t>
      </w:r>
      <w:r>
        <w:t xml:space="preserve">. </w:t>
      </w:r>
      <w:proofErr w:type="spellStart"/>
      <w:r>
        <w:t>Bls.gov</w:t>
      </w:r>
      <w:proofErr w:type="spellEnd"/>
      <w:r>
        <w:t>. https://</w:t>
      </w:r>
      <w:proofErr w:type="spellStart"/>
      <w:r>
        <w:t>beta.bls.gov</w:t>
      </w:r>
      <w:proofErr w:type="spellEnd"/>
      <w:r>
        <w:t>/</w:t>
      </w:r>
      <w:proofErr w:type="spellStart"/>
      <w:r>
        <w:t>dataViewer</w:t>
      </w:r>
      <w:proofErr w:type="spellEnd"/>
      <w:r>
        <w:t>/view</w:t>
      </w:r>
    </w:p>
    <w:p w14:paraId="36196738" w14:textId="77777777" w:rsidR="00E47DE7" w:rsidRPr="00D65233" w:rsidRDefault="00E47DE7" w:rsidP="00E47DE7"/>
    <w:p w14:paraId="055C0291" w14:textId="77777777" w:rsidR="00E47DE7" w:rsidRPr="00C64990" w:rsidRDefault="00E47DE7" w:rsidP="00E47DE7"/>
    <w:p w14:paraId="4C95B2E8" w14:textId="77777777" w:rsidR="00641FD2" w:rsidRPr="00F843F9" w:rsidRDefault="00641FD2" w:rsidP="00F843F9">
      <w:pPr>
        <w:spacing w:line="480" w:lineRule="auto"/>
      </w:pPr>
    </w:p>
    <w:sectPr w:rsidR="00641FD2" w:rsidRPr="00F843F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D1B45" w14:textId="77777777" w:rsidR="00261E68" w:rsidRDefault="00261E68" w:rsidP="00C12325">
      <w:pPr>
        <w:spacing w:after="0" w:line="240" w:lineRule="auto"/>
      </w:pPr>
      <w:r>
        <w:separator/>
      </w:r>
    </w:p>
  </w:endnote>
  <w:endnote w:type="continuationSeparator" w:id="0">
    <w:p w14:paraId="25B5B575" w14:textId="77777777" w:rsidR="00261E68" w:rsidRDefault="00261E68" w:rsidP="00C1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EE189" w14:textId="77777777" w:rsidR="00261E68" w:rsidRDefault="00261E68" w:rsidP="00C12325">
      <w:pPr>
        <w:spacing w:after="0" w:line="240" w:lineRule="auto"/>
      </w:pPr>
      <w:r>
        <w:separator/>
      </w:r>
    </w:p>
  </w:footnote>
  <w:footnote w:type="continuationSeparator" w:id="0">
    <w:p w14:paraId="022BB7E5" w14:textId="77777777" w:rsidR="00261E68" w:rsidRDefault="00261E68" w:rsidP="00C12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DD998" w14:textId="0FA53F93" w:rsidR="00261E68" w:rsidRDefault="00261E68">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25"/>
    <w:rsid w:val="0009011E"/>
    <w:rsid w:val="000A2DE3"/>
    <w:rsid w:val="001473FD"/>
    <w:rsid w:val="00173C82"/>
    <w:rsid w:val="001B36A3"/>
    <w:rsid w:val="001C303A"/>
    <w:rsid w:val="001E2733"/>
    <w:rsid w:val="0022119F"/>
    <w:rsid w:val="00261E68"/>
    <w:rsid w:val="003071CB"/>
    <w:rsid w:val="003513C8"/>
    <w:rsid w:val="0037583D"/>
    <w:rsid w:val="003B73D2"/>
    <w:rsid w:val="00426D3A"/>
    <w:rsid w:val="004D1A5B"/>
    <w:rsid w:val="004F522D"/>
    <w:rsid w:val="005105E9"/>
    <w:rsid w:val="00535367"/>
    <w:rsid w:val="00536D1B"/>
    <w:rsid w:val="00572087"/>
    <w:rsid w:val="005B621F"/>
    <w:rsid w:val="005F75FC"/>
    <w:rsid w:val="006055D3"/>
    <w:rsid w:val="00641FD2"/>
    <w:rsid w:val="00645CC2"/>
    <w:rsid w:val="00656DC0"/>
    <w:rsid w:val="00671D9F"/>
    <w:rsid w:val="00673D76"/>
    <w:rsid w:val="0067782C"/>
    <w:rsid w:val="006E2B26"/>
    <w:rsid w:val="006F410F"/>
    <w:rsid w:val="0074266C"/>
    <w:rsid w:val="0077636F"/>
    <w:rsid w:val="007F2DB2"/>
    <w:rsid w:val="008332FF"/>
    <w:rsid w:val="00896E78"/>
    <w:rsid w:val="00917F6C"/>
    <w:rsid w:val="009240D3"/>
    <w:rsid w:val="00966004"/>
    <w:rsid w:val="009D4E73"/>
    <w:rsid w:val="009E6B17"/>
    <w:rsid w:val="00A01583"/>
    <w:rsid w:val="00A54D4C"/>
    <w:rsid w:val="00A5543E"/>
    <w:rsid w:val="00A879FE"/>
    <w:rsid w:val="00AA669D"/>
    <w:rsid w:val="00B716E0"/>
    <w:rsid w:val="00C12325"/>
    <w:rsid w:val="00C15558"/>
    <w:rsid w:val="00C747A8"/>
    <w:rsid w:val="00CF4A86"/>
    <w:rsid w:val="00D10161"/>
    <w:rsid w:val="00D43085"/>
    <w:rsid w:val="00E115D2"/>
    <w:rsid w:val="00E47DE7"/>
    <w:rsid w:val="00EA308A"/>
    <w:rsid w:val="00EA67CC"/>
    <w:rsid w:val="00ED6442"/>
    <w:rsid w:val="00F843F9"/>
    <w:rsid w:val="00FD2315"/>
    <w:rsid w:val="00FF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81A3"/>
  <w15:chartTrackingRefBased/>
  <w15:docId w15:val="{429AE55E-F5C3-46BA-8EC8-37C7FC03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25"/>
  </w:style>
  <w:style w:type="paragraph" w:styleId="Footer">
    <w:name w:val="footer"/>
    <w:basedOn w:val="Normal"/>
    <w:link w:val="FooterChar"/>
    <w:uiPriority w:val="99"/>
    <w:unhideWhenUsed/>
    <w:rsid w:val="00C12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25"/>
  </w:style>
  <w:style w:type="paragraph" w:customStyle="1" w:styleId="TableParagraph">
    <w:name w:val="Table Paragraph"/>
    <w:basedOn w:val="Normal"/>
    <w:uiPriority w:val="1"/>
    <w:qFormat/>
    <w:rsid w:val="00656DC0"/>
    <w:pPr>
      <w:widowControl w:val="0"/>
      <w:autoSpaceDE w:val="0"/>
      <w:autoSpaceDN w:val="0"/>
      <w:spacing w:before="89" w:after="0" w:line="240" w:lineRule="auto"/>
    </w:pPr>
    <w:rPr>
      <w:rFonts w:ascii="Arial" w:eastAsia="Arial" w:hAnsi="Arial" w:cs="Arial"/>
    </w:rPr>
  </w:style>
  <w:style w:type="paragraph" w:styleId="BodyText">
    <w:name w:val="Body Text"/>
    <w:basedOn w:val="Normal"/>
    <w:link w:val="BodyTextChar"/>
    <w:uiPriority w:val="1"/>
    <w:qFormat/>
    <w:rsid w:val="0009011E"/>
    <w:pPr>
      <w:widowControl w:val="0"/>
      <w:autoSpaceDE w:val="0"/>
      <w:autoSpaceDN w:val="0"/>
      <w:spacing w:after="0" w:line="240" w:lineRule="auto"/>
    </w:pPr>
    <w:rPr>
      <w:rFonts w:ascii="Arial" w:eastAsia="Arial" w:hAnsi="Arial" w:cs="Arial"/>
      <w:sz w:val="16"/>
      <w:szCs w:val="16"/>
    </w:rPr>
  </w:style>
  <w:style w:type="character" w:customStyle="1" w:styleId="BodyTextChar">
    <w:name w:val="Body Text Char"/>
    <w:basedOn w:val="DefaultParagraphFont"/>
    <w:link w:val="BodyText"/>
    <w:uiPriority w:val="1"/>
    <w:rsid w:val="0009011E"/>
    <w:rPr>
      <w:rFonts w:ascii="Arial" w:eastAsia="Arial" w:hAnsi="Arial" w:cs="Arial"/>
      <w:sz w:val="16"/>
      <w:szCs w:val="16"/>
    </w:rPr>
  </w:style>
  <w:style w:type="paragraph" w:styleId="NormalWeb">
    <w:name w:val="Normal (Web)"/>
    <w:basedOn w:val="Normal"/>
    <w:uiPriority w:val="99"/>
    <w:semiHidden/>
    <w:unhideWhenUsed/>
    <w:rsid w:val="00E11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68849">
      <w:bodyDiv w:val="1"/>
      <w:marLeft w:val="0"/>
      <w:marRight w:val="0"/>
      <w:marTop w:val="0"/>
      <w:marBottom w:val="0"/>
      <w:divBdr>
        <w:top w:val="none" w:sz="0" w:space="0" w:color="auto"/>
        <w:left w:val="none" w:sz="0" w:space="0" w:color="auto"/>
        <w:bottom w:val="none" w:sz="0" w:space="0" w:color="auto"/>
        <w:right w:val="none" w:sz="0" w:space="0" w:color="auto"/>
      </w:divBdr>
      <w:divsChild>
        <w:div w:id="198514767">
          <w:marLeft w:val="0"/>
          <w:marRight w:val="0"/>
          <w:marTop w:val="0"/>
          <w:marBottom w:val="0"/>
          <w:divBdr>
            <w:top w:val="none" w:sz="0" w:space="0" w:color="auto"/>
            <w:left w:val="none" w:sz="0" w:space="0" w:color="auto"/>
            <w:bottom w:val="none" w:sz="0" w:space="0" w:color="auto"/>
            <w:right w:val="none" w:sz="0" w:space="0" w:color="auto"/>
          </w:divBdr>
        </w:div>
      </w:divsChild>
    </w:div>
    <w:div w:id="1809518138">
      <w:bodyDiv w:val="1"/>
      <w:marLeft w:val="0"/>
      <w:marRight w:val="0"/>
      <w:marTop w:val="0"/>
      <w:marBottom w:val="0"/>
      <w:divBdr>
        <w:top w:val="none" w:sz="0" w:space="0" w:color="auto"/>
        <w:left w:val="none" w:sz="0" w:space="0" w:color="auto"/>
        <w:bottom w:val="none" w:sz="0" w:space="0" w:color="auto"/>
        <w:right w:val="none" w:sz="0" w:space="0" w:color="auto"/>
      </w:divBdr>
      <w:divsChild>
        <w:div w:id="105855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DataFinder-2021021918075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d.docs.live.net/864bcc9db0fc352d/Desktop/Capstone/data%20sets/HHD_C_Report_2020Q3(Auto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Unemployment from</a:t>
            </a:r>
            <a:r>
              <a:rPr lang="en-US" baseline="0"/>
              <a:t> 2019- 2021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White Unemployment, both sexes</c:v>
                </c:pt>
              </c:strCache>
            </c:strRef>
          </c:tx>
          <c:spPr>
            <a:ln w="28575" cap="rnd">
              <a:solidFill>
                <a:schemeClr val="accent1"/>
              </a:solidFill>
              <a:round/>
            </a:ln>
            <a:effectLst/>
          </c:spPr>
          <c:marker>
            <c:symbol val="none"/>
          </c:marker>
          <c:cat>
            <c:strRef>
              <c:f>Sheet1!$A$2:$A$26</c:f>
              <c:strCache>
                <c:ptCount val="25"/>
                <c:pt idx="0">
                  <c:v>2019 Jan</c:v>
                </c:pt>
                <c:pt idx="1">
                  <c:v>2019 Feb</c:v>
                </c:pt>
                <c:pt idx="2">
                  <c:v>2019 Mar</c:v>
                </c:pt>
                <c:pt idx="3">
                  <c:v>2019 Apr</c:v>
                </c:pt>
                <c:pt idx="4">
                  <c:v>2019 May</c:v>
                </c:pt>
                <c:pt idx="5">
                  <c:v>2019 Jun</c:v>
                </c:pt>
                <c:pt idx="6">
                  <c:v>2019 Jul</c:v>
                </c:pt>
                <c:pt idx="7">
                  <c:v>2019 Aug</c:v>
                </c:pt>
                <c:pt idx="8">
                  <c:v>2019 Sep</c:v>
                </c:pt>
                <c:pt idx="9">
                  <c:v>2019 Oct</c:v>
                </c:pt>
                <c:pt idx="10">
                  <c:v>2019 Nov</c:v>
                </c:pt>
                <c:pt idx="11">
                  <c:v>2019 Dec</c:v>
                </c:pt>
                <c:pt idx="12">
                  <c:v>2020 Jan</c:v>
                </c:pt>
                <c:pt idx="13">
                  <c:v>2020 Feb</c:v>
                </c:pt>
                <c:pt idx="14">
                  <c:v>2020 Mar</c:v>
                </c:pt>
                <c:pt idx="15">
                  <c:v>2020 Apr</c:v>
                </c:pt>
                <c:pt idx="16">
                  <c:v>2020 May</c:v>
                </c:pt>
                <c:pt idx="17">
                  <c:v>2020 Jun</c:v>
                </c:pt>
                <c:pt idx="18">
                  <c:v>2020 Jul</c:v>
                </c:pt>
                <c:pt idx="19">
                  <c:v>2020 Aug</c:v>
                </c:pt>
                <c:pt idx="20">
                  <c:v>2020 Sep</c:v>
                </c:pt>
                <c:pt idx="21">
                  <c:v>2020 Oct</c:v>
                </c:pt>
                <c:pt idx="22">
                  <c:v>2020 Nov</c:v>
                </c:pt>
                <c:pt idx="23">
                  <c:v>2020 Dec</c:v>
                </c:pt>
                <c:pt idx="24">
                  <c:v>2021 Jan</c:v>
                </c:pt>
              </c:strCache>
            </c:strRef>
          </c:cat>
          <c:val>
            <c:numRef>
              <c:f>Sheet1!$B$2:$B$26</c:f>
              <c:numCache>
                <c:formatCode>#0.0</c:formatCode>
                <c:ptCount val="25"/>
                <c:pt idx="0">
                  <c:v>3.5</c:v>
                </c:pt>
                <c:pt idx="1">
                  <c:v>3.2</c:v>
                </c:pt>
                <c:pt idx="2">
                  <c:v>3.3</c:v>
                </c:pt>
                <c:pt idx="3">
                  <c:v>3.2</c:v>
                </c:pt>
                <c:pt idx="4">
                  <c:v>3.3</c:v>
                </c:pt>
                <c:pt idx="5">
                  <c:v>3.3</c:v>
                </c:pt>
                <c:pt idx="6">
                  <c:v>3.3</c:v>
                </c:pt>
                <c:pt idx="7">
                  <c:v>3.4</c:v>
                </c:pt>
                <c:pt idx="8">
                  <c:v>3.2</c:v>
                </c:pt>
                <c:pt idx="9">
                  <c:v>3.3</c:v>
                </c:pt>
                <c:pt idx="10">
                  <c:v>3.3</c:v>
                </c:pt>
                <c:pt idx="11">
                  <c:v>3.1</c:v>
                </c:pt>
                <c:pt idx="12">
                  <c:v>3</c:v>
                </c:pt>
                <c:pt idx="13">
                  <c:v>3</c:v>
                </c:pt>
                <c:pt idx="14">
                  <c:v>3.9</c:v>
                </c:pt>
                <c:pt idx="15">
                  <c:v>14.1</c:v>
                </c:pt>
                <c:pt idx="16">
                  <c:v>12.3</c:v>
                </c:pt>
                <c:pt idx="17">
                  <c:v>10.1</c:v>
                </c:pt>
                <c:pt idx="18">
                  <c:v>9.1999999999999993</c:v>
                </c:pt>
                <c:pt idx="19">
                  <c:v>7.4</c:v>
                </c:pt>
                <c:pt idx="20">
                  <c:v>7</c:v>
                </c:pt>
                <c:pt idx="21">
                  <c:v>6</c:v>
                </c:pt>
                <c:pt idx="22">
                  <c:v>5.9</c:v>
                </c:pt>
                <c:pt idx="23">
                  <c:v>6</c:v>
                </c:pt>
                <c:pt idx="24">
                  <c:v>5.7</c:v>
                </c:pt>
              </c:numCache>
            </c:numRef>
          </c:val>
          <c:smooth val="0"/>
          <c:extLst>
            <c:ext xmlns:c16="http://schemas.microsoft.com/office/drawing/2014/chart" uri="{C3380CC4-5D6E-409C-BE32-E72D297353CC}">
              <c16:uniqueId val="{00000000-3E57-4EAC-A7A6-AFC5FF32C257}"/>
            </c:ext>
          </c:extLst>
        </c:ser>
        <c:ser>
          <c:idx val="1"/>
          <c:order val="1"/>
          <c:tx>
            <c:strRef>
              <c:f>Sheet1!$C$1</c:f>
              <c:strCache>
                <c:ptCount val="1"/>
                <c:pt idx="0">
                  <c:v>Black Unemployment, both sexes</c:v>
                </c:pt>
              </c:strCache>
            </c:strRef>
          </c:tx>
          <c:spPr>
            <a:ln w="28575" cap="rnd">
              <a:solidFill>
                <a:schemeClr val="accent2"/>
              </a:solidFill>
              <a:round/>
            </a:ln>
            <a:effectLst/>
          </c:spPr>
          <c:marker>
            <c:symbol val="none"/>
          </c:marker>
          <c:cat>
            <c:strRef>
              <c:f>Sheet1!$A$2:$A$26</c:f>
              <c:strCache>
                <c:ptCount val="25"/>
                <c:pt idx="0">
                  <c:v>2019 Jan</c:v>
                </c:pt>
                <c:pt idx="1">
                  <c:v>2019 Feb</c:v>
                </c:pt>
                <c:pt idx="2">
                  <c:v>2019 Mar</c:v>
                </c:pt>
                <c:pt idx="3">
                  <c:v>2019 Apr</c:v>
                </c:pt>
                <c:pt idx="4">
                  <c:v>2019 May</c:v>
                </c:pt>
                <c:pt idx="5">
                  <c:v>2019 Jun</c:v>
                </c:pt>
                <c:pt idx="6">
                  <c:v>2019 Jul</c:v>
                </c:pt>
                <c:pt idx="7">
                  <c:v>2019 Aug</c:v>
                </c:pt>
                <c:pt idx="8">
                  <c:v>2019 Sep</c:v>
                </c:pt>
                <c:pt idx="9">
                  <c:v>2019 Oct</c:v>
                </c:pt>
                <c:pt idx="10">
                  <c:v>2019 Nov</c:v>
                </c:pt>
                <c:pt idx="11">
                  <c:v>2019 Dec</c:v>
                </c:pt>
                <c:pt idx="12">
                  <c:v>2020 Jan</c:v>
                </c:pt>
                <c:pt idx="13">
                  <c:v>2020 Feb</c:v>
                </c:pt>
                <c:pt idx="14">
                  <c:v>2020 Mar</c:v>
                </c:pt>
                <c:pt idx="15">
                  <c:v>2020 Apr</c:v>
                </c:pt>
                <c:pt idx="16">
                  <c:v>2020 May</c:v>
                </c:pt>
                <c:pt idx="17">
                  <c:v>2020 Jun</c:v>
                </c:pt>
                <c:pt idx="18">
                  <c:v>2020 Jul</c:v>
                </c:pt>
                <c:pt idx="19">
                  <c:v>2020 Aug</c:v>
                </c:pt>
                <c:pt idx="20">
                  <c:v>2020 Sep</c:v>
                </c:pt>
                <c:pt idx="21">
                  <c:v>2020 Oct</c:v>
                </c:pt>
                <c:pt idx="22">
                  <c:v>2020 Nov</c:v>
                </c:pt>
                <c:pt idx="23">
                  <c:v>2020 Dec</c:v>
                </c:pt>
                <c:pt idx="24">
                  <c:v>2021 Jan</c:v>
                </c:pt>
              </c:strCache>
            </c:strRef>
          </c:cat>
          <c:val>
            <c:numRef>
              <c:f>Sheet1!$C$2:$C$26</c:f>
              <c:numCache>
                <c:formatCode>#0.0</c:formatCode>
                <c:ptCount val="25"/>
                <c:pt idx="0">
                  <c:v>6.9</c:v>
                </c:pt>
                <c:pt idx="1">
                  <c:v>7</c:v>
                </c:pt>
                <c:pt idx="2">
                  <c:v>6.5</c:v>
                </c:pt>
                <c:pt idx="3">
                  <c:v>6.6</c:v>
                </c:pt>
                <c:pt idx="4">
                  <c:v>6.1</c:v>
                </c:pt>
                <c:pt idx="5">
                  <c:v>6</c:v>
                </c:pt>
                <c:pt idx="6">
                  <c:v>5.6</c:v>
                </c:pt>
                <c:pt idx="7">
                  <c:v>5.2</c:v>
                </c:pt>
                <c:pt idx="8">
                  <c:v>5.4</c:v>
                </c:pt>
                <c:pt idx="9">
                  <c:v>5.6</c:v>
                </c:pt>
                <c:pt idx="10">
                  <c:v>5.7</c:v>
                </c:pt>
                <c:pt idx="11">
                  <c:v>6.2</c:v>
                </c:pt>
                <c:pt idx="12">
                  <c:v>6.1</c:v>
                </c:pt>
                <c:pt idx="13">
                  <c:v>6</c:v>
                </c:pt>
                <c:pt idx="14">
                  <c:v>6.8</c:v>
                </c:pt>
                <c:pt idx="15">
                  <c:v>16.7</c:v>
                </c:pt>
                <c:pt idx="16">
                  <c:v>16.7</c:v>
                </c:pt>
                <c:pt idx="17">
                  <c:v>15.3</c:v>
                </c:pt>
                <c:pt idx="18">
                  <c:v>14.4</c:v>
                </c:pt>
                <c:pt idx="19">
                  <c:v>12.8</c:v>
                </c:pt>
                <c:pt idx="20">
                  <c:v>12</c:v>
                </c:pt>
                <c:pt idx="21">
                  <c:v>10.8</c:v>
                </c:pt>
                <c:pt idx="22">
                  <c:v>10.3</c:v>
                </c:pt>
                <c:pt idx="23">
                  <c:v>9.9</c:v>
                </c:pt>
                <c:pt idx="24">
                  <c:v>9.1999999999999993</c:v>
                </c:pt>
              </c:numCache>
            </c:numRef>
          </c:val>
          <c:smooth val="0"/>
          <c:extLst>
            <c:ext xmlns:c16="http://schemas.microsoft.com/office/drawing/2014/chart" uri="{C3380CC4-5D6E-409C-BE32-E72D297353CC}">
              <c16:uniqueId val="{00000001-3E57-4EAC-A7A6-AFC5FF32C257}"/>
            </c:ext>
          </c:extLst>
        </c:ser>
        <c:ser>
          <c:idx val="2"/>
          <c:order val="2"/>
          <c:tx>
            <c:strRef>
              <c:f>Sheet1!$D$1</c:f>
              <c:strCache>
                <c:ptCount val="1"/>
                <c:pt idx="0">
                  <c:v>Latino Unemployment, both sexes</c:v>
                </c:pt>
              </c:strCache>
            </c:strRef>
          </c:tx>
          <c:spPr>
            <a:ln w="28575" cap="rnd">
              <a:solidFill>
                <a:schemeClr val="accent3"/>
              </a:solidFill>
              <a:round/>
            </a:ln>
            <a:effectLst/>
          </c:spPr>
          <c:marker>
            <c:symbol val="none"/>
          </c:marker>
          <c:cat>
            <c:strRef>
              <c:f>Sheet1!$A$2:$A$26</c:f>
              <c:strCache>
                <c:ptCount val="25"/>
                <c:pt idx="0">
                  <c:v>2019 Jan</c:v>
                </c:pt>
                <c:pt idx="1">
                  <c:v>2019 Feb</c:v>
                </c:pt>
                <c:pt idx="2">
                  <c:v>2019 Mar</c:v>
                </c:pt>
                <c:pt idx="3">
                  <c:v>2019 Apr</c:v>
                </c:pt>
                <c:pt idx="4">
                  <c:v>2019 May</c:v>
                </c:pt>
                <c:pt idx="5">
                  <c:v>2019 Jun</c:v>
                </c:pt>
                <c:pt idx="6">
                  <c:v>2019 Jul</c:v>
                </c:pt>
                <c:pt idx="7">
                  <c:v>2019 Aug</c:v>
                </c:pt>
                <c:pt idx="8">
                  <c:v>2019 Sep</c:v>
                </c:pt>
                <c:pt idx="9">
                  <c:v>2019 Oct</c:v>
                </c:pt>
                <c:pt idx="10">
                  <c:v>2019 Nov</c:v>
                </c:pt>
                <c:pt idx="11">
                  <c:v>2019 Dec</c:v>
                </c:pt>
                <c:pt idx="12">
                  <c:v>2020 Jan</c:v>
                </c:pt>
                <c:pt idx="13">
                  <c:v>2020 Feb</c:v>
                </c:pt>
                <c:pt idx="14">
                  <c:v>2020 Mar</c:v>
                </c:pt>
                <c:pt idx="15">
                  <c:v>2020 Apr</c:v>
                </c:pt>
                <c:pt idx="16">
                  <c:v>2020 May</c:v>
                </c:pt>
                <c:pt idx="17">
                  <c:v>2020 Jun</c:v>
                </c:pt>
                <c:pt idx="18">
                  <c:v>2020 Jul</c:v>
                </c:pt>
                <c:pt idx="19">
                  <c:v>2020 Aug</c:v>
                </c:pt>
                <c:pt idx="20">
                  <c:v>2020 Sep</c:v>
                </c:pt>
                <c:pt idx="21">
                  <c:v>2020 Oct</c:v>
                </c:pt>
                <c:pt idx="22">
                  <c:v>2020 Nov</c:v>
                </c:pt>
                <c:pt idx="23">
                  <c:v>2020 Dec</c:v>
                </c:pt>
                <c:pt idx="24">
                  <c:v>2021 Jan</c:v>
                </c:pt>
              </c:strCache>
            </c:strRef>
          </c:cat>
          <c:val>
            <c:numRef>
              <c:f>Sheet1!$D$2:$D$26</c:f>
              <c:numCache>
                <c:formatCode>#0.0</c:formatCode>
                <c:ptCount val="25"/>
                <c:pt idx="0">
                  <c:v>4.8</c:v>
                </c:pt>
                <c:pt idx="1">
                  <c:v>4.3</c:v>
                </c:pt>
                <c:pt idx="2">
                  <c:v>4.5</c:v>
                </c:pt>
                <c:pt idx="3">
                  <c:v>4.0999999999999996</c:v>
                </c:pt>
                <c:pt idx="4">
                  <c:v>4.0999999999999996</c:v>
                </c:pt>
                <c:pt idx="5">
                  <c:v>4.3</c:v>
                </c:pt>
                <c:pt idx="6">
                  <c:v>4.4000000000000004</c:v>
                </c:pt>
                <c:pt idx="7">
                  <c:v>4.2</c:v>
                </c:pt>
                <c:pt idx="8">
                  <c:v>4</c:v>
                </c:pt>
                <c:pt idx="9">
                  <c:v>4.2</c:v>
                </c:pt>
                <c:pt idx="10">
                  <c:v>4.3</c:v>
                </c:pt>
                <c:pt idx="11">
                  <c:v>4.3</c:v>
                </c:pt>
                <c:pt idx="12">
                  <c:v>4.3</c:v>
                </c:pt>
                <c:pt idx="13">
                  <c:v>4.4000000000000004</c:v>
                </c:pt>
                <c:pt idx="14">
                  <c:v>6</c:v>
                </c:pt>
                <c:pt idx="15">
                  <c:v>18.899999999999999</c:v>
                </c:pt>
                <c:pt idx="16">
                  <c:v>17.600000000000001</c:v>
                </c:pt>
                <c:pt idx="17">
                  <c:v>14.5</c:v>
                </c:pt>
                <c:pt idx="18">
                  <c:v>12.7</c:v>
                </c:pt>
                <c:pt idx="19">
                  <c:v>10.5</c:v>
                </c:pt>
                <c:pt idx="20">
                  <c:v>10.3</c:v>
                </c:pt>
                <c:pt idx="21">
                  <c:v>8.8000000000000007</c:v>
                </c:pt>
                <c:pt idx="22">
                  <c:v>8.4</c:v>
                </c:pt>
                <c:pt idx="23">
                  <c:v>9.3000000000000007</c:v>
                </c:pt>
                <c:pt idx="24">
                  <c:v>8.6</c:v>
                </c:pt>
              </c:numCache>
            </c:numRef>
          </c:val>
          <c:smooth val="0"/>
          <c:extLst>
            <c:ext xmlns:c16="http://schemas.microsoft.com/office/drawing/2014/chart" uri="{C3380CC4-5D6E-409C-BE32-E72D297353CC}">
              <c16:uniqueId val="{00000002-3E57-4EAC-A7A6-AFC5FF32C257}"/>
            </c:ext>
          </c:extLst>
        </c:ser>
        <c:ser>
          <c:idx val="3"/>
          <c:order val="3"/>
          <c:tx>
            <c:strRef>
              <c:f>Sheet1!$E$1</c:f>
              <c:strCache>
                <c:ptCount val="1"/>
                <c:pt idx="0">
                  <c:v>women specific unemployment </c:v>
                </c:pt>
              </c:strCache>
            </c:strRef>
          </c:tx>
          <c:spPr>
            <a:ln w="28575" cap="rnd">
              <a:solidFill>
                <a:schemeClr val="accent6">
                  <a:lumMod val="60000"/>
                  <a:lumOff val="40000"/>
                </a:schemeClr>
              </a:solidFill>
              <a:round/>
            </a:ln>
            <a:effectLst/>
          </c:spPr>
          <c:marker>
            <c:symbol val="none"/>
          </c:marker>
          <c:cat>
            <c:strRef>
              <c:f>Sheet1!$A$2:$A$26</c:f>
              <c:strCache>
                <c:ptCount val="25"/>
                <c:pt idx="0">
                  <c:v>2019 Jan</c:v>
                </c:pt>
                <c:pt idx="1">
                  <c:v>2019 Feb</c:v>
                </c:pt>
                <c:pt idx="2">
                  <c:v>2019 Mar</c:v>
                </c:pt>
                <c:pt idx="3">
                  <c:v>2019 Apr</c:v>
                </c:pt>
                <c:pt idx="4">
                  <c:v>2019 May</c:v>
                </c:pt>
                <c:pt idx="5">
                  <c:v>2019 Jun</c:v>
                </c:pt>
                <c:pt idx="6">
                  <c:v>2019 Jul</c:v>
                </c:pt>
                <c:pt idx="7">
                  <c:v>2019 Aug</c:v>
                </c:pt>
                <c:pt idx="8">
                  <c:v>2019 Sep</c:v>
                </c:pt>
                <c:pt idx="9">
                  <c:v>2019 Oct</c:v>
                </c:pt>
                <c:pt idx="10">
                  <c:v>2019 Nov</c:v>
                </c:pt>
                <c:pt idx="11">
                  <c:v>2019 Dec</c:v>
                </c:pt>
                <c:pt idx="12">
                  <c:v>2020 Jan</c:v>
                </c:pt>
                <c:pt idx="13">
                  <c:v>2020 Feb</c:v>
                </c:pt>
                <c:pt idx="14">
                  <c:v>2020 Mar</c:v>
                </c:pt>
                <c:pt idx="15">
                  <c:v>2020 Apr</c:v>
                </c:pt>
                <c:pt idx="16">
                  <c:v>2020 May</c:v>
                </c:pt>
                <c:pt idx="17">
                  <c:v>2020 Jun</c:v>
                </c:pt>
                <c:pt idx="18">
                  <c:v>2020 Jul</c:v>
                </c:pt>
                <c:pt idx="19">
                  <c:v>2020 Aug</c:v>
                </c:pt>
                <c:pt idx="20">
                  <c:v>2020 Sep</c:v>
                </c:pt>
                <c:pt idx="21">
                  <c:v>2020 Oct</c:v>
                </c:pt>
                <c:pt idx="22">
                  <c:v>2020 Nov</c:v>
                </c:pt>
                <c:pt idx="23">
                  <c:v>2020 Dec</c:v>
                </c:pt>
                <c:pt idx="24">
                  <c:v>2021 Jan</c:v>
                </c:pt>
              </c:strCache>
            </c:strRef>
          </c:cat>
          <c:val>
            <c:numRef>
              <c:f>Sheet1!$E$2:$E$26</c:f>
              <c:numCache>
                <c:formatCode>#0.0</c:formatCode>
                <c:ptCount val="25"/>
                <c:pt idx="0">
                  <c:v>3.6</c:v>
                </c:pt>
                <c:pt idx="1">
                  <c:v>3.4</c:v>
                </c:pt>
                <c:pt idx="2">
                  <c:v>3.4</c:v>
                </c:pt>
                <c:pt idx="3">
                  <c:v>3.2</c:v>
                </c:pt>
                <c:pt idx="4">
                  <c:v>3.3</c:v>
                </c:pt>
                <c:pt idx="5">
                  <c:v>3.3</c:v>
                </c:pt>
                <c:pt idx="6">
                  <c:v>3.3</c:v>
                </c:pt>
                <c:pt idx="7">
                  <c:v>3.3</c:v>
                </c:pt>
                <c:pt idx="8">
                  <c:v>3</c:v>
                </c:pt>
                <c:pt idx="9">
                  <c:v>3.2</c:v>
                </c:pt>
                <c:pt idx="10">
                  <c:v>3.3</c:v>
                </c:pt>
                <c:pt idx="11">
                  <c:v>3.3</c:v>
                </c:pt>
                <c:pt idx="12">
                  <c:v>3.2</c:v>
                </c:pt>
                <c:pt idx="13">
                  <c:v>3.1</c:v>
                </c:pt>
                <c:pt idx="14">
                  <c:v>4</c:v>
                </c:pt>
                <c:pt idx="15">
                  <c:v>15.5</c:v>
                </c:pt>
                <c:pt idx="16">
                  <c:v>13.9</c:v>
                </c:pt>
                <c:pt idx="17">
                  <c:v>11.3</c:v>
                </c:pt>
                <c:pt idx="18">
                  <c:v>10.4</c:v>
                </c:pt>
                <c:pt idx="19">
                  <c:v>8.3000000000000007</c:v>
                </c:pt>
                <c:pt idx="20">
                  <c:v>7.7</c:v>
                </c:pt>
                <c:pt idx="21">
                  <c:v>6.5</c:v>
                </c:pt>
                <c:pt idx="22">
                  <c:v>6.2</c:v>
                </c:pt>
                <c:pt idx="23">
                  <c:v>6.3</c:v>
                </c:pt>
                <c:pt idx="24">
                  <c:v>6</c:v>
                </c:pt>
              </c:numCache>
            </c:numRef>
          </c:val>
          <c:smooth val="0"/>
          <c:extLst>
            <c:ext xmlns:c16="http://schemas.microsoft.com/office/drawing/2014/chart" uri="{C3380CC4-5D6E-409C-BE32-E72D297353CC}">
              <c16:uniqueId val="{00000003-3E57-4EAC-A7A6-AFC5FF32C257}"/>
            </c:ext>
          </c:extLst>
        </c:ser>
        <c:dLbls>
          <c:showLegendKey val="0"/>
          <c:showVal val="0"/>
          <c:showCatName val="0"/>
          <c:showSerName val="0"/>
          <c:showPercent val="0"/>
          <c:showBubbleSize val="0"/>
        </c:dLbls>
        <c:smooth val="0"/>
        <c:axId val="1309932687"/>
        <c:axId val="1309925199"/>
      </c:lineChart>
      <c:catAx>
        <c:axId val="130993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925199"/>
        <c:crosses val="autoZero"/>
        <c:auto val="1"/>
        <c:lblAlgn val="ctr"/>
        <c:lblOffset val="100"/>
        <c:noMultiLvlLbl val="0"/>
      </c:catAx>
      <c:valAx>
        <c:axId val="130992519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93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851898474101983E-2"/>
          <c:y val="0.14750480924330592"/>
          <c:w val="0.91086046154505951"/>
          <c:h val="0.7209893741142579"/>
        </c:manualLayout>
      </c:layout>
      <c:lineChart>
        <c:grouping val="standard"/>
        <c:varyColors val="0"/>
        <c:ser>
          <c:idx val="0"/>
          <c:order val="0"/>
          <c:tx>
            <c:v>To 30-60 days</c:v>
          </c:tx>
          <c:spPr>
            <a:ln w="38100">
              <a:solidFill>
                <a:schemeClr val="tx2"/>
              </a:solidFill>
            </a:ln>
          </c:spPr>
          <c:marker>
            <c:symbol val="none"/>
          </c:marker>
          <c:cat>
            <c:strRef>
              <c:f>'HHD_C_Report_2020Q3(AutoRecovered).xlsx'!Page15_Date</c:f>
              <c:strCache>
                <c:ptCount val="71"/>
                <c:pt idx="0">
                  <c:v>03:Q1</c:v>
                </c:pt>
                <c:pt idx="1">
                  <c:v>03:Q2</c:v>
                </c:pt>
                <c:pt idx="2">
                  <c:v>03:Q3</c:v>
                </c:pt>
                <c:pt idx="3">
                  <c:v>03:Q4</c:v>
                </c:pt>
                <c:pt idx="4">
                  <c:v>04:Q1</c:v>
                </c:pt>
                <c:pt idx="5">
                  <c:v>04:Q2</c:v>
                </c:pt>
                <c:pt idx="6">
                  <c:v>04:Q3</c:v>
                </c:pt>
                <c:pt idx="7">
                  <c:v>04:Q4</c:v>
                </c:pt>
                <c:pt idx="8">
                  <c:v>05:Q1</c:v>
                </c:pt>
                <c:pt idx="9">
                  <c:v>05:Q2</c:v>
                </c:pt>
                <c:pt idx="10">
                  <c:v>05:Q3</c:v>
                </c:pt>
                <c:pt idx="11">
                  <c:v>05:Q4</c:v>
                </c:pt>
                <c:pt idx="12">
                  <c:v>06:Q1</c:v>
                </c:pt>
                <c:pt idx="13">
                  <c:v>06:Q2</c:v>
                </c:pt>
                <c:pt idx="14">
                  <c:v>06:Q3</c:v>
                </c:pt>
                <c:pt idx="15">
                  <c:v>06:Q4</c:v>
                </c:pt>
                <c:pt idx="16">
                  <c:v>07:Q1</c:v>
                </c:pt>
                <c:pt idx="17">
                  <c:v>07:Q2</c:v>
                </c:pt>
                <c:pt idx="18">
                  <c:v>07:Q3</c:v>
                </c:pt>
                <c:pt idx="19">
                  <c:v>07:Q4</c:v>
                </c:pt>
                <c:pt idx="20">
                  <c:v>08:Q1</c:v>
                </c:pt>
                <c:pt idx="21">
                  <c:v>08:Q2</c:v>
                </c:pt>
                <c:pt idx="22">
                  <c:v>08:Q3</c:v>
                </c:pt>
                <c:pt idx="23">
                  <c:v>08:Q4</c:v>
                </c:pt>
                <c:pt idx="24">
                  <c:v>09:Q1</c:v>
                </c:pt>
                <c:pt idx="25">
                  <c:v>09:Q2</c:v>
                </c:pt>
                <c:pt idx="26">
                  <c:v>09:Q3</c:v>
                </c:pt>
                <c:pt idx="27">
                  <c:v>09:Q4</c:v>
                </c:pt>
                <c:pt idx="28">
                  <c:v>10:Q1</c:v>
                </c:pt>
                <c:pt idx="29">
                  <c:v>10:Q2</c:v>
                </c:pt>
                <c:pt idx="30">
                  <c:v>10:Q3</c:v>
                </c:pt>
                <c:pt idx="31">
                  <c:v>10:Q4</c:v>
                </c:pt>
                <c:pt idx="32">
                  <c:v>11:Q1</c:v>
                </c:pt>
                <c:pt idx="33">
                  <c:v>11:Q2</c:v>
                </c:pt>
                <c:pt idx="34">
                  <c:v>11:Q3</c:v>
                </c:pt>
                <c:pt idx="35">
                  <c:v>11:Q4</c:v>
                </c:pt>
                <c:pt idx="36">
                  <c:v>12:Q1</c:v>
                </c:pt>
                <c:pt idx="37">
                  <c:v>12:Q2</c:v>
                </c:pt>
                <c:pt idx="38">
                  <c:v>12:Q3</c:v>
                </c:pt>
                <c:pt idx="39">
                  <c:v>12:Q4</c:v>
                </c:pt>
                <c:pt idx="40">
                  <c:v>13:Q1</c:v>
                </c:pt>
                <c:pt idx="41">
                  <c:v>13:Q2</c:v>
                </c:pt>
                <c:pt idx="42">
                  <c:v>13:Q3</c:v>
                </c:pt>
                <c:pt idx="43">
                  <c:v>13:Q4</c:v>
                </c:pt>
                <c:pt idx="44">
                  <c:v>14:Q1</c:v>
                </c:pt>
                <c:pt idx="45">
                  <c:v>14:Q2</c:v>
                </c:pt>
                <c:pt idx="46">
                  <c:v>14:Q3</c:v>
                </c:pt>
                <c:pt idx="47">
                  <c:v>14:Q4</c:v>
                </c:pt>
                <c:pt idx="48">
                  <c:v>15:Q1</c:v>
                </c:pt>
                <c:pt idx="49">
                  <c:v>15:Q2</c:v>
                </c:pt>
                <c:pt idx="50">
                  <c:v>15:Q3</c:v>
                </c:pt>
                <c:pt idx="51">
                  <c:v>15:Q4</c:v>
                </c:pt>
                <c:pt idx="52">
                  <c:v>16:Q1</c:v>
                </c:pt>
                <c:pt idx="53">
                  <c:v>16:Q2</c:v>
                </c:pt>
                <c:pt idx="54">
                  <c:v>16:Q3</c:v>
                </c:pt>
                <c:pt idx="55">
                  <c:v>16:Q4</c:v>
                </c:pt>
                <c:pt idx="56">
                  <c:v>17:Q1</c:v>
                </c:pt>
                <c:pt idx="57">
                  <c:v>17:Q2</c:v>
                </c:pt>
                <c:pt idx="58">
                  <c:v>17:Q3</c:v>
                </c:pt>
                <c:pt idx="59">
                  <c:v>17:Q4</c:v>
                </c:pt>
                <c:pt idx="60">
                  <c:v>18:Q1</c:v>
                </c:pt>
                <c:pt idx="61">
                  <c:v>18:Q2</c:v>
                </c:pt>
                <c:pt idx="62">
                  <c:v>18:Q3</c:v>
                </c:pt>
                <c:pt idx="63">
                  <c:v>18:Q4</c:v>
                </c:pt>
                <c:pt idx="64">
                  <c:v>19:Q1</c:v>
                </c:pt>
                <c:pt idx="65">
                  <c:v>19:Q2</c:v>
                </c:pt>
                <c:pt idx="66">
                  <c:v>19:Q3</c:v>
                </c:pt>
                <c:pt idx="67">
                  <c:v>19:Q4</c:v>
                </c:pt>
                <c:pt idx="68">
                  <c:v>20:Q1</c:v>
                </c:pt>
                <c:pt idx="69">
                  <c:v>20:Q2</c:v>
                </c:pt>
                <c:pt idx="70">
                  <c:v>20:Q3</c:v>
                </c:pt>
              </c:strCache>
            </c:strRef>
          </c:cat>
          <c:val>
            <c:numRef>
              <c:f>'HHD_C_Report_2020Q3(AutoRecovered).xlsx'!Page15_3060</c:f>
              <c:numCache>
                <c:formatCode>0.00</c:formatCode>
                <c:ptCount val="71"/>
                <c:pt idx="0">
                  <c:v>1.55</c:v>
                </c:pt>
                <c:pt idx="1">
                  <c:v>1.42</c:v>
                </c:pt>
                <c:pt idx="2">
                  <c:v>1.33</c:v>
                </c:pt>
                <c:pt idx="3">
                  <c:v>1.34</c:v>
                </c:pt>
                <c:pt idx="4">
                  <c:v>1.32</c:v>
                </c:pt>
                <c:pt idx="5">
                  <c:v>1.34</c:v>
                </c:pt>
                <c:pt idx="6">
                  <c:v>1.35</c:v>
                </c:pt>
                <c:pt idx="7">
                  <c:v>1.31</c:v>
                </c:pt>
                <c:pt idx="8">
                  <c:v>1.19</c:v>
                </c:pt>
                <c:pt idx="9">
                  <c:v>1.22</c:v>
                </c:pt>
                <c:pt idx="10">
                  <c:v>1.36</c:v>
                </c:pt>
                <c:pt idx="11">
                  <c:v>1.32</c:v>
                </c:pt>
                <c:pt idx="12">
                  <c:v>1.23</c:v>
                </c:pt>
                <c:pt idx="13">
                  <c:v>1.44</c:v>
                </c:pt>
                <c:pt idx="14">
                  <c:v>1.48</c:v>
                </c:pt>
                <c:pt idx="15">
                  <c:v>1.73</c:v>
                </c:pt>
                <c:pt idx="16">
                  <c:v>1.64</c:v>
                </c:pt>
                <c:pt idx="17">
                  <c:v>1.74</c:v>
                </c:pt>
                <c:pt idx="18">
                  <c:v>1.91</c:v>
                </c:pt>
                <c:pt idx="19">
                  <c:v>2.27</c:v>
                </c:pt>
                <c:pt idx="20">
                  <c:v>2.0099999999999998</c:v>
                </c:pt>
                <c:pt idx="21">
                  <c:v>2.2400000000000002</c:v>
                </c:pt>
                <c:pt idx="22">
                  <c:v>2.5499999999999998</c:v>
                </c:pt>
                <c:pt idx="23">
                  <c:v>3.05</c:v>
                </c:pt>
                <c:pt idx="24">
                  <c:v>2.77</c:v>
                </c:pt>
                <c:pt idx="25">
                  <c:v>2.5</c:v>
                </c:pt>
                <c:pt idx="26">
                  <c:v>2.74</c:v>
                </c:pt>
                <c:pt idx="27">
                  <c:v>2.42</c:v>
                </c:pt>
                <c:pt idx="28">
                  <c:v>2.2799999999999998</c:v>
                </c:pt>
                <c:pt idx="29">
                  <c:v>2.04</c:v>
                </c:pt>
                <c:pt idx="30">
                  <c:v>2.12</c:v>
                </c:pt>
                <c:pt idx="31">
                  <c:v>1.9</c:v>
                </c:pt>
                <c:pt idx="32">
                  <c:v>1.84</c:v>
                </c:pt>
                <c:pt idx="33">
                  <c:v>1.6703053896940843</c:v>
                </c:pt>
                <c:pt idx="34">
                  <c:v>2.1193092621664049</c:v>
                </c:pt>
                <c:pt idx="35">
                  <c:v>1.72</c:v>
                </c:pt>
                <c:pt idx="36">
                  <c:v>1.4</c:v>
                </c:pt>
                <c:pt idx="37">
                  <c:v>1.46</c:v>
                </c:pt>
                <c:pt idx="38">
                  <c:v>1.52</c:v>
                </c:pt>
                <c:pt idx="39">
                  <c:v>1.42</c:v>
                </c:pt>
                <c:pt idx="40">
                  <c:v>1.28</c:v>
                </c:pt>
                <c:pt idx="41">
                  <c:v>1.17</c:v>
                </c:pt>
                <c:pt idx="42">
                  <c:v>1.35</c:v>
                </c:pt>
                <c:pt idx="43">
                  <c:v>1.25</c:v>
                </c:pt>
                <c:pt idx="44">
                  <c:v>0.97</c:v>
                </c:pt>
                <c:pt idx="45">
                  <c:v>0.95</c:v>
                </c:pt>
                <c:pt idx="46">
                  <c:v>1.1499999999999999</c:v>
                </c:pt>
                <c:pt idx="47">
                  <c:v>0.95</c:v>
                </c:pt>
                <c:pt idx="48">
                  <c:v>0.85</c:v>
                </c:pt>
                <c:pt idx="49">
                  <c:v>1.01</c:v>
                </c:pt>
                <c:pt idx="50">
                  <c:v>1</c:v>
                </c:pt>
                <c:pt idx="51">
                  <c:v>0.91</c:v>
                </c:pt>
                <c:pt idx="52">
                  <c:v>0.71</c:v>
                </c:pt>
                <c:pt idx="53">
                  <c:v>0.78</c:v>
                </c:pt>
                <c:pt idx="54">
                  <c:v>1.02</c:v>
                </c:pt>
                <c:pt idx="55">
                  <c:v>0.86</c:v>
                </c:pt>
                <c:pt idx="56">
                  <c:v>0.83900392673349411</c:v>
                </c:pt>
                <c:pt idx="57">
                  <c:v>0.8271496901185581</c:v>
                </c:pt>
                <c:pt idx="58">
                  <c:v>0.92</c:v>
                </c:pt>
                <c:pt idx="59">
                  <c:v>0.81</c:v>
                </c:pt>
                <c:pt idx="60">
                  <c:v>0.80668766318155749</c:v>
                </c:pt>
                <c:pt idx="61">
                  <c:v>0.8241062590640178</c:v>
                </c:pt>
                <c:pt idx="62">
                  <c:v>1.010687335677946</c:v>
                </c:pt>
                <c:pt idx="63">
                  <c:v>0.8274097885634083</c:v>
                </c:pt>
                <c:pt idx="64">
                  <c:v>0.79434533826994269</c:v>
                </c:pt>
                <c:pt idx="65">
                  <c:v>0.78324064431790497</c:v>
                </c:pt>
                <c:pt idx="66">
                  <c:v>1.0178700006545787</c:v>
                </c:pt>
                <c:pt idx="67">
                  <c:v>0.87583888943628807</c:v>
                </c:pt>
                <c:pt idx="68">
                  <c:v>0.75906421447053396</c:v>
                </c:pt>
                <c:pt idx="69">
                  <c:v>0.42915195316993093</c:v>
                </c:pt>
                <c:pt idx="70">
                  <c:v>0.46941500458983554</c:v>
                </c:pt>
              </c:numCache>
            </c:numRef>
          </c:val>
          <c:smooth val="0"/>
          <c:extLst>
            <c:ext xmlns:c16="http://schemas.microsoft.com/office/drawing/2014/chart" uri="{C3380CC4-5D6E-409C-BE32-E72D297353CC}">
              <c16:uniqueId val="{00000000-A20C-4AAA-8C34-9BFA396E9753}"/>
            </c:ext>
          </c:extLst>
        </c:ser>
        <c:dLbls>
          <c:showLegendKey val="0"/>
          <c:showVal val="0"/>
          <c:showCatName val="0"/>
          <c:showSerName val="0"/>
          <c:showPercent val="0"/>
          <c:showBubbleSize val="0"/>
        </c:dLbls>
        <c:marker val="1"/>
        <c:smooth val="0"/>
        <c:axId val="509853696"/>
        <c:axId val="509855232"/>
      </c:lineChart>
      <c:lineChart>
        <c:grouping val="standard"/>
        <c:varyColors val="0"/>
        <c:ser>
          <c:idx val="1"/>
          <c:order val="1"/>
          <c:tx>
            <c:v>To 90+ days late</c:v>
          </c:tx>
          <c:spPr>
            <a:ln w="38100">
              <a:solidFill>
                <a:srgbClr val="FF0000"/>
              </a:solidFill>
            </a:ln>
          </c:spPr>
          <c:marker>
            <c:symbol val="none"/>
          </c:marker>
          <c:cat>
            <c:strRef>
              <c:f>'HHD_C_Report_2020Q3(AutoRecovered).xlsx'!Page15_Date</c:f>
              <c:strCache>
                <c:ptCount val="71"/>
                <c:pt idx="0">
                  <c:v>03:Q1</c:v>
                </c:pt>
                <c:pt idx="1">
                  <c:v>03:Q2</c:v>
                </c:pt>
                <c:pt idx="2">
                  <c:v>03:Q3</c:v>
                </c:pt>
                <c:pt idx="3">
                  <c:v>03:Q4</c:v>
                </c:pt>
                <c:pt idx="4">
                  <c:v>04:Q1</c:v>
                </c:pt>
                <c:pt idx="5">
                  <c:v>04:Q2</c:v>
                </c:pt>
                <c:pt idx="6">
                  <c:v>04:Q3</c:v>
                </c:pt>
                <c:pt idx="7">
                  <c:v>04:Q4</c:v>
                </c:pt>
                <c:pt idx="8">
                  <c:v>05:Q1</c:v>
                </c:pt>
                <c:pt idx="9">
                  <c:v>05:Q2</c:v>
                </c:pt>
                <c:pt idx="10">
                  <c:v>05:Q3</c:v>
                </c:pt>
                <c:pt idx="11">
                  <c:v>05:Q4</c:v>
                </c:pt>
                <c:pt idx="12">
                  <c:v>06:Q1</c:v>
                </c:pt>
                <c:pt idx="13">
                  <c:v>06:Q2</c:v>
                </c:pt>
                <c:pt idx="14">
                  <c:v>06:Q3</c:v>
                </c:pt>
                <c:pt idx="15">
                  <c:v>06:Q4</c:v>
                </c:pt>
                <c:pt idx="16">
                  <c:v>07:Q1</c:v>
                </c:pt>
                <c:pt idx="17">
                  <c:v>07:Q2</c:v>
                </c:pt>
                <c:pt idx="18">
                  <c:v>07:Q3</c:v>
                </c:pt>
                <c:pt idx="19">
                  <c:v>07:Q4</c:v>
                </c:pt>
                <c:pt idx="20">
                  <c:v>08:Q1</c:v>
                </c:pt>
                <c:pt idx="21">
                  <c:v>08:Q2</c:v>
                </c:pt>
                <c:pt idx="22">
                  <c:v>08:Q3</c:v>
                </c:pt>
                <c:pt idx="23">
                  <c:v>08:Q4</c:v>
                </c:pt>
                <c:pt idx="24">
                  <c:v>09:Q1</c:v>
                </c:pt>
                <c:pt idx="25">
                  <c:v>09:Q2</c:v>
                </c:pt>
                <c:pt idx="26">
                  <c:v>09:Q3</c:v>
                </c:pt>
                <c:pt idx="27">
                  <c:v>09:Q4</c:v>
                </c:pt>
                <c:pt idx="28">
                  <c:v>10:Q1</c:v>
                </c:pt>
                <c:pt idx="29">
                  <c:v>10:Q2</c:v>
                </c:pt>
                <c:pt idx="30">
                  <c:v>10:Q3</c:v>
                </c:pt>
                <c:pt idx="31">
                  <c:v>10:Q4</c:v>
                </c:pt>
                <c:pt idx="32">
                  <c:v>11:Q1</c:v>
                </c:pt>
                <c:pt idx="33">
                  <c:v>11:Q2</c:v>
                </c:pt>
                <c:pt idx="34">
                  <c:v>11:Q3</c:v>
                </c:pt>
                <c:pt idx="35">
                  <c:v>11:Q4</c:v>
                </c:pt>
                <c:pt idx="36">
                  <c:v>12:Q1</c:v>
                </c:pt>
                <c:pt idx="37">
                  <c:v>12:Q2</c:v>
                </c:pt>
                <c:pt idx="38">
                  <c:v>12:Q3</c:v>
                </c:pt>
                <c:pt idx="39">
                  <c:v>12:Q4</c:v>
                </c:pt>
                <c:pt idx="40">
                  <c:v>13:Q1</c:v>
                </c:pt>
                <c:pt idx="41">
                  <c:v>13:Q2</c:v>
                </c:pt>
                <c:pt idx="42">
                  <c:v>13:Q3</c:v>
                </c:pt>
                <c:pt idx="43">
                  <c:v>13:Q4</c:v>
                </c:pt>
                <c:pt idx="44">
                  <c:v>14:Q1</c:v>
                </c:pt>
                <c:pt idx="45">
                  <c:v>14:Q2</c:v>
                </c:pt>
                <c:pt idx="46">
                  <c:v>14:Q3</c:v>
                </c:pt>
                <c:pt idx="47">
                  <c:v>14:Q4</c:v>
                </c:pt>
                <c:pt idx="48">
                  <c:v>15:Q1</c:v>
                </c:pt>
                <c:pt idx="49">
                  <c:v>15:Q2</c:v>
                </c:pt>
                <c:pt idx="50">
                  <c:v>15:Q3</c:v>
                </c:pt>
                <c:pt idx="51">
                  <c:v>15:Q4</c:v>
                </c:pt>
                <c:pt idx="52">
                  <c:v>16:Q1</c:v>
                </c:pt>
                <c:pt idx="53">
                  <c:v>16:Q2</c:v>
                </c:pt>
                <c:pt idx="54">
                  <c:v>16:Q3</c:v>
                </c:pt>
                <c:pt idx="55">
                  <c:v>16:Q4</c:v>
                </c:pt>
                <c:pt idx="56">
                  <c:v>17:Q1</c:v>
                </c:pt>
                <c:pt idx="57">
                  <c:v>17:Q2</c:v>
                </c:pt>
                <c:pt idx="58">
                  <c:v>17:Q3</c:v>
                </c:pt>
                <c:pt idx="59">
                  <c:v>17:Q4</c:v>
                </c:pt>
                <c:pt idx="60">
                  <c:v>18:Q1</c:v>
                </c:pt>
                <c:pt idx="61">
                  <c:v>18:Q2</c:v>
                </c:pt>
                <c:pt idx="62">
                  <c:v>18:Q3</c:v>
                </c:pt>
                <c:pt idx="63">
                  <c:v>18:Q4</c:v>
                </c:pt>
                <c:pt idx="64">
                  <c:v>19:Q1</c:v>
                </c:pt>
                <c:pt idx="65">
                  <c:v>19:Q2</c:v>
                </c:pt>
                <c:pt idx="66">
                  <c:v>19:Q3</c:v>
                </c:pt>
                <c:pt idx="67">
                  <c:v>19:Q4</c:v>
                </c:pt>
                <c:pt idx="68">
                  <c:v>20:Q1</c:v>
                </c:pt>
                <c:pt idx="69">
                  <c:v>20:Q2</c:v>
                </c:pt>
                <c:pt idx="70">
                  <c:v>20:Q3</c:v>
                </c:pt>
              </c:strCache>
            </c:strRef>
          </c:cat>
          <c:val>
            <c:numRef>
              <c:f>'HHD_C_Report_2020Q3(AutoRecovered).xlsx'!Page15_90</c:f>
              <c:numCache>
                <c:formatCode>0.00</c:formatCode>
                <c:ptCount val="71"/>
                <c:pt idx="0">
                  <c:v>0.19</c:v>
                </c:pt>
                <c:pt idx="1">
                  <c:v>0.2</c:v>
                </c:pt>
                <c:pt idx="2">
                  <c:v>0.16</c:v>
                </c:pt>
                <c:pt idx="3">
                  <c:v>0.23</c:v>
                </c:pt>
                <c:pt idx="4">
                  <c:v>0.18</c:v>
                </c:pt>
                <c:pt idx="5">
                  <c:v>0.15</c:v>
                </c:pt>
                <c:pt idx="6">
                  <c:v>0.14000000000000001</c:v>
                </c:pt>
                <c:pt idx="7">
                  <c:v>0.2</c:v>
                </c:pt>
                <c:pt idx="8">
                  <c:v>0.1</c:v>
                </c:pt>
                <c:pt idx="9">
                  <c:v>0.18</c:v>
                </c:pt>
                <c:pt idx="10">
                  <c:v>0.15</c:v>
                </c:pt>
                <c:pt idx="11">
                  <c:v>0.22</c:v>
                </c:pt>
                <c:pt idx="12">
                  <c:v>0.13</c:v>
                </c:pt>
                <c:pt idx="13">
                  <c:v>0.09</c:v>
                </c:pt>
                <c:pt idx="14">
                  <c:v>0.18</c:v>
                </c:pt>
                <c:pt idx="15">
                  <c:v>0.17</c:v>
                </c:pt>
                <c:pt idx="16">
                  <c:v>0.24</c:v>
                </c:pt>
                <c:pt idx="17">
                  <c:v>0.22</c:v>
                </c:pt>
                <c:pt idx="18">
                  <c:v>0.35</c:v>
                </c:pt>
                <c:pt idx="19">
                  <c:v>0.43</c:v>
                </c:pt>
                <c:pt idx="20">
                  <c:v>0.53</c:v>
                </c:pt>
                <c:pt idx="21">
                  <c:v>0.52</c:v>
                </c:pt>
                <c:pt idx="22">
                  <c:v>0.55000000000000004</c:v>
                </c:pt>
                <c:pt idx="23">
                  <c:v>0.66</c:v>
                </c:pt>
                <c:pt idx="24">
                  <c:v>0.66</c:v>
                </c:pt>
                <c:pt idx="25">
                  <c:v>0.75</c:v>
                </c:pt>
                <c:pt idx="26">
                  <c:v>0.53</c:v>
                </c:pt>
                <c:pt idx="27">
                  <c:v>0.74</c:v>
                </c:pt>
                <c:pt idx="28">
                  <c:v>0.63</c:v>
                </c:pt>
                <c:pt idx="29">
                  <c:v>0.53</c:v>
                </c:pt>
                <c:pt idx="30">
                  <c:v>0.59</c:v>
                </c:pt>
                <c:pt idx="31">
                  <c:v>0.52</c:v>
                </c:pt>
                <c:pt idx="32">
                  <c:v>0.54</c:v>
                </c:pt>
                <c:pt idx="33">
                  <c:v>0.47873319830602101</c:v>
                </c:pt>
                <c:pt idx="34">
                  <c:v>0.41862899005756149</c:v>
                </c:pt>
                <c:pt idx="35">
                  <c:v>0.48</c:v>
                </c:pt>
                <c:pt idx="36">
                  <c:v>0.43</c:v>
                </c:pt>
                <c:pt idx="37">
                  <c:v>0.36</c:v>
                </c:pt>
                <c:pt idx="38">
                  <c:v>0.35</c:v>
                </c:pt>
                <c:pt idx="39">
                  <c:v>0.38</c:v>
                </c:pt>
                <c:pt idx="40">
                  <c:v>0.28999999999999998</c:v>
                </c:pt>
                <c:pt idx="41">
                  <c:v>0.35</c:v>
                </c:pt>
                <c:pt idx="42">
                  <c:v>0.22</c:v>
                </c:pt>
                <c:pt idx="43">
                  <c:v>0.23</c:v>
                </c:pt>
                <c:pt idx="44">
                  <c:v>0.23</c:v>
                </c:pt>
                <c:pt idx="45">
                  <c:v>0.22</c:v>
                </c:pt>
                <c:pt idx="46">
                  <c:v>0.21</c:v>
                </c:pt>
                <c:pt idx="47">
                  <c:v>0.22</c:v>
                </c:pt>
                <c:pt idx="48">
                  <c:v>0.13</c:v>
                </c:pt>
                <c:pt idx="49">
                  <c:v>0.19</c:v>
                </c:pt>
                <c:pt idx="50">
                  <c:v>0.18</c:v>
                </c:pt>
                <c:pt idx="51">
                  <c:v>0.19</c:v>
                </c:pt>
                <c:pt idx="52">
                  <c:v>0.18</c:v>
                </c:pt>
                <c:pt idx="53">
                  <c:v>0.12</c:v>
                </c:pt>
                <c:pt idx="54">
                  <c:v>0.16</c:v>
                </c:pt>
                <c:pt idx="55">
                  <c:v>0.16</c:v>
                </c:pt>
                <c:pt idx="56">
                  <c:v>0.13902099948781699</c:v>
                </c:pt>
                <c:pt idx="57">
                  <c:v>0.1546410290221652</c:v>
                </c:pt>
                <c:pt idx="58">
                  <c:v>0.11</c:v>
                </c:pt>
                <c:pt idx="59">
                  <c:v>0.11</c:v>
                </c:pt>
                <c:pt idx="60">
                  <c:v>0.14283874442402031</c:v>
                </c:pt>
                <c:pt idx="61">
                  <c:v>0.19106374162657397</c:v>
                </c:pt>
                <c:pt idx="62">
                  <c:v>0.19690192463095116</c:v>
                </c:pt>
                <c:pt idx="63">
                  <c:v>0.13243084167157151</c:v>
                </c:pt>
                <c:pt idx="64">
                  <c:v>0.13687871648154382</c:v>
                </c:pt>
                <c:pt idx="65">
                  <c:v>0.17614605720869431</c:v>
                </c:pt>
                <c:pt idx="66">
                  <c:v>0.14073443738953983</c:v>
                </c:pt>
                <c:pt idx="67">
                  <c:v>0.1543666042631458</c:v>
                </c:pt>
                <c:pt idx="68">
                  <c:v>0.14386789920657927</c:v>
                </c:pt>
                <c:pt idx="69">
                  <c:v>0.10484116680421469</c:v>
                </c:pt>
                <c:pt idx="70">
                  <c:v>0.11891846782942503</c:v>
                </c:pt>
              </c:numCache>
            </c:numRef>
          </c:val>
          <c:smooth val="0"/>
          <c:extLst>
            <c:ext xmlns:c16="http://schemas.microsoft.com/office/drawing/2014/chart" uri="{C3380CC4-5D6E-409C-BE32-E72D297353CC}">
              <c16:uniqueId val="{00000001-A20C-4AAA-8C34-9BFA396E9753}"/>
            </c:ext>
          </c:extLst>
        </c:ser>
        <c:dLbls>
          <c:showLegendKey val="0"/>
          <c:showVal val="0"/>
          <c:showCatName val="0"/>
          <c:showSerName val="0"/>
          <c:showPercent val="0"/>
          <c:showBubbleSize val="0"/>
        </c:dLbls>
        <c:marker val="1"/>
        <c:smooth val="0"/>
        <c:axId val="497029888"/>
        <c:axId val="509856768"/>
      </c:lineChart>
      <c:catAx>
        <c:axId val="509853696"/>
        <c:scaling>
          <c:orientation val="minMax"/>
        </c:scaling>
        <c:delete val="0"/>
        <c:axPos val="b"/>
        <c:numFmt formatCode="[$-409]yy:\Q&quot;1&quot;;@" sourceLinked="0"/>
        <c:majorTickMark val="in"/>
        <c:minorTickMark val="none"/>
        <c:tickLblPos val="nextTo"/>
        <c:txPr>
          <a:bodyPr rot="-3000000" anchor="t" anchorCtr="0"/>
          <a:lstStyle/>
          <a:p>
            <a:pPr>
              <a:defRPr sz="1400">
                <a:latin typeface="Arial" pitchFamily="34" charset="0"/>
                <a:cs typeface="Arial" pitchFamily="34" charset="0"/>
              </a:defRPr>
            </a:pPr>
            <a:endParaRPr lang="en-US"/>
          </a:p>
        </c:txPr>
        <c:crossAx val="509855232"/>
        <c:crosses val="autoZero"/>
        <c:auto val="1"/>
        <c:lblAlgn val="ctr"/>
        <c:lblOffset val="100"/>
        <c:tickLblSkip val="4"/>
        <c:tickMarkSkip val="1"/>
        <c:noMultiLvlLbl val="0"/>
      </c:catAx>
      <c:valAx>
        <c:axId val="509855232"/>
        <c:scaling>
          <c:orientation val="minMax"/>
        </c:scaling>
        <c:delete val="0"/>
        <c:axPos val="l"/>
        <c:numFmt formatCode="#,##0.0" sourceLinked="0"/>
        <c:majorTickMark val="in"/>
        <c:minorTickMark val="none"/>
        <c:tickLblPos val="nextTo"/>
        <c:txPr>
          <a:bodyPr/>
          <a:lstStyle/>
          <a:p>
            <a:pPr>
              <a:defRPr sz="1400">
                <a:latin typeface="Arial" pitchFamily="34" charset="0"/>
                <a:cs typeface="Arial" pitchFamily="34" charset="0"/>
              </a:defRPr>
            </a:pPr>
            <a:endParaRPr lang="en-US"/>
          </a:p>
        </c:txPr>
        <c:crossAx val="509853696"/>
        <c:crosses val="autoZero"/>
        <c:crossBetween val="midCat"/>
      </c:valAx>
      <c:valAx>
        <c:axId val="509856768"/>
        <c:scaling>
          <c:orientation val="minMax"/>
          <c:max val="3.5"/>
          <c:min val="0"/>
        </c:scaling>
        <c:delete val="0"/>
        <c:axPos val="r"/>
        <c:numFmt formatCode="0.0" sourceLinked="0"/>
        <c:majorTickMark val="in"/>
        <c:minorTickMark val="none"/>
        <c:tickLblPos val="nextTo"/>
        <c:txPr>
          <a:bodyPr/>
          <a:lstStyle/>
          <a:p>
            <a:pPr>
              <a:defRPr sz="1400">
                <a:latin typeface="Arial" pitchFamily="34" charset="0"/>
                <a:cs typeface="Arial" pitchFamily="34" charset="0"/>
              </a:defRPr>
            </a:pPr>
            <a:endParaRPr lang="en-US"/>
          </a:p>
        </c:txPr>
        <c:crossAx val="497029888"/>
        <c:crosses val="max"/>
        <c:crossBetween val="between"/>
        <c:majorUnit val="0.5"/>
      </c:valAx>
      <c:catAx>
        <c:axId val="497029888"/>
        <c:scaling>
          <c:orientation val="minMax"/>
        </c:scaling>
        <c:delete val="1"/>
        <c:axPos val="b"/>
        <c:numFmt formatCode="General" sourceLinked="1"/>
        <c:majorTickMark val="out"/>
        <c:minorTickMark val="none"/>
        <c:tickLblPos val="none"/>
        <c:crossAx val="509856768"/>
        <c:crosses val="autoZero"/>
        <c:auto val="1"/>
        <c:lblAlgn val="ctr"/>
        <c:lblOffset val="100"/>
        <c:noMultiLvlLbl val="0"/>
      </c:catAx>
      <c:spPr>
        <a:ln>
          <a:solidFill>
            <a:schemeClr val="tx1"/>
          </a:solidFill>
        </a:ln>
      </c:spPr>
    </c:plotArea>
    <c:plotVisOnly val="1"/>
    <c:dispBlanksAs val="gap"/>
    <c:showDLblsOverMax val="0"/>
  </c:chart>
  <c:spPr>
    <a:ln>
      <a:noFill/>
    </a:ln>
  </c:sp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0.4286</cdr:x>
      <cdr:y>0.25971</cdr:y>
    </cdr:from>
    <cdr:to>
      <cdr:x>0.67252</cdr:x>
      <cdr:y>0.32795</cdr:y>
    </cdr:to>
    <cdr:sp macro="" textlink="">
      <cdr:nvSpPr>
        <cdr:cNvPr id="2" name="TextBox 1"/>
        <cdr:cNvSpPr txBox="1"/>
      </cdr:nvSpPr>
      <cdr:spPr>
        <a:xfrm xmlns:a="http://schemas.openxmlformats.org/drawingml/2006/main">
          <a:off x="3702744" y="1630221"/>
          <a:ext cx="2107268" cy="42834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solidFill>
                <a:schemeClr val="tx2"/>
              </a:solidFill>
              <a:latin typeface="Arial" pitchFamily="34" charset="0"/>
              <a:cs typeface="Arial" pitchFamily="34" charset="0"/>
            </a:rPr>
            <a:t>To 30-60</a:t>
          </a:r>
          <a:r>
            <a:rPr lang="en-US" sz="1400" baseline="0">
              <a:solidFill>
                <a:schemeClr val="tx2"/>
              </a:solidFill>
              <a:latin typeface="Arial" pitchFamily="34" charset="0"/>
              <a:cs typeface="Arial" pitchFamily="34" charset="0"/>
            </a:rPr>
            <a:t> days late</a:t>
          </a:r>
          <a:endParaRPr lang="en-US" sz="1400">
            <a:solidFill>
              <a:schemeClr val="tx2"/>
            </a:solidFill>
            <a:latin typeface="Arial" pitchFamily="34" charset="0"/>
            <a:cs typeface="Arial" pitchFamily="34" charset="0"/>
          </a:endParaRPr>
        </a:p>
      </cdr:txBody>
    </cdr:sp>
  </cdr:relSizeAnchor>
  <cdr:relSizeAnchor xmlns:cdr="http://schemas.openxmlformats.org/drawingml/2006/chartDrawing">
    <cdr:from>
      <cdr:x>0.38526</cdr:x>
      <cdr:y>0.66061</cdr:y>
    </cdr:from>
    <cdr:to>
      <cdr:x>0.62919</cdr:x>
      <cdr:y>0.72885</cdr:y>
    </cdr:to>
    <cdr:sp macro="" textlink="">
      <cdr:nvSpPr>
        <cdr:cNvPr id="3" name="TextBox 2"/>
        <cdr:cNvSpPr txBox="1"/>
      </cdr:nvSpPr>
      <cdr:spPr>
        <a:xfrm xmlns:a="http://schemas.openxmlformats.org/drawingml/2006/main">
          <a:off x="3328350" y="4146651"/>
          <a:ext cx="2107354" cy="42834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400">
              <a:solidFill>
                <a:srgbClr val="FF0000"/>
              </a:solidFill>
              <a:latin typeface="Arial" pitchFamily="34" charset="0"/>
              <a:cs typeface="Arial" pitchFamily="34" charset="0"/>
            </a:rPr>
            <a:t>To 90+</a:t>
          </a:r>
          <a:r>
            <a:rPr lang="en-US" sz="1400" baseline="0">
              <a:solidFill>
                <a:srgbClr val="FF0000"/>
              </a:solidFill>
              <a:latin typeface="Arial" pitchFamily="34" charset="0"/>
              <a:cs typeface="Arial" pitchFamily="34" charset="0"/>
            </a:rPr>
            <a:t> days late</a:t>
          </a:r>
          <a:endParaRPr lang="en-US" sz="1400">
            <a:solidFill>
              <a:srgbClr val="FF0000"/>
            </a:solidFill>
            <a:latin typeface="Arial" pitchFamily="34" charset="0"/>
            <a:cs typeface="Arial" pitchFamily="34" charset="0"/>
          </a:endParaRPr>
        </a:p>
      </cdr:txBody>
    </cdr:sp>
  </cdr:relSizeAnchor>
  <cdr:relSizeAnchor xmlns:cdr="http://schemas.openxmlformats.org/drawingml/2006/chartDrawing">
    <cdr:from>
      <cdr:x>0.0009</cdr:x>
      <cdr:y>0</cdr:y>
    </cdr:from>
    <cdr:to>
      <cdr:x>1</cdr:x>
      <cdr:y>0.08933</cdr:y>
    </cdr:to>
    <cdr:sp macro="" textlink="">
      <cdr:nvSpPr>
        <cdr:cNvPr id="4" name="TextBox 3"/>
        <cdr:cNvSpPr txBox="1"/>
      </cdr:nvSpPr>
      <cdr:spPr>
        <a:xfrm xmlns:a="http://schemas.openxmlformats.org/drawingml/2006/main">
          <a:off x="5349" y="-914400"/>
          <a:ext cx="5938251" cy="38476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400" baseline="0">
              <a:latin typeface="Arial" pitchFamily="34" charset="0"/>
              <a:cs typeface="Arial" pitchFamily="34" charset="0"/>
            </a:rPr>
            <a:t>Quarterly Transition Rates for Current Mortgage Accounts</a:t>
          </a:r>
          <a:endParaRPr lang="en-US" sz="1400">
            <a:latin typeface="Arial" pitchFamily="34" charset="0"/>
            <a:cs typeface="Arial" pitchFamily="34" charset="0"/>
          </a:endParaRPr>
        </a:p>
      </cdr:txBody>
    </cdr:sp>
  </cdr:relSizeAnchor>
  <cdr:relSizeAnchor xmlns:cdr="http://schemas.openxmlformats.org/drawingml/2006/chartDrawing">
    <cdr:from>
      <cdr:x>0</cdr:x>
      <cdr:y>0.03301</cdr:y>
    </cdr:from>
    <cdr:to>
      <cdr:x>0.13043</cdr:x>
      <cdr:y>0.0774</cdr:y>
    </cdr:to>
    <cdr:sp macro="" textlink="">
      <cdr:nvSpPr>
        <cdr:cNvPr id="5" name="TextBox 4"/>
        <cdr:cNvSpPr txBox="1"/>
      </cdr:nvSpPr>
      <cdr:spPr>
        <a:xfrm xmlns:a="http://schemas.openxmlformats.org/drawingml/2006/main">
          <a:off x="-914400" y="142201"/>
          <a:ext cx="828674" cy="19117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l"/>
          <a:r>
            <a:rPr lang="en-US" sz="1400">
              <a:latin typeface="Arial" pitchFamily="34" charset="0"/>
              <a:cs typeface="Arial" pitchFamily="34" charset="0"/>
            </a:rPr>
            <a:t>Percent</a:t>
          </a:r>
        </a:p>
      </cdr:txBody>
    </cdr:sp>
  </cdr:relSizeAnchor>
  <cdr:relSizeAnchor xmlns:cdr="http://schemas.openxmlformats.org/drawingml/2006/chartDrawing">
    <cdr:from>
      <cdr:x>0.87741</cdr:x>
      <cdr:y>0.0308</cdr:y>
    </cdr:from>
    <cdr:to>
      <cdr:x>1</cdr:x>
      <cdr:y>0.06634</cdr:y>
    </cdr:to>
    <cdr:sp macro="" textlink="">
      <cdr:nvSpPr>
        <cdr:cNvPr id="6" name="TextBox 5"/>
        <cdr:cNvSpPr txBox="1"/>
      </cdr:nvSpPr>
      <cdr:spPr>
        <a:xfrm xmlns:a="http://schemas.openxmlformats.org/drawingml/2006/main">
          <a:off x="5733147" y="132676"/>
          <a:ext cx="801003" cy="15307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r"/>
          <a:r>
            <a:rPr lang="en-US" sz="1400">
              <a:latin typeface="Arial" pitchFamily="34" charset="0"/>
              <a:cs typeface="Arial" pitchFamily="34" charset="0"/>
            </a:rPr>
            <a:t>Percent</a:t>
          </a:r>
        </a:p>
      </cdr:txBody>
    </cdr:sp>
  </cdr:relSizeAnchor>
  <cdr:relSizeAnchor xmlns:cdr="http://schemas.openxmlformats.org/drawingml/2006/chartDrawing">
    <cdr:from>
      <cdr:x>0</cdr:x>
      <cdr:y>0.96</cdr:y>
    </cdr:from>
    <cdr:to>
      <cdr:x>0.4264</cdr:x>
      <cdr:y>1</cdr:y>
    </cdr:to>
    <cdr:sp macro="" textlink="">
      <cdr:nvSpPr>
        <cdr:cNvPr id="7" name="TextBox 1"/>
        <cdr:cNvSpPr txBox="1"/>
      </cdr:nvSpPr>
      <cdr:spPr>
        <a:xfrm xmlns:a="http://schemas.openxmlformats.org/drawingml/2006/main">
          <a:off x="-23422" y="6064455"/>
          <a:ext cx="3698611" cy="25171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l"/>
          <a:r>
            <a:rPr lang="en-US" sz="1100" baseline="0" dirty="0">
              <a:latin typeface="Arial" pitchFamily="34" charset="0"/>
              <a:cs typeface="Arial" pitchFamily="34" charset="0"/>
            </a:rPr>
            <a:t>Source: New York Fed Consumer Credit Panel/Equifax</a:t>
          </a:r>
          <a:endParaRPr lang="en-US" sz="1100" dirty="0">
            <a:latin typeface="Arial" pitchFamily="34" charset="0"/>
            <a:cs typeface="Arial"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Reese</dc:creator>
  <cp:keywords/>
  <dc:description/>
  <cp:lastModifiedBy>David Reese</cp:lastModifiedBy>
  <cp:revision>2</cp:revision>
  <dcterms:created xsi:type="dcterms:W3CDTF">2021-02-25T18:14:00Z</dcterms:created>
  <dcterms:modified xsi:type="dcterms:W3CDTF">2021-02-25T18:14:00Z</dcterms:modified>
</cp:coreProperties>
</file>