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52" w:lineRule="auto"/>
      </w:pPr>
      <w:r>
        <w:rPr>
          <w:rFonts w:ascii="Arial" w:hAnsi="Arial" w:eastAsia="Arial"/>
          <w:b/>
          <w:i w:val="0"/>
          <w:sz w:val="17"/>
        </w:rPr>
        <w:t>sweetspot</w:t>
      </w:r>
    </w:p>
    <w:p>
      <w:pPr>
        <w:spacing w:after="160" w:before="0" w:line="252" w:lineRule="auto"/>
      </w:pPr>
      <w:r>
        <w:rPr>
          <w:rFonts w:ascii="Arial" w:hAnsi="Arial" w:eastAsia="Arial"/>
          <w:b w:val="0"/>
          <w:i w:val="0"/>
          <w:color w:val="1F4E79"/>
          <w:sz w:val="17"/>
        </w:rPr>
        <w:t>August 15 Product Scope</w:t>
      </w:r>
    </w:p>
    <w:p>
      <w:pPr>
        <w:spacing w:after="80" w:before="0" w:line="252" w:lineRule="auto"/>
      </w:pPr>
      <w:r>
        <w:rPr>
          <w:rFonts w:ascii="Arial" w:hAnsi="Arial" w:eastAsia="Arial"/>
          <w:b w:val="0"/>
          <w:i/>
          <w:color w:val="4D4D4D"/>
          <w:sz w:val="17"/>
        </w:rPr>
        <w:t>MVP scope and prioritised backlog | May 2026</w:t>
      </w:r>
    </w:p>
    <w:p>
      <w:pPr>
        <w:spacing w:after="160" w:before="0" w:line="252" w:lineRule="auto"/>
      </w:pPr>
      <w:r>
        <w:rPr>
          <w:rFonts w:ascii="Arial" w:hAnsi="Arial" w:eastAsia="Arial"/>
          <w:b w:val="0"/>
          <w:i w:val="0"/>
          <w:sz w:val="16"/>
        </w:rPr>
        <w:t>sweetspot is a marketing automation platform built for verticalisation. The product simplifies and automates the execution work that drowns marketing teams: drafting emails, building journeys, managing audiences, running campaigns, tracking outcomes. It is built on a context-aware AI substrate: every generated output (email copy, audience suggestion, recommendation) is grounded in a structured set of context blocks — organisation, brand, industry — that the customer configures once. The platform is industry-opinionated by design: vocabulary, programmes, and best practices are data-driven and pluggable per vertical. Membership is the launch industry. CRM-agnostic from day one, with Salesforce as the launch integration. We launch August 15, 2026 on the production codebase. The product the customer touches on day one is small and high-quality; everything else is queued, prioritised, and scheduled honestly.</w:t>
      </w:r>
    </w:p>
    <w:p>
      <w:pPr>
        <w:spacing w:after="60" w:before="0" w:line="252" w:lineRule="auto"/>
      </w:pPr>
      <w:r>
        <w:rPr>
          <w:rFonts w:ascii="Arial" w:hAnsi="Arial" w:eastAsia="Arial"/>
          <w:b w:val="0"/>
          <w:i w:val="0"/>
          <w:sz w:val="17"/>
        </w:rPr>
        <w:t>Team</w:t>
      </w:r>
    </w:p>
    <w:p>
      <w:pPr>
        <w:pStyle w:val="ListBullet"/>
        <w:spacing w:after="0" w:line="240" w:lineRule="auto"/>
        <w:ind w:left="504" w:hanging="216"/>
      </w:pPr>
      <w:r>
        <w:rPr>
          <w:rFonts w:ascii="Arial" w:hAnsi="Arial" w:eastAsia="Arial"/>
          <w:sz w:val="16"/>
        </w:rPr>
        <w:t>Vishnu: Product Manager</w:t>
      </w:r>
    </w:p>
    <w:p>
      <w:pPr>
        <w:pStyle w:val="ListBullet"/>
        <w:spacing w:after="0" w:line="240" w:lineRule="auto"/>
        <w:ind w:left="504" w:hanging="216"/>
      </w:pPr>
      <w:r>
        <w:rPr>
          <w:rFonts w:ascii="Arial" w:hAnsi="Arial" w:eastAsia="Arial"/>
          <w:sz w:val="16"/>
        </w:rPr>
        <w:t>Nic B.: QA</w:t>
      </w:r>
    </w:p>
    <w:p>
      <w:pPr>
        <w:pStyle w:val="ListBullet"/>
        <w:spacing w:after="0" w:line="240" w:lineRule="auto"/>
        <w:ind w:left="504" w:hanging="216"/>
      </w:pPr>
      <w:r>
        <w:rPr>
          <w:rFonts w:ascii="Arial" w:hAnsi="Arial" w:eastAsia="Arial"/>
          <w:sz w:val="16"/>
        </w:rPr>
        <w:t>Unal: Data Architect</w:t>
      </w:r>
    </w:p>
    <w:p>
      <w:pPr>
        <w:pStyle w:val="ListBullet"/>
        <w:spacing w:after="0" w:line="240" w:lineRule="auto"/>
        <w:ind w:left="504" w:hanging="216"/>
      </w:pPr>
      <w:r>
        <w:rPr>
          <w:rFonts w:ascii="Arial" w:hAnsi="Arial" w:eastAsia="Arial"/>
          <w:sz w:val="16"/>
        </w:rPr>
        <w:t>David P.: Designer</w:t>
      </w:r>
    </w:p>
    <w:p>
      <w:pPr>
        <w:pStyle w:val="ListBullet"/>
        <w:spacing w:after="0" w:line="240" w:lineRule="auto"/>
        <w:ind w:left="504" w:hanging="216"/>
      </w:pPr>
      <w:r>
        <w:rPr>
          <w:rFonts w:ascii="Arial" w:hAnsi="Arial" w:eastAsia="Arial"/>
          <w:sz w:val="16"/>
        </w:rPr>
        <w:t>Engineers: Vishal, Nic S., Farron , Evgenii</w:t>
      </w:r>
    </w:p>
    <w:p>
      <w:pPr>
        <w:pStyle w:val="ListBullet"/>
        <w:spacing w:after="0" w:line="240" w:lineRule="auto"/>
        <w:ind w:left="504" w:hanging="216"/>
      </w:pPr>
      <w:r>
        <w:rPr>
          <w:rFonts w:ascii="Arial" w:hAnsi="Arial" w:eastAsia="Arial"/>
          <w:sz w:val="16"/>
        </w:rPr>
        <w:t>DeOp Engineers: Ahmet Cengiz, David Kokkilic, Cemal Can Seyhan</w:t>
      </w:r>
    </w:p>
    <w:p>
      <w:pPr>
        <w:spacing w:after="40" w:before="0" w:line="252" w:lineRule="auto"/>
      </w:pPr>
      <w:r>
        <w:rPr>
          <w:rFonts w:ascii="Arial" w:hAnsi="Arial" w:eastAsia="Arial"/>
          <w:b/>
          <w:i w:val="0"/>
          <w:sz w:val="17"/>
        </w:rPr>
        <w:t>August 15 MVP</w:t>
      </w:r>
    </w:p>
    <w:p>
      <w:pPr>
        <w:spacing w:after="60" w:before="0" w:line="252" w:lineRule="auto"/>
      </w:pPr>
      <w:r>
        <w:rPr>
          <w:rFonts w:ascii="Arial" w:hAnsi="Arial" w:eastAsia="Arial"/>
          <w:b w:val="0"/>
          <w:i w:val="0"/>
          <w:sz w:val="16"/>
        </w:rPr>
        <w:t>These features ship for production GA on August 15. Sizing is rough: S is roughly one engineer-week or less, M is two to three engineer-weeks, L is four-plus engineer-weeks or needs multiple engineers. (according to Claude)</w:t>
      </w:r>
    </w:p>
    <w:tbl>
      <w:tblPr>
        <w:tblStyle w:val="TableGrid"/>
        <w:tblW w:type="dxa" w:w="10224"/>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44"/>
        <w:gridCol w:w="3312"/>
        <w:gridCol w:w="4104"/>
        <w:gridCol w:w="864"/>
      </w:tblGrid>
      <w:tr>
        <w:trPr>
          <w:tblHeader w:val="true"/>
        </w:trPr>
        <w:tc>
          <w:tcPr>
            <w:tcW w:type="dxa" w:w="1944"/>
            <w:shd w:fill="252B36"/>
            <w:vAlign w:val="center"/>
          </w:tcPr>
          <w:p>
            <w:pPr>
              <w:spacing w:after="0" w:before="0" w:line="240" w:lineRule="auto"/>
            </w:pPr>
            <w:r/>
            <w:r>
              <w:rPr>
                <w:rFonts w:ascii="Arial" w:hAnsi="Arial" w:eastAsia="Arial"/>
                <w:b/>
                <w:color w:val="FFFFFF"/>
                <w:sz w:val="14"/>
              </w:rPr>
              <w:t>Feature</w:t>
            </w:r>
          </w:p>
        </w:tc>
        <w:tc>
          <w:tcPr>
            <w:tcW w:type="dxa" w:w="3311"/>
            <w:shd w:fill="252B36"/>
            <w:vAlign w:val="center"/>
          </w:tcPr>
          <w:p>
            <w:pPr>
              <w:spacing w:after="0" w:before="0" w:line="240" w:lineRule="auto"/>
            </w:pPr>
            <w:r/>
            <w:r>
              <w:rPr>
                <w:rFonts w:ascii="Arial" w:hAnsi="Arial" w:eastAsia="Arial"/>
                <w:b/>
                <w:color w:val="FFFFFF"/>
                <w:sz w:val="14"/>
              </w:rPr>
              <w:t>What “done” means</w:t>
            </w:r>
          </w:p>
        </w:tc>
        <w:tc>
          <w:tcPr>
            <w:tcW w:type="dxa" w:w="4104"/>
            <w:shd w:fill="252B36"/>
            <w:vAlign w:val="center"/>
          </w:tcPr>
          <w:p>
            <w:pPr>
              <w:spacing w:after="0" w:before="0" w:line="240" w:lineRule="auto"/>
            </w:pPr>
            <w:r/>
            <w:r>
              <w:rPr>
                <w:rFonts w:ascii="Arial" w:hAnsi="Arial" w:eastAsia="Arial"/>
                <w:b/>
                <w:color w:val="FFFFFF"/>
                <w:sz w:val="14"/>
              </w:rPr>
              <w:t>Rationale</w:t>
            </w:r>
          </w:p>
        </w:tc>
        <w:tc>
          <w:tcPr>
            <w:tcW w:type="dxa" w:w="864"/>
            <w:shd w:fill="252B36"/>
            <w:vAlign w:val="center"/>
          </w:tcPr>
          <w:p>
            <w:pPr>
              <w:spacing w:after="0" w:before="0" w:line="240" w:lineRule="auto"/>
            </w:pPr>
            <w:r/>
            <w:r>
              <w:rPr>
                <w:rFonts w:ascii="Arial" w:hAnsi="Arial" w:eastAsia="Arial"/>
                <w:b/>
                <w:color w:val="FFFFFF"/>
                <w:sz w:val="14"/>
              </w:rPr>
              <w:t>Size</w:t>
            </w:r>
          </w:p>
        </w:tc>
      </w:tr>
      <w:tr>
        <w:tc>
          <w:tcPr>
            <w:tcW w:type="dxa" w:w="1944"/>
            <w:vAlign w:val="center"/>
          </w:tcPr>
          <w:p>
            <w:pPr>
              <w:spacing w:after="0" w:before="0" w:line="240" w:lineRule="auto"/>
            </w:pPr>
            <w:r/>
            <w:r>
              <w:rPr>
                <w:rFonts w:ascii="Arial" w:hAnsi="Arial" w:eastAsia="Arial"/>
                <w:b/>
                <w:sz w:val="14"/>
              </w:rPr>
              <w:t>Auth + organisations</w:t>
            </w:r>
          </w:p>
        </w:tc>
        <w:tc>
          <w:tcPr>
            <w:tcW w:type="dxa" w:w="3311"/>
            <w:vAlign w:val="center"/>
          </w:tcPr>
          <w:p>
            <w:pPr>
              <w:spacing w:after="0" w:before="0" w:line="240" w:lineRule="auto"/>
            </w:pPr>
            <w:r/>
            <w:r>
              <w:rPr>
                <w:rFonts w:ascii="Arial" w:hAnsi="Arial" w:eastAsia="Arial"/>
                <w:b w:val="0"/>
                <w:sz w:val="14"/>
              </w:rPr>
              <w:t>Already shipped. Login, session, org creation, org context throughout the app.</w:t>
            </w:r>
          </w:p>
        </w:tc>
        <w:tc>
          <w:tcPr>
            <w:tcW w:type="dxa" w:w="4104"/>
            <w:vAlign w:val="center"/>
          </w:tcPr>
          <w:p>
            <w:pPr>
              <w:spacing w:after="0" w:before="0" w:line="240" w:lineRule="auto"/>
            </w:pPr>
            <w:r/>
            <w:r>
              <w:rPr>
                <w:rFonts w:ascii="Arial" w:hAnsi="Arial" w:eastAsia="Arial"/>
                <w:b w:val="0"/>
                <w:sz w:val="14"/>
              </w:rPr>
              <w:t>Foundation. Everything else attaches to an org.</w:t>
            </w:r>
          </w:p>
        </w:tc>
        <w:tc>
          <w:tcPr>
            <w:tcW w:type="dxa" w:w="864"/>
            <w:vAlign w:val="center"/>
            <w:shd w:fill="D9EFD6"/>
          </w:tcPr>
          <w:p>
            <w:pPr>
              <w:spacing w:after="0" w:before="0" w:line="240" w:lineRule="auto"/>
              <w:jc w:val="center"/>
            </w:pPr>
            <w:r/>
            <w:r>
              <w:rPr>
                <w:rFonts w:ascii="Arial" w:hAnsi="Arial" w:eastAsia="Arial"/>
                <w:b/>
                <w:sz w:val="14"/>
              </w:rPr>
              <w:t>S</w:t>
            </w:r>
          </w:p>
        </w:tc>
      </w:tr>
      <w:tr>
        <w:tc>
          <w:tcPr>
            <w:tcW w:type="dxa" w:w="1944"/>
            <w:vAlign w:val="center"/>
          </w:tcPr>
          <w:p>
            <w:pPr>
              <w:spacing w:after="0" w:before="0" w:line="240" w:lineRule="auto"/>
            </w:pPr>
            <w:r/>
            <w:r>
              <w:rPr>
                <w:rFonts w:ascii="Arial" w:hAnsi="Arial" w:eastAsia="Arial"/>
                <w:b/>
                <w:sz w:val="14"/>
              </w:rPr>
              <w:t>Registration flows + Users + profile</w:t>
            </w:r>
          </w:p>
        </w:tc>
        <w:tc>
          <w:tcPr>
            <w:tcW w:type="dxa" w:w="3311"/>
            <w:vAlign w:val="center"/>
          </w:tcPr>
          <w:p>
            <w:pPr>
              <w:spacing w:after="0" w:before="0" w:line="240" w:lineRule="auto"/>
            </w:pPr>
            <w:r/>
            <w:r>
              <w:rPr>
                <w:rFonts w:ascii="Arial" w:hAnsi="Arial" w:eastAsia="Arial"/>
                <w:b w:val="0"/>
                <w:sz w:val="14"/>
              </w:rPr>
              <w:t>Registration flows. Single user per org (owner role). Name, email, job title, time zone, notification preferences. Auth attribution on every record (created_by, updated_by).</w:t>
            </w:r>
          </w:p>
        </w:tc>
        <w:tc>
          <w:tcPr>
            <w:tcW w:type="dxa" w:w="4104"/>
            <w:vAlign w:val="center"/>
          </w:tcPr>
          <w:p>
            <w:pPr>
              <w:spacing w:after="0" w:before="0" w:line="240" w:lineRule="auto"/>
            </w:pPr>
            <w:r/>
            <w:r>
              <w:rPr>
                <w:rFonts w:ascii="Arial" w:hAnsi="Arial" w:eastAsia="Arial"/>
                <w:b w:val="0"/>
                <w:sz w:val="14"/>
              </w:rPr>
              <w:t>Customers expect a real account, not a generic admin login. Data model anticipates multi-user teams post-launch.</w:t>
            </w:r>
          </w:p>
        </w:tc>
        <w:tc>
          <w:tcPr>
            <w:tcW w:type="dxa" w:w="864"/>
            <w:vAlign w:val="center"/>
            <w:shd w:fill="D9EFD6"/>
          </w:tcPr>
          <w:p>
            <w:pPr>
              <w:spacing w:after="0" w:before="0" w:line="240" w:lineRule="auto"/>
              <w:jc w:val="center"/>
            </w:pPr>
            <w:r/>
            <w:r>
              <w:rPr>
                <w:rFonts w:ascii="Arial" w:hAnsi="Arial" w:eastAsia="Arial"/>
                <w:b/>
                <w:sz w:val="14"/>
              </w:rPr>
              <w:t>S</w:t>
            </w:r>
          </w:p>
        </w:tc>
      </w:tr>
      <w:tr>
        <w:tc>
          <w:tcPr>
            <w:tcW w:type="dxa" w:w="1944"/>
            <w:vAlign w:val="center"/>
          </w:tcPr>
          <w:p>
            <w:pPr>
              <w:spacing w:after="0" w:before="0" w:line="240" w:lineRule="auto"/>
            </w:pPr>
            <w:r/>
            <w:r>
              <w:rPr>
                <w:rFonts w:ascii="Arial" w:hAnsi="Arial" w:eastAsia="Arial"/>
                <w:b/>
                <w:sz w:val="14"/>
              </w:rPr>
              <w:t>Contacts (Nic S.)</w:t>
            </w:r>
          </w:p>
        </w:tc>
        <w:tc>
          <w:tcPr>
            <w:tcW w:type="dxa" w:w="3311"/>
            <w:vAlign w:val="center"/>
          </w:tcPr>
          <w:p>
            <w:pPr>
              <w:spacing w:after="0" w:before="0" w:line="240" w:lineRule="auto"/>
            </w:pPr>
            <w:r/>
            <w:r>
              <w:rPr>
                <w:rFonts w:ascii="Arial" w:hAnsi="Arial" w:eastAsia="Arial"/>
                <w:b w:val="0"/>
                <w:sz w:val="14"/>
              </w:rPr>
              <w:t>Create, edit, import, search. System and custom fields. Three-tier field architecture. AI awareness tab deferred to backlog.</w:t>
            </w:r>
          </w:p>
        </w:tc>
        <w:tc>
          <w:tcPr>
            <w:tcW w:type="dxa" w:w="4104"/>
            <w:vAlign w:val="center"/>
          </w:tcPr>
          <w:p>
            <w:pPr>
              <w:spacing w:after="0" w:before="0" w:line="240" w:lineRule="auto"/>
            </w:pPr>
            <w:r/>
            <w:r>
              <w:rPr>
                <w:rFonts w:ascii="Arial" w:hAnsi="Arial" w:eastAsia="Arial"/>
                <w:b w:val="0"/>
                <w:sz w:val="14"/>
              </w:rPr>
              <w:t>The core data the platform operates on. Without contacts, nothing else works.</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1944"/>
            <w:vAlign w:val="center"/>
          </w:tcPr>
          <w:p>
            <w:pPr>
              <w:spacing w:after="0" w:before="0" w:line="240" w:lineRule="auto"/>
            </w:pPr>
            <w:r/>
            <w:r>
              <w:rPr>
                <w:rFonts w:ascii="Arial" w:hAnsi="Arial" w:eastAsia="Arial"/>
                <w:b/>
                <w:sz w:val="14"/>
              </w:rPr>
              <w:t>Audiences (Farron)</w:t>
            </w:r>
          </w:p>
        </w:tc>
        <w:tc>
          <w:tcPr>
            <w:tcW w:type="dxa" w:w="3311"/>
            <w:vAlign w:val="center"/>
          </w:tcPr>
          <w:p>
            <w:pPr>
              <w:spacing w:after="0" w:before="0" w:line="240" w:lineRule="auto"/>
            </w:pPr>
            <w:r/>
            <w:r>
              <w:rPr>
                <w:rFonts w:ascii="Arial" w:hAnsi="Arial" w:eastAsia="Arial"/>
                <w:b w:val="0"/>
                <w:sz w:val="14"/>
              </w:rPr>
              <w:t>Create dynamic or static audiences from contact fields. Used as the targeting layer for emails and forms.</w:t>
            </w:r>
          </w:p>
        </w:tc>
        <w:tc>
          <w:tcPr>
            <w:tcW w:type="dxa" w:w="4104"/>
            <w:vAlign w:val="center"/>
          </w:tcPr>
          <w:p>
            <w:pPr>
              <w:spacing w:after="0" w:before="0" w:line="240" w:lineRule="auto"/>
            </w:pPr>
            <w:r/>
            <w:r>
              <w:rPr>
                <w:rFonts w:ascii="Arial" w:hAnsi="Arial" w:eastAsia="Arial"/>
                <w:b w:val="0"/>
                <w:sz w:val="14"/>
              </w:rPr>
              <w:t>Without audiences, you can't send to anyone meaningful. Required for every send path.</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1944"/>
            <w:vAlign w:val="center"/>
          </w:tcPr>
          <w:p>
            <w:pPr>
              <w:spacing w:after="0" w:before="0" w:line="240" w:lineRule="auto"/>
            </w:pPr>
            <w:r/>
            <w:r>
              <w:rPr>
                <w:rFonts w:ascii="Arial" w:hAnsi="Arial" w:eastAsia="Arial"/>
                <w:b/>
                <w:sz w:val="14"/>
              </w:rPr>
              <w:t>Assets (Vishal)</w:t>
            </w:r>
          </w:p>
        </w:tc>
        <w:tc>
          <w:tcPr>
            <w:tcW w:type="dxa" w:w="3311"/>
            <w:vAlign w:val="center"/>
          </w:tcPr>
          <w:p>
            <w:pPr>
              <w:spacing w:after="0" w:before="0" w:line="240" w:lineRule="auto"/>
            </w:pPr>
            <w:r/>
            <w:r>
              <w:rPr>
                <w:rFonts w:ascii="Arial" w:hAnsi="Arial" w:eastAsia="Arial"/>
                <w:b w:val="0"/>
                <w:sz w:val="14"/>
              </w:rPr>
              <w:t>Image and video upload, organisation, and use in emails. PDFs and ebooks deferred to backlog.</w:t>
            </w:r>
          </w:p>
        </w:tc>
        <w:tc>
          <w:tcPr>
            <w:tcW w:type="dxa" w:w="4104"/>
            <w:vAlign w:val="center"/>
          </w:tcPr>
          <w:p>
            <w:pPr>
              <w:spacing w:after="0" w:before="0" w:line="240" w:lineRule="auto"/>
            </w:pPr>
            <w:r/>
            <w:r>
              <w:rPr>
                <w:rFonts w:ascii="Arial" w:hAnsi="Arial" w:eastAsia="Arial"/>
                <w:b w:val="0"/>
                <w:sz w:val="14"/>
              </w:rPr>
              <w:t>Emails need imagery. Scoping to images and video covers 95% of use at launch with much smaller surface area.</w:t>
            </w:r>
          </w:p>
        </w:tc>
        <w:tc>
          <w:tcPr>
            <w:tcW w:type="dxa" w:w="864"/>
            <w:vAlign w:val="center"/>
            <w:shd w:fill="D9EFD6"/>
          </w:tcPr>
          <w:p>
            <w:pPr>
              <w:spacing w:after="0" w:before="0" w:line="240" w:lineRule="auto"/>
              <w:jc w:val="center"/>
            </w:pPr>
            <w:r/>
            <w:r>
              <w:rPr>
                <w:rFonts w:ascii="Arial" w:hAnsi="Arial" w:eastAsia="Arial"/>
                <w:b/>
                <w:sz w:val="14"/>
              </w:rPr>
              <w:t>S</w:t>
            </w:r>
          </w:p>
        </w:tc>
      </w:tr>
      <w:tr>
        <w:tc>
          <w:tcPr>
            <w:tcW w:type="dxa" w:w="1944"/>
            <w:vAlign w:val="center"/>
          </w:tcPr>
          <w:p>
            <w:pPr>
              <w:spacing w:after="0" w:before="0" w:line="240" w:lineRule="auto"/>
            </w:pPr>
            <w:r/>
            <w:r>
              <w:rPr>
                <w:rFonts w:ascii="Arial" w:hAnsi="Arial" w:eastAsia="Arial"/>
                <w:b/>
                <w:sz w:val="14"/>
              </w:rPr>
              <w:t>Forms (Farron)</w:t>
            </w:r>
          </w:p>
        </w:tc>
        <w:tc>
          <w:tcPr>
            <w:tcW w:type="dxa" w:w="3311"/>
            <w:vAlign w:val="center"/>
          </w:tcPr>
          <w:p>
            <w:pPr>
              <w:spacing w:after="0" w:before="0" w:line="240" w:lineRule="auto"/>
            </w:pPr>
            <w:r/>
            <w:r>
              <w:rPr>
                <w:rFonts w:ascii="Arial" w:hAnsi="Arial" w:eastAsia="Arial"/>
                <w:b w:val="0"/>
                <w:sz w:val="14"/>
              </w:rPr>
              <w:t>Capture submissions from existing forms on the customer's website via a tracking script; AI-generate new forms branded by the customer; route submissions into contacts, audiences, journeys, and Salesforce. Consent checkbox detection and audit records included.</w:t>
            </w:r>
          </w:p>
        </w:tc>
        <w:tc>
          <w:tcPr>
            <w:tcW w:type="dxa" w:w="4104"/>
            <w:vAlign w:val="center"/>
          </w:tcPr>
          <w:p>
            <w:pPr>
              <w:spacing w:after="0" w:before="0" w:line="240" w:lineRule="auto"/>
            </w:pPr>
            <w:r/>
            <w:r>
              <w:rPr>
                <w:rFonts w:ascii="Arial" w:hAnsi="Arial" w:eastAsia="Arial"/>
                <w:b w:val="0"/>
                <w:sz w:val="14"/>
              </w:rPr>
              <w:t>The primary acquisition surface. Forms feed contacts, audiences feed emails.</w:t>
            </w:r>
          </w:p>
        </w:tc>
        <w:tc>
          <w:tcPr>
            <w:tcW w:type="dxa" w:w="864"/>
            <w:vAlign w:val="center"/>
            <w:shd w:fill="F8C7CC"/>
          </w:tcPr>
          <w:p>
            <w:pPr>
              <w:spacing w:after="0" w:before="0" w:line="240" w:lineRule="auto"/>
              <w:jc w:val="center"/>
            </w:pPr>
            <w:r/>
            <w:r>
              <w:rPr>
                <w:rFonts w:ascii="Arial" w:hAnsi="Arial" w:eastAsia="Arial"/>
                <w:b/>
                <w:sz w:val="14"/>
              </w:rPr>
              <w:t>L</w:t>
            </w:r>
          </w:p>
        </w:tc>
      </w:tr>
    </w:tbl>
    <w:p>
      <w:r>
        <w:br w:type="page"/>
      </w:r>
    </w:p>
    <w:tbl>
      <w:tblPr>
        <w:tblStyle w:val="TableGrid"/>
        <w:tblW w:type="dxa" w:w="10224"/>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44"/>
        <w:gridCol w:w="3312"/>
        <w:gridCol w:w="4104"/>
        <w:gridCol w:w="864"/>
      </w:tblGrid>
      <w:tr>
        <w:trPr>
          <w:tblHeader w:val="true"/>
        </w:trPr>
        <w:tc>
          <w:tcPr>
            <w:tcW w:type="dxa" w:w="1944"/>
            <w:shd w:fill="252B36"/>
            <w:vAlign w:val="center"/>
          </w:tcPr>
          <w:p>
            <w:pPr>
              <w:spacing w:after="0" w:before="0" w:line="240" w:lineRule="auto"/>
            </w:pPr>
            <w:r/>
            <w:r>
              <w:rPr>
                <w:rFonts w:ascii="Arial" w:hAnsi="Arial" w:eastAsia="Arial"/>
                <w:b/>
                <w:color w:val="FFFFFF"/>
                <w:sz w:val="14"/>
              </w:rPr>
              <w:t>Feature</w:t>
            </w:r>
          </w:p>
        </w:tc>
        <w:tc>
          <w:tcPr>
            <w:tcW w:type="dxa" w:w="3311"/>
            <w:shd w:fill="252B36"/>
            <w:vAlign w:val="center"/>
          </w:tcPr>
          <w:p>
            <w:pPr>
              <w:spacing w:after="0" w:before="0" w:line="240" w:lineRule="auto"/>
            </w:pPr>
            <w:r/>
            <w:r>
              <w:rPr>
                <w:rFonts w:ascii="Arial" w:hAnsi="Arial" w:eastAsia="Arial"/>
                <w:b/>
                <w:color w:val="FFFFFF"/>
                <w:sz w:val="14"/>
              </w:rPr>
              <w:t>What “done” means</w:t>
            </w:r>
          </w:p>
        </w:tc>
        <w:tc>
          <w:tcPr>
            <w:tcW w:type="dxa" w:w="4104"/>
            <w:shd w:fill="252B36"/>
            <w:vAlign w:val="center"/>
          </w:tcPr>
          <w:p>
            <w:pPr>
              <w:spacing w:after="0" w:before="0" w:line="240" w:lineRule="auto"/>
            </w:pPr>
            <w:r/>
            <w:r>
              <w:rPr>
                <w:rFonts w:ascii="Arial" w:hAnsi="Arial" w:eastAsia="Arial"/>
                <w:b/>
                <w:color w:val="FFFFFF"/>
                <w:sz w:val="14"/>
              </w:rPr>
              <w:t>Rationale</w:t>
            </w:r>
          </w:p>
        </w:tc>
        <w:tc>
          <w:tcPr>
            <w:tcW w:type="dxa" w:w="864"/>
            <w:shd w:fill="252B36"/>
            <w:vAlign w:val="center"/>
          </w:tcPr>
          <w:p>
            <w:pPr>
              <w:spacing w:after="0" w:before="0" w:line="240" w:lineRule="auto"/>
            </w:pPr>
            <w:r/>
            <w:r>
              <w:rPr>
                <w:rFonts w:ascii="Arial" w:hAnsi="Arial" w:eastAsia="Arial"/>
                <w:b/>
                <w:color w:val="FFFFFF"/>
                <w:sz w:val="14"/>
              </w:rPr>
              <w:t>Size</w:t>
            </w:r>
          </w:p>
        </w:tc>
      </w:tr>
      <w:tr>
        <w:tc>
          <w:tcPr>
            <w:tcW w:type="dxa" w:w="1944"/>
            <w:vAlign w:val="center"/>
          </w:tcPr>
          <w:p>
            <w:pPr>
              <w:spacing w:after="0" w:before="0" w:line="240" w:lineRule="auto"/>
            </w:pPr>
            <w:r/>
            <w:r>
              <w:rPr>
                <w:rFonts w:ascii="Arial" w:hAnsi="Arial" w:eastAsia="Arial"/>
                <w:b/>
                <w:sz w:val="14"/>
              </w:rPr>
              <w:t>Emails (Evgenii +Vishal)</w:t>
            </w:r>
          </w:p>
        </w:tc>
        <w:tc>
          <w:tcPr>
            <w:tcW w:type="dxa" w:w="3311"/>
            <w:vAlign w:val="center"/>
          </w:tcPr>
          <w:p>
            <w:pPr>
              <w:spacing w:after="0" w:before="0" w:line="240" w:lineRule="auto"/>
            </w:pPr>
            <w:r/>
            <w:r>
              <w:rPr>
                <w:rFonts w:ascii="Arial" w:hAnsi="Arial" w:eastAsia="Arial"/>
                <w:b w:val="0"/>
                <w:sz w:val="14"/>
              </w:rPr>
              <w:t>AI-generated, brand-aware email creation. Template library. Inline edit. Test send. Production send through Mailgun with full deliverability setup. UTM tagging. Compliance footer.</w:t>
            </w:r>
          </w:p>
        </w:tc>
        <w:tc>
          <w:tcPr>
            <w:tcW w:type="dxa" w:w="4104"/>
            <w:vAlign w:val="center"/>
          </w:tcPr>
          <w:p>
            <w:pPr>
              <w:spacing w:after="0" w:before="0" w:line="240" w:lineRule="auto"/>
            </w:pPr>
            <w:r/>
            <w:r>
              <w:rPr>
                <w:rFonts w:ascii="Arial" w:hAnsi="Arial" w:eastAsia="Arial"/>
                <w:b w:val="0"/>
                <w:sz w:val="14"/>
              </w:rPr>
              <w:t>The headline product. The strongest, most differentiated capability we ship.</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1944"/>
            <w:vAlign w:val="center"/>
          </w:tcPr>
          <w:p>
            <w:pPr>
              <w:spacing w:after="0" w:before="0" w:line="240" w:lineRule="auto"/>
            </w:pPr>
            <w:r/>
            <w:r>
              <w:rPr>
                <w:rFonts w:ascii="Arial" w:hAnsi="Arial" w:eastAsia="Arial"/>
                <w:b/>
                <w:sz w:val="14"/>
              </w:rPr>
              <w:t>Brand settings (Vishal)</w:t>
            </w:r>
          </w:p>
        </w:tc>
        <w:tc>
          <w:tcPr>
            <w:tcW w:type="dxa" w:w="3311"/>
            <w:vAlign w:val="center"/>
          </w:tcPr>
          <w:p>
            <w:pPr>
              <w:spacing w:after="0" w:before="0" w:line="240" w:lineRule="auto"/>
            </w:pPr>
            <w:r/>
            <w:r>
              <w:rPr>
                <w:rFonts w:ascii="Arial" w:hAnsi="Arial" w:eastAsia="Arial"/>
                <w:b w:val="0"/>
                <w:sz w:val="14"/>
              </w:rPr>
              <w:t>Colours, fonts, logo, voice configuration, role assignment for emails (heading colour, CTA colour, etc). Drives AI email generation.</w:t>
            </w:r>
          </w:p>
        </w:tc>
        <w:tc>
          <w:tcPr>
            <w:tcW w:type="dxa" w:w="4104"/>
            <w:vAlign w:val="center"/>
          </w:tcPr>
          <w:p>
            <w:pPr>
              <w:spacing w:after="0" w:before="0" w:line="240" w:lineRule="auto"/>
            </w:pPr>
            <w:r/>
            <w:r>
              <w:rPr>
                <w:rFonts w:ascii="Arial" w:hAnsi="Arial" w:eastAsia="Arial"/>
                <w:b w:val="0"/>
                <w:sz w:val="14"/>
              </w:rPr>
              <w:t>AI email generation depends on brand context. Without this, emails look generic.</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1944"/>
            <w:vAlign w:val="center"/>
          </w:tcPr>
          <w:p>
            <w:pPr>
              <w:spacing w:after="0" w:before="0" w:line="240" w:lineRule="auto"/>
            </w:pPr>
            <w:r/>
            <w:r>
              <w:rPr>
                <w:rFonts w:ascii="Arial" w:hAnsi="Arial" w:eastAsia="Arial"/>
                <w:b/>
                <w:sz w:val="14"/>
              </w:rPr>
              <w:t>Org settings (general) (Nick S)</w:t>
            </w:r>
          </w:p>
        </w:tc>
        <w:tc>
          <w:tcPr>
            <w:tcW w:type="dxa" w:w="3311"/>
            <w:vAlign w:val="center"/>
          </w:tcPr>
          <w:p>
            <w:pPr>
              <w:spacing w:after="0" w:before="0" w:line="240" w:lineRule="auto"/>
            </w:pPr>
            <w:r/>
            <w:r>
              <w:rPr>
                <w:rFonts w:ascii="Arial" w:hAnsi="Arial" w:eastAsia="Arial"/>
                <w:b w:val="0"/>
                <w:sz w:val="14"/>
              </w:rPr>
              <w:t>Org name, address, domain, sending identity, time zone, defaults.</w:t>
            </w:r>
          </w:p>
        </w:tc>
        <w:tc>
          <w:tcPr>
            <w:tcW w:type="dxa" w:w="4104"/>
            <w:vAlign w:val="center"/>
          </w:tcPr>
          <w:p>
            <w:pPr>
              <w:spacing w:after="0" w:before="0" w:line="240" w:lineRule="auto"/>
            </w:pPr>
            <w:r/>
            <w:r>
              <w:rPr>
                <w:rFonts w:ascii="Arial" w:hAnsi="Arial" w:eastAsia="Arial"/>
                <w:b w:val="0"/>
                <w:sz w:val="14"/>
              </w:rPr>
              <w:t>Required for compliance footers, send identity, and basic org configuration.</w:t>
            </w:r>
          </w:p>
        </w:tc>
        <w:tc>
          <w:tcPr>
            <w:tcW w:type="dxa" w:w="864"/>
            <w:vAlign w:val="center"/>
            <w:shd w:fill="D9EFD6"/>
          </w:tcPr>
          <w:p>
            <w:pPr>
              <w:spacing w:after="0" w:before="0" w:line="240" w:lineRule="auto"/>
              <w:jc w:val="center"/>
            </w:pPr>
            <w:r/>
            <w:r>
              <w:rPr>
                <w:rFonts w:ascii="Arial" w:hAnsi="Arial" w:eastAsia="Arial"/>
                <w:b/>
                <w:sz w:val="14"/>
              </w:rPr>
              <w:t>S</w:t>
            </w:r>
          </w:p>
        </w:tc>
      </w:tr>
      <w:tr>
        <w:tc>
          <w:tcPr>
            <w:tcW w:type="dxa" w:w="1944"/>
            <w:vAlign w:val="center"/>
          </w:tcPr>
          <w:p>
            <w:pPr>
              <w:spacing w:after="0" w:before="0" w:line="240" w:lineRule="auto"/>
            </w:pPr>
            <w:r/>
            <w:r>
              <w:rPr>
                <w:rFonts w:ascii="Arial" w:hAnsi="Arial" w:eastAsia="Arial"/>
                <w:b/>
                <w:sz w:val="14"/>
              </w:rPr>
              <w:t>Communication preferences (Nick S)</w:t>
            </w:r>
          </w:p>
        </w:tc>
        <w:tc>
          <w:tcPr>
            <w:tcW w:type="dxa" w:w="3311"/>
            <w:vAlign w:val="center"/>
          </w:tcPr>
          <w:p>
            <w:pPr>
              <w:spacing w:after="0" w:before="0" w:line="240" w:lineRule="auto"/>
            </w:pPr>
            <w:r/>
            <w:r>
              <w:rPr>
                <w:rFonts w:ascii="Arial" w:hAnsi="Arial" w:eastAsia="Arial"/>
                <w:b w:val="0"/>
                <w:sz w:val="14"/>
              </w:rPr>
              <w:t>Per-contact preference management. Opt-out flow. Unsubscribe handling. List-Unsubscribe header. Suppression list management.</w:t>
            </w:r>
          </w:p>
        </w:tc>
        <w:tc>
          <w:tcPr>
            <w:tcW w:type="dxa" w:w="4104"/>
            <w:vAlign w:val="center"/>
          </w:tcPr>
          <w:p>
            <w:pPr>
              <w:spacing w:after="0" w:before="0" w:line="240" w:lineRule="auto"/>
            </w:pPr>
            <w:r/>
            <w:r>
              <w:rPr>
                <w:rFonts w:ascii="Arial" w:hAnsi="Arial" w:eastAsia="Arial"/>
                <w:b w:val="0"/>
                <w:sz w:val="14"/>
              </w:rPr>
              <w:t>CAN-SPAM, GDPR, Gmail/Yahoo bulk sender requirements. Non-negotiable for production sending.</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1944"/>
            <w:vAlign w:val="center"/>
          </w:tcPr>
          <w:p>
            <w:pPr>
              <w:spacing w:after="0" w:before="0" w:line="240" w:lineRule="auto"/>
            </w:pPr>
            <w:r/>
            <w:r>
              <w:rPr>
                <w:rFonts w:ascii="Arial" w:hAnsi="Arial" w:eastAsia="Arial"/>
                <w:b/>
                <w:sz w:val="14"/>
              </w:rPr>
              <w:t>Salesforce integration (Deop)</w:t>
            </w:r>
          </w:p>
        </w:tc>
        <w:tc>
          <w:tcPr>
            <w:tcW w:type="dxa" w:w="3311"/>
            <w:vAlign w:val="center"/>
          </w:tcPr>
          <w:p>
            <w:pPr>
              <w:spacing w:after="0" w:before="0" w:line="240" w:lineRule="auto"/>
            </w:pPr>
            <w:r/>
            <w:r>
              <w:rPr>
                <w:rFonts w:ascii="Arial" w:hAnsi="Arial" w:eastAsia="Arial"/>
                <w:b w:val="0"/>
                <w:sz w:val="14"/>
              </w:rPr>
              <w:t>Bidirectional contact and lead sync. Field mapping UI. Error handling, retry, status visibility. CRMAdapter interface formalised.</w:t>
            </w:r>
          </w:p>
        </w:tc>
        <w:tc>
          <w:tcPr>
            <w:tcW w:type="dxa" w:w="4104"/>
            <w:vAlign w:val="center"/>
          </w:tcPr>
          <w:p>
            <w:pPr>
              <w:spacing w:after="0" w:before="0" w:line="240" w:lineRule="auto"/>
            </w:pPr>
            <w:r/>
            <w:r>
              <w:rPr>
                <w:rFonts w:ascii="Arial" w:hAnsi="Arial" w:eastAsia="Arial"/>
                <w:b w:val="0"/>
                <w:sz w:val="14"/>
              </w:rPr>
              <w:t>First CRM proves the CRM-agnostic story. Most launch customers run Salesforce.</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1944"/>
            <w:vAlign w:val="center"/>
          </w:tcPr>
          <w:p>
            <w:pPr>
              <w:spacing w:after="0" w:before="0" w:line="240" w:lineRule="auto"/>
            </w:pPr>
            <w:r/>
            <w:r>
              <w:rPr>
                <w:rFonts w:ascii="Arial" w:hAnsi="Arial" w:eastAsia="Arial"/>
                <w:b/>
                <w:sz w:val="14"/>
              </w:rPr>
              <w:t>Stripe + packaging (open)</w:t>
            </w:r>
          </w:p>
        </w:tc>
        <w:tc>
          <w:tcPr>
            <w:tcW w:type="dxa" w:w="3311"/>
            <w:vAlign w:val="center"/>
          </w:tcPr>
          <w:p>
            <w:pPr>
              <w:spacing w:after="0" w:before="0" w:line="240" w:lineRule="auto"/>
            </w:pPr>
            <w:r/>
            <w:r>
              <w:rPr>
                <w:rFonts w:ascii="Arial" w:hAnsi="Arial" w:eastAsia="Arial"/>
                <w:b w:val="0"/>
                <w:sz w:val="14"/>
              </w:rPr>
              <w:t>Subscription billing, payment flow, plan tier enforcement, dunning emails, customer billing portal. Packaging tiers defined separately.</w:t>
            </w:r>
          </w:p>
        </w:tc>
        <w:tc>
          <w:tcPr>
            <w:tcW w:type="dxa" w:w="4104"/>
            <w:vAlign w:val="center"/>
          </w:tcPr>
          <w:p>
            <w:pPr>
              <w:spacing w:after="0" w:before="0" w:line="240" w:lineRule="auto"/>
            </w:pPr>
            <w:r/>
            <w:r>
              <w:rPr>
                <w:rFonts w:ascii="Arial" w:hAnsi="Arial" w:eastAsia="Arial"/>
                <w:b w:val="0"/>
                <w:sz w:val="14"/>
              </w:rPr>
              <w:t>Without billing, we can't charge customers. Real GA requires real commerce.</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1944"/>
            <w:vAlign w:val="center"/>
          </w:tcPr>
          <w:p>
            <w:pPr>
              <w:spacing w:after="0" w:before="0" w:line="240" w:lineRule="auto"/>
            </w:pPr>
            <w:r/>
            <w:r>
              <w:rPr>
                <w:rFonts w:ascii="Arial" w:hAnsi="Arial" w:eastAsia="Arial"/>
                <w:b/>
                <w:sz w:val="14"/>
              </w:rPr>
              <w:t>AI core (minimum/Deop)</w:t>
            </w:r>
          </w:p>
        </w:tc>
        <w:tc>
          <w:tcPr>
            <w:tcW w:type="dxa" w:w="3311"/>
            <w:vAlign w:val="center"/>
          </w:tcPr>
          <w:p>
            <w:pPr>
              <w:spacing w:after="0" w:before="0" w:line="240" w:lineRule="auto"/>
            </w:pPr>
            <w:r/>
            <w:r>
              <w:rPr>
                <w:rFonts w:ascii="Arial" w:hAnsi="Arial" w:eastAsia="Arial"/>
                <w:b w:val="0"/>
                <w:sz w:val="14"/>
              </w:rPr>
              <w:t>AI client wrapper with logging, cost tracking, retry. Five context blocks: client + brand + org + industry + email-generate. Per-org daily spend cap.</w:t>
            </w:r>
          </w:p>
        </w:tc>
        <w:tc>
          <w:tcPr>
            <w:tcW w:type="dxa" w:w="4104"/>
            <w:vAlign w:val="center"/>
          </w:tcPr>
          <w:p>
            <w:pPr>
              <w:spacing w:after="0" w:before="0" w:line="240" w:lineRule="auto"/>
            </w:pPr>
            <w:r/>
            <w:r>
              <w:rPr>
                <w:rFonts w:ascii="Arial" w:hAnsi="Arial" w:eastAsia="Arial"/>
                <w:b w:val="0"/>
                <w:sz w:val="14"/>
              </w:rPr>
              <w:t>The substrate every AI-driven feature depends on. Five blocks is the minimum to deliver brand-aware, industry-aware email generation.</w:t>
            </w:r>
          </w:p>
        </w:tc>
        <w:tc>
          <w:tcPr>
            <w:tcW w:type="dxa" w:w="864"/>
            <w:vAlign w:val="center"/>
            <w:shd w:fill="FFE8B3"/>
          </w:tcPr>
          <w:p>
            <w:pPr>
              <w:spacing w:after="0" w:before="0" w:line="240" w:lineRule="auto"/>
              <w:jc w:val="center"/>
            </w:pPr>
            <w:r/>
            <w:r>
              <w:rPr>
                <w:rFonts w:ascii="Arial" w:hAnsi="Arial" w:eastAsia="Arial"/>
                <w:b/>
                <w:sz w:val="14"/>
              </w:rPr>
              <w:t>M</w:t>
            </w:r>
          </w:p>
        </w:tc>
      </w:tr>
    </w:tbl>
    <w:p>
      <w:pPr>
        <w:spacing w:after="40" w:before="0" w:line="252" w:lineRule="auto"/>
      </w:pPr>
      <w:r>
        <w:rPr>
          <w:rFonts w:ascii="Arial" w:hAnsi="Arial" w:eastAsia="Arial"/>
          <w:b/>
          <w:i w:val="0"/>
          <w:sz w:val="17"/>
        </w:rPr>
        <w:t>Prioritised backlog</w:t>
      </w:r>
    </w:p>
    <w:p>
      <w:pPr>
        <w:spacing w:after="60" w:before="0" w:line="252" w:lineRule="auto"/>
      </w:pPr>
      <w:r>
        <w:rPr>
          <w:rFonts w:ascii="Arial" w:hAnsi="Arial" w:eastAsia="Arial"/>
          <w:b w:val="0"/>
          <w:i w:val="0"/>
          <w:sz w:val="16"/>
        </w:rPr>
        <w:t>What we work on if engineers finish MVP work early, and what we pick up immediately post-August 15. Ordered. The order reflects customer pull, strategic value, and dependency on launch learnings. Tier 1 is what we'd start the next day. Tier 3 is strategic but further out.</w:t>
      </w:r>
    </w:p>
    <w:tbl>
      <w:tblPr>
        <w:tblStyle w:val="TableGrid"/>
        <w:tblW w:type="dxa" w:w="10296"/>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92"/>
        <w:gridCol w:w="2520"/>
        <w:gridCol w:w="6120"/>
        <w:gridCol w:w="864"/>
      </w:tblGrid>
      <w:tr>
        <w:trPr>
          <w:tblHeader w:val="true"/>
        </w:trPr>
        <w:tc>
          <w:tcPr>
            <w:tcW w:type="dxa" w:w="792"/>
            <w:shd w:fill="252B36"/>
            <w:vAlign w:val="center"/>
          </w:tcPr>
          <w:p>
            <w:pPr>
              <w:spacing w:after="0" w:before="0" w:line="240" w:lineRule="auto"/>
            </w:pPr>
            <w:r/>
            <w:r>
              <w:rPr>
                <w:rFonts w:ascii="Arial" w:hAnsi="Arial" w:eastAsia="Arial"/>
                <w:b/>
                <w:color w:val="FFFFFF"/>
                <w:sz w:val="14"/>
              </w:rPr>
              <w:t>#</w:t>
            </w:r>
          </w:p>
        </w:tc>
        <w:tc>
          <w:tcPr>
            <w:tcW w:type="dxa" w:w="2520"/>
            <w:shd w:fill="252B36"/>
            <w:vAlign w:val="center"/>
          </w:tcPr>
          <w:p>
            <w:pPr>
              <w:spacing w:after="0" w:before="0" w:line="240" w:lineRule="auto"/>
            </w:pPr>
            <w:r/>
            <w:r>
              <w:rPr>
                <w:rFonts w:ascii="Arial" w:hAnsi="Arial" w:eastAsia="Arial"/>
                <w:b/>
                <w:color w:val="FFFFFF"/>
                <w:sz w:val="14"/>
              </w:rPr>
              <w:t>Feature</w:t>
            </w:r>
          </w:p>
        </w:tc>
        <w:tc>
          <w:tcPr>
            <w:tcW w:type="dxa" w:w="6120"/>
            <w:shd w:fill="252B36"/>
            <w:vAlign w:val="center"/>
          </w:tcPr>
          <w:p>
            <w:pPr>
              <w:spacing w:after="0" w:before="0" w:line="240" w:lineRule="auto"/>
            </w:pPr>
            <w:r/>
            <w:r>
              <w:rPr>
                <w:rFonts w:ascii="Arial" w:hAnsi="Arial" w:eastAsia="Arial"/>
                <w:b/>
                <w:color w:val="FFFFFF"/>
                <w:sz w:val="14"/>
              </w:rPr>
              <w:t>Why it matters</w:t>
            </w:r>
          </w:p>
        </w:tc>
        <w:tc>
          <w:tcPr>
            <w:tcW w:type="dxa" w:w="864"/>
            <w:shd w:fill="252B36"/>
            <w:vAlign w:val="center"/>
          </w:tcPr>
          <w:p>
            <w:pPr>
              <w:spacing w:after="0" w:before="0" w:line="240" w:lineRule="auto"/>
            </w:pPr>
            <w:r/>
            <w:r>
              <w:rPr>
                <w:rFonts w:ascii="Arial" w:hAnsi="Arial" w:eastAsia="Arial"/>
                <w:b/>
                <w:color w:val="FFFFFF"/>
                <w:sz w:val="14"/>
              </w:rPr>
              <w:t>Size</w:t>
            </w:r>
          </w:p>
        </w:tc>
      </w:tr>
      <w:tr>
        <w:tc>
          <w:tcPr>
            <w:tcW w:type="dxa" w:w="792"/>
            <w:vAlign w:val="center"/>
          </w:tcPr>
          <w:p>
            <w:pPr>
              <w:spacing w:after="0" w:before="0" w:line="240" w:lineRule="auto"/>
            </w:pPr>
            <w:r/>
            <w:r>
              <w:rPr>
                <w:rFonts w:ascii="Arial" w:hAnsi="Arial" w:eastAsia="Arial"/>
                <w:b/>
                <w:sz w:val="14"/>
              </w:rPr>
              <w:t>1</w:t>
            </w:r>
          </w:p>
        </w:tc>
        <w:tc>
          <w:tcPr>
            <w:tcW w:type="dxa" w:w="2520"/>
            <w:vAlign w:val="center"/>
          </w:tcPr>
          <w:p>
            <w:pPr>
              <w:spacing w:after="0" w:before="0" w:line="240" w:lineRule="auto"/>
            </w:pPr>
            <w:r/>
            <w:r>
              <w:rPr>
                <w:rFonts w:ascii="Arial" w:hAnsi="Arial" w:eastAsia="Arial"/>
                <w:b/>
                <w:sz w:val="14"/>
              </w:rPr>
              <w:t>Website tracking (includes Insights phase 1)</w:t>
            </w:r>
          </w:p>
        </w:tc>
        <w:tc>
          <w:tcPr>
            <w:tcW w:type="dxa" w:w="6120"/>
            <w:vAlign w:val="center"/>
          </w:tcPr>
          <w:p>
            <w:pPr>
              <w:spacing w:after="0" w:before="0" w:line="240" w:lineRule="auto"/>
            </w:pPr>
            <w:r/>
            <w:r>
              <w:rPr>
                <w:rFonts w:ascii="Arial" w:hAnsi="Arial" w:eastAsia="Arial"/>
                <w:b w:val="0"/>
                <w:sz w:val="14"/>
              </w:rPr>
              <w:t>Visitor capture, session tracking, opt-out URL. PRD already written. Every sales conversation asks “do you track website behaviour?” High customer pull.</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792"/>
            <w:vAlign w:val="center"/>
          </w:tcPr>
          <w:p>
            <w:pPr>
              <w:spacing w:after="0" w:before="0" w:line="240" w:lineRule="auto"/>
            </w:pPr>
            <w:r/>
            <w:r>
              <w:rPr>
                <w:rFonts w:ascii="Arial" w:hAnsi="Arial" w:eastAsia="Arial"/>
                <w:b/>
                <w:sz w:val="14"/>
              </w:rPr>
              <w:t>2</w:t>
            </w:r>
          </w:p>
        </w:tc>
        <w:tc>
          <w:tcPr>
            <w:tcW w:type="dxa" w:w="2520"/>
            <w:vAlign w:val="center"/>
          </w:tcPr>
          <w:p>
            <w:pPr>
              <w:spacing w:after="0" w:before="0" w:line="240" w:lineRule="auto"/>
            </w:pPr>
            <w:r/>
            <w:r>
              <w:rPr>
                <w:rFonts w:ascii="Arial" w:hAnsi="Arial" w:eastAsia="Arial"/>
                <w:b/>
                <w:sz w:val="14"/>
              </w:rPr>
              <w:t>Journeys</w:t>
            </w:r>
          </w:p>
        </w:tc>
        <w:tc>
          <w:tcPr>
            <w:tcW w:type="dxa" w:w="6120"/>
            <w:vAlign w:val="center"/>
          </w:tcPr>
          <w:p>
            <w:pPr>
              <w:spacing w:after="0" w:before="0" w:line="240" w:lineRule="auto"/>
            </w:pPr>
            <w:r/>
            <w:r>
              <w:rPr>
                <w:rFonts w:ascii="Arial" w:hAnsi="Arial" w:eastAsia="Arial"/>
                <w:b w:val="0"/>
                <w:sz w:val="14"/>
              </w:rPr>
              <w:t>Multi-step automated email sequences (welcome, renewal nurture, lapsed reactivation). Turns sweetspot from “email tool” into “marketing automation platform.” The single biggest feature on the backlog.</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792"/>
            <w:vAlign w:val="center"/>
          </w:tcPr>
          <w:p>
            <w:pPr>
              <w:spacing w:after="0" w:before="0" w:line="240" w:lineRule="auto"/>
            </w:pPr>
            <w:r/>
            <w:r>
              <w:rPr>
                <w:rFonts w:ascii="Arial" w:hAnsi="Arial" w:eastAsia="Arial"/>
                <w:b/>
                <w:sz w:val="14"/>
              </w:rPr>
              <w:t>3</w:t>
            </w:r>
          </w:p>
        </w:tc>
        <w:tc>
          <w:tcPr>
            <w:tcW w:type="dxa" w:w="2520"/>
            <w:vAlign w:val="center"/>
          </w:tcPr>
          <w:p>
            <w:pPr>
              <w:spacing w:after="0" w:before="0" w:line="240" w:lineRule="auto"/>
            </w:pPr>
            <w:r/>
            <w:r>
              <w:rPr>
                <w:rFonts w:ascii="Arial" w:hAnsi="Arial" w:eastAsia="Arial"/>
                <w:b/>
                <w:sz w:val="14"/>
              </w:rPr>
              <w:t>Teams (multi-user)</w:t>
            </w:r>
          </w:p>
        </w:tc>
        <w:tc>
          <w:tcPr>
            <w:tcW w:type="dxa" w:w="6120"/>
            <w:vAlign w:val="center"/>
          </w:tcPr>
          <w:p>
            <w:pPr>
              <w:spacing w:after="0" w:before="0" w:line="240" w:lineRule="auto"/>
            </w:pPr>
            <w:r/>
            <w:r>
              <w:rPr>
                <w:rFonts w:ascii="Arial" w:hAnsi="Arial" w:eastAsia="Arial"/>
                <w:b w:val="0"/>
                <w:sz w:val="14"/>
              </w:rPr>
              <w:t>Invite, role assignment, permissions matrix. Customers will request this within weeks of launch as marketing leads add team members and agencies.</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792"/>
            <w:vAlign w:val="center"/>
          </w:tcPr>
          <w:p>
            <w:pPr>
              <w:spacing w:after="0" w:before="0" w:line="240" w:lineRule="auto"/>
            </w:pPr>
            <w:r/>
            <w:r>
              <w:rPr>
                <w:rFonts w:ascii="Arial" w:hAnsi="Arial" w:eastAsia="Arial"/>
                <w:b/>
                <w:sz w:val="14"/>
              </w:rPr>
              <w:t>4</w:t>
            </w:r>
          </w:p>
        </w:tc>
        <w:tc>
          <w:tcPr>
            <w:tcW w:type="dxa" w:w="2520"/>
            <w:vAlign w:val="center"/>
          </w:tcPr>
          <w:p>
            <w:pPr>
              <w:spacing w:after="0" w:before="0" w:line="240" w:lineRule="auto"/>
            </w:pPr>
            <w:r/>
            <w:r>
              <w:rPr>
                <w:rFonts w:ascii="Arial" w:hAnsi="Arial" w:eastAsia="Arial"/>
                <w:b/>
                <w:sz w:val="14"/>
              </w:rPr>
              <w:t>Campaigns entity</w:t>
            </w:r>
          </w:p>
        </w:tc>
        <w:tc>
          <w:tcPr>
            <w:tcW w:type="dxa" w:w="6120"/>
            <w:vAlign w:val="center"/>
          </w:tcPr>
          <w:p>
            <w:pPr>
              <w:spacing w:after="0" w:before="0" w:line="240" w:lineRule="auto"/>
            </w:pPr>
            <w:r/>
            <w:r>
              <w:rPr>
                <w:rFonts w:ascii="Arial" w:hAnsi="Arial" w:eastAsia="Arial"/>
                <w:b w:val="0"/>
                <w:sz w:val="14"/>
              </w:rPr>
              <w:t>First-class object grouping emails, journeys, audiences, attribution. Organisational scaffolding that becomes valuable as customers run multiple programmes.</w:t>
            </w:r>
          </w:p>
        </w:tc>
        <w:tc>
          <w:tcPr>
            <w:tcW w:type="dxa" w:w="864"/>
            <w:vAlign w:val="center"/>
            <w:shd w:fill="FFE8B3"/>
          </w:tcPr>
          <w:p>
            <w:pPr>
              <w:spacing w:after="0" w:before="0" w:line="240" w:lineRule="auto"/>
              <w:jc w:val="center"/>
            </w:pPr>
            <w:r/>
            <w:r>
              <w:rPr>
                <w:rFonts w:ascii="Arial" w:hAnsi="Arial" w:eastAsia="Arial"/>
                <w:b/>
                <w:sz w:val="14"/>
              </w:rPr>
              <w:t>M</w:t>
            </w:r>
          </w:p>
        </w:tc>
      </w:tr>
    </w:tbl>
    <w:p>
      <w:r>
        <w:br w:type="page"/>
      </w:r>
    </w:p>
    <w:tbl>
      <w:tblPr>
        <w:tblStyle w:val="TableGrid"/>
        <w:tblW w:type="dxa" w:w="10296"/>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92"/>
        <w:gridCol w:w="2520"/>
        <w:gridCol w:w="6120"/>
        <w:gridCol w:w="864"/>
      </w:tblGrid>
      <w:tr>
        <w:trPr>
          <w:tblHeader w:val="true"/>
        </w:trPr>
        <w:tc>
          <w:tcPr>
            <w:tcW w:type="dxa" w:w="792"/>
            <w:shd w:fill="252B36"/>
            <w:vAlign w:val="center"/>
          </w:tcPr>
          <w:p>
            <w:pPr>
              <w:spacing w:after="0" w:before="0" w:line="240" w:lineRule="auto"/>
            </w:pPr>
            <w:r/>
            <w:r>
              <w:rPr>
                <w:rFonts w:ascii="Arial" w:hAnsi="Arial" w:eastAsia="Arial"/>
                <w:b/>
                <w:color w:val="FFFFFF"/>
                <w:sz w:val="14"/>
              </w:rPr>
              <w:t>#</w:t>
            </w:r>
          </w:p>
        </w:tc>
        <w:tc>
          <w:tcPr>
            <w:tcW w:type="dxa" w:w="2520"/>
            <w:shd w:fill="252B36"/>
            <w:vAlign w:val="center"/>
          </w:tcPr>
          <w:p>
            <w:pPr>
              <w:spacing w:after="0" w:before="0" w:line="240" w:lineRule="auto"/>
            </w:pPr>
            <w:r/>
            <w:r>
              <w:rPr>
                <w:rFonts w:ascii="Arial" w:hAnsi="Arial" w:eastAsia="Arial"/>
                <w:b/>
                <w:color w:val="FFFFFF"/>
                <w:sz w:val="14"/>
              </w:rPr>
              <w:t>Feature</w:t>
            </w:r>
          </w:p>
        </w:tc>
        <w:tc>
          <w:tcPr>
            <w:tcW w:type="dxa" w:w="6120"/>
            <w:shd w:fill="252B36"/>
            <w:vAlign w:val="center"/>
          </w:tcPr>
          <w:p>
            <w:pPr>
              <w:spacing w:after="0" w:before="0" w:line="240" w:lineRule="auto"/>
            </w:pPr>
            <w:r/>
            <w:r>
              <w:rPr>
                <w:rFonts w:ascii="Arial" w:hAnsi="Arial" w:eastAsia="Arial"/>
                <w:b/>
                <w:color w:val="FFFFFF"/>
                <w:sz w:val="14"/>
              </w:rPr>
              <w:t>Why it matters</w:t>
            </w:r>
          </w:p>
        </w:tc>
        <w:tc>
          <w:tcPr>
            <w:tcW w:type="dxa" w:w="864"/>
            <w:shd w:fill="252B36"/>
            <w:vAlign w:val="center"/>
          </w:tcPr>
          <w:p>
            <w:pPr>
              <w:spacing w:after="0" w:before="0" w:line="240" w:lineRule="auto"/>
            </w:pPr>
            <w:r/>
            <w:r>
              <w:rPr>
                <w:rFonts w:ascii="Arial" w:hAnsi="Arial" w:eastAsia="Arial"/>
                <w:b/>
                <w:color w:val="FFFFFF"/>
                <w:sz w:val="14"/>
              </w:rPr>
              <w:t>Size</w:t>
            </w:r>
          </w:p>
        </w:tc>
      </w:tr>
      <w:tr>
        <w:tc>
          <w:tcPr>
            <w:tcW w:type="dxa" w:w="792"/>
            <w:vAlign w:val="center"/>
          </w:tcPr>
          <w:p>
            <w:pPr>
              <w:spacing w:after="0" w:before="0" w:line="240" w:lineRule="auto"/>
            </w:pPr>
            <w:r/>
            <w:r>
              <w:rPr>
                <w:rFonts w:ascii="Arial" w:hAnsi="Arial" w:eastAsia="Arial"/>
                <w:b/>
                <w:sz w:val="14"/>
              </w:rPr>
              <w:t>5</w:t>
            </w:r>
          </w:p>
        </w:tc>
        <w:tc>
          <w:tcPr>
            <w:tcW w:type="dxa" w:w="2520"/>
            <w:vAlign w:val="center"/>
          </w:tcPr>
          <w:p>
            <w:pPr>
              <w:spacing w:after="0" w:before="0" w:line="240" w:lineRule="auto"/>
            </w:pPr>
            <w:r/>
            <w:r>
              <w:rPr>
                <w:rFonts w:ascii="Arial" w:hAnsi="Arial" w:eastAsia="Arial"/>
                <w:b/>
                <w:sz w:val="14"/>
              </w:rPr>
              <w:t>AI awareness tab</w:t>
            </w:r>
          </w:p>
        </w:tc>
        <w:tc>
          <w:tcPr>
            <w:tcW w:type="dxa" w:w="6120"/>
            <w:vAlign w:val="center"/>
          </w:tcPr>
          <w:p>
            <w:pPr>
              <w:spacing w:after="0" w:before="0" w:line="240" w:lineRule="auto"/>
            </w:pPr>
            <w:r/>
            <w:r>
              <w:rPr>
                <w:rFonts w:ascii="Arial" w:hAnsi="Arial" w:eastAsia="Arial"/>
                <w:b w:val="0"/>
                <w:sz w:val="14"/>
              </w:rPr>
              <w:t>Custom field semantic tagging UI. Foundation for richer AI behaviour (audience_intent, engagement_signal, etc). Has infrastructure already mapped in the prototype.</w:t>
            </w:r>
          </w:p>
        </w:tc>
        <w:tc>
          <w:tcPr>
            <w:tcW w:type="dxa" w:w="864"/>
            <w:vAlign w:val="center"/>
            <w:shd w:fill="D9EFD6"/>
          </w:tcPr>
          <w:p>
            <w:pPr>
              <w:spacing w:after="0" w:before="0" w:line="240" w:lineRule="auto"/>
              <w:jc w:val="center"/>
            </w:pPr>
            <w:r/>
            <w:r>
              <w:rPr>
                <w:rFonts w:ascii="Arial" w:hAnsi="Arial" w:eastAsia="Arial"/>
                <w:b/>
                <w:sz w:val="14"/>
              </w:rPr>
              <w:t>S</w:t>
            </w:r>
          </w:p>
        </w:tc>
      </w:tr>
      <w:tr>
        <w:tc>
          <w:tcPr>
            <w:tcW w:type="dxa" w:w="792"/>
            <w:vAlign w:val="center"/>
          </w:tcPr>
          <w:p>
            <w:pPr>
              <w:spacing w:after="0" w:before="0" w:line="240" w:lineRule="auto"/>
            </w:pPr>
            <w:r/>
            <w:r>
              <w:rPr>
                <w:rFonts w:ascii="Arial" w:hAnsi="Arial" w:eastAsia="Arial"/>
                <w:b/>
                <w:sz w:val="14"/>
              </w:rPr>
              <w:t>6</w:t>
            </w:r>
          </w:p>
        </w:tc>
        <w:tc>
          <w:tcPr>
            <w:tcW w:type="dxa" w:w="2520"/>
            <w:vAlign w:val="center"/>
          </w:tcPr>
          <w:p>
            <w:pPr>
              <w:spacing w:after="0" w:before="0" w:line="240" w:lineRule="auto"/>
            </w:pPr>
            <w:r/>
            <w:r>
              <w:rPr>
                <w:rFonts w:ascii="Arial" w:hAnsi="Arial" w:eastAsia="Arial"/>
                <w:b/>
                <w:sz w:val="14"/>
              </w:rPr>
              <w:t>Usage tracking + limits</w:t>
            </w:r>
          </w:p>
        </w:tc>
        <w:tc>
          <w:tcPr>
            <w:tcW w:type="dxa" w:w="6120"/>
            <w:vAlign w:val="center"/>
          </w:tcPr>
          <w:p>
            <w:pPr>
              <w:spacing w:after="0" w:before="0" w:line="240" w:lineRule="auto"/>
            </w:pPr>
            <w:r/>
            <w:r>
              <w:rPr>
                <w:rFonts w:ascii="Arial" w:hAnsi="Arial" w:eastAsia="Arial"/>
                <w:b w:val="0"/>
                <w:sz w:val="14"/>
              </w:rPr>
              <w:t>Per-org usage tracking, plan tier enforcement on AI calls, send volume, contact counts. Becomes urgent once plan differentiation needs to mean something.</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792"/>
            <w:vAlign w:val="center"/>
          </w:tcPr>
          <w:p>
            <w:pPr>
              <w:spacing w:after="0" w:before="0" w:line="240" w:lineRule="auto"/>
            </w:pPr>
            <w:r/>
            <w:r>
              <w:rPr>
                <w:rFonts w:ascii="Arial" w:hAnsi="Arial" w:eastAsia="Arial"/>
                <w:b/>
                <w:sz w:val="14"/>
              </w:rPr>
              <w:t>7</w:t>
            </w:r>
          </w:p>
        </w:tc>
        <w:tc>
          <w:tcPr>
            <w:tcW w:type="dxa" w:w="2520"/>
            <w:vAlign w:val="center"/>
          </w:tcPr>
          <w:p>
            <w:pPr>
              <w:spacing w:after="0" w:before="0" w:line="240" w:lineRule="auto"/>
            </w:pPr>
            <w:r/>
            <w:r>
              <w:rPr>
                <w:rFonts w:ascii="Arial" w:hAnsi="Arial" w:eastAsia="Arial"/>
                <w:b/>
                <w:sz w:val="14"/>
              </w:rPr>
              <w:t>Events</w:t>
            </w:r>
          </w:p>
        </w:tc>
        <w:tc>
          <w:tcPr>
            <w:tcW w:type="dxa" w:w="6120"/>
            <w:vAlign w:val="center"/>
          </w:tcPr>
          <w:p>
            <w:pPr>
              <w:spacing w:after="0" w:before="0" w:line="240" w:lineRule="auto"/>
            </w:pPr>
            <w:r/>
            <w:r>
              <w:rPr>
                <w:rFonts w:ascii="Arial" w:hAnsi="Arial" w:eastAsia="Arial"/>
                <w:b w:val="0"/>
                <w:sz w:val="14"/>
              </w:rPr>
              <w:t>Event as a first-class entity: dates, capacity, RSVPs, invitations, confirmations, post-event journeys, GoToWebinar integration. Conferences, webinars, and recurring event programmes are a common pattern across verticals.</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792"/>
            <w:vAlign w:val="center"/>
          </w:tcPr>
          <w:p>
            <w:pPr>
              <w:spacing w:after="0" w:before="0" w:line="240" w:lineRule="auto"/>
            </w:pPr>
            <w:r/>
            <w:r>
              <w:rPr>
                <w:rFonts w:ascii="Arial" w:hAnsi="Arial" w:eastAsia="Arial"/>
                <w:b/>
                <w:sz w:val="14"/>
              </w:rPr>
              <w:t>8</w:t>
            </w:r>
          </w:p>
        </w:tc>
        <w:tc>
          <w:tcPr>
            <w:tcW w:type="dxa" w:w="2520"/>
            <w:vAlign w:val="center"/>
          </w:tcPr>
          <w:p>
            <w:pPr>
              <w:spacing w:after="0" w:before="0" w:line="240" w:lineRule="auto"/>
            </w:pPr>
            <w:r/>
            <w:r>
              <w:rPr>
                <w:rFonts w:ascii="Arial" w:hAnsi="Arial" w:eastAsia="Arial"/>
                <w:b/>
                <w:sz w:val="14"/>
              </w:rPr>
              <w:t>Second industry framework</w:t>
            </w:r>
          </w:p>
        </w:tc>
        <w:tc>
          <w:tcPr>
            <w:tcW w:type="dxa" w:w="6120"/>
            <w:vAlign w:val="center"/>
          </w:tcPr>
          <w:p>
            <w:pPr>
              <w:spacing w:after="0" w:before="0" w:line="240" w:lineRule="auto"/>
            </w:pPr>
            <w:r/>
            <w:r>
              <w:rPr>
                <w:rFonts w:ascii="Arial" w:hAnsi="Arial" w:eastAsia="Arial"/>
                <w:b w:val="0"/>
                <w:sz w:val="14"/>
              </w:rPr>
              <w:t>Add B2B (sales-cycle lifecycle), non-profit (donor lifecycle), or wealth-management (relationship lifecycle) to the framework. Primarily product work — content, configuration, AI prompts — assuming the industry framework ships data-driven in MVP. Broadens addressable market.</w:t>
            </w:r>
          </w:p>
        </w:tc>
        <w:tc>
          <w:tcPr>
            <w:tcW w:type="dxa" w:w="864"/>
            <w:vAlign w:val="center"/>
            <w:shd w:fill="FFE8B3"/>
          </w:tcPr>
          <w:p>
            <w:pPr>
              <w:spacing w:after="0" w:before="0" w:line="240" w:lineRule="auto"/>
              <w:jc w:val="center"/>
            </w:pPr>
            <w:r/>
            <w:r>
              <w:rPr>
                <w:rFonts w:ascii="Arial" w:hAnsi="Arial" w:eastAsia="Arial"/>
                <w:b/>
                <w:sz w:val="14"/>
              </w:rPr>
              <w:t>M</w:t>
            </w:r>
          </w:p>
        </w:tc>
      </w:tr>
      <w:tr>
        <w:tc>
          <w:tcPr>
            <w:tcW w:type="dxa" w:w="792"/>
            <w:vAlign w:val="center"/>
          </w:tcPr>
          <w:p>
            <w:pPr>
              <w:spacing w:after="0" w:before="0" w:line="240" w:lineRule="auto"/>
            </w:pPr>
            <w:r/>
            <w:r>
              <w:rPr>
                <w:rFonts w:ascii="Arial" w:hAnsi="Arial" w:eastAsia="Arial"/>
                <w:b/>
                <w:sz w:val="14"/>
              </w:rPr>
              <w:t>9</w:t>
            </w:r>
          </w:p>
        </w:tc>
        <w:tc>
          <w:tcPr>
            <w:tcW w:type="dxa" w:w="2520"/>
            <w:vAlign w:val="center"/>
          </w:tcPr>
          <w:p>
            <w:pPr>
              <w:spacing w:after="0" w:before="0" w:line="240" w:lineRule="auto"/>
            </w:pPr>
            <w:r/>
            <w:r>
              <w:rPr>
                <w:rFonts w:ascii="Arial" w:hAnsi="Arial" w:eastAsia="Arial"/>
                <w:b/>
                <w:sz w:val="14"/>
              </w:rPr>
              <w:t>Social (LinkedIn)</w:t>
            </w:r>
          </w:p>
        </w:tc>
        <w:tc>
          <w:tcPr>
            <w:tcW w:type="dxa" w:w="6120"/>
            <w:vAlign w:val="center"/>
          </w:tcPr>
          <w:p>
            <w:pPr>
              <w:spacing w:after="0" w:before="0" w:line="240" w:lineRule="auto"/>
            </w:pPr>
            <w:r/>
            <w:r>
              <w:rPr>
                <w:rFonts w:ascii="Arial" w:hAnsi="Arial" w:eastAsia="Arial"/>
                <w:b w:val="0"/>
                <w:sz w:val="14"/>
              </w:rPr>
              <w:t>AI-drafted social posts with direct publishing to LinkedIn via OAuth. Schedule, publish, track engagement. Acquisition channel pairing with email.</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792"/>
            <w:vAlign w:val="center"/>
          </w:tcPr>
          <w:p>
            <w:pPr>
              <w:spacing w:after="0" w:before="0" w:line="240" w:lineRule="auto"/>
            </w:pPr>
            <w:r/>
            <w:r>
              <w:rPr>
                <w:rFonts w:ascii="Arial" w:hAnsi="Arial" w:eastAsia="Arial"/>
                <w:b/>
                <w:sz w:val="14"/>
              </w:rPr>
              <w:t>10</w:t>
            </w:r>
          </w:p>
        </w:tc>
        <w:tc>
          <w:tcPr>
            <w:tcW w:type="dxa" w:w="2520"/>
            <w:vAlign w:val="center"/>
          </w:tcPr>
          <w:p>
            <w:pPr>
              <w:spacing w:after="0" w:before="0" w:line="240" w:lineRule="auto"/>
            </w:pPr>
            <w:r/>
            <w:r>
              <w:rPr>
                <w:rFonts w:ascii="Arial" w:hAnsi="Arial" w:eastAsia="Arial"/>
                <w:b/>
                <w:sz w:val="14"/>
              </w:rPr>
              <w:t>PDFs and ebooks in assets</w:t>
            </w:r>
          </w:p>
        </w:tc>
        <w:tc>
          <w:tcPr>
            <w:tcW w:type="dxa" w:w="6120"/>
            <w:vAlign w:val="center"/>
          </w:tcPr>
          <w:p>
            <w:pPr>
              <w:spacing w:after="0" w:before="0" w:line="240" w:lineRule="auto"/>
            </w:pPr>
            <w:r/>
            <w:r>
              <w:rPr>
                <w:rFonts w:ascii="Arial" w:hAnsi="Arial" w:eastAsia="Arial"/>
                <w:b w:val="0"/>
                <w:sz w:val="14"/>
              </w:rPr>
              <w:t>Extend asset library beyond images and video. Easy add. Unlocks content-led acquisition campaigns.</w:t>
            </w:r>
          </w:p>
        </w:tc>
        <w:tc>
          <w:tcPr>
            <w:tcW w:type="dxa" w:w="864"/>
            <w:vAlign w:val="center"/>
            <w:shd w:fill="D9EFD6"/>
          </w:tcPr>
          <w:p>
            <w:pPr>
              <w:spacing w:after="0" w:before="0" w:line="240" w:lineRule="auto"/>
              <w:jc w:val="center"/>
            </w:pPr>
            <w:r/>
            <w:r>
              <w:rPr>
                <w:rFonts w:ascii="Arial" w:hAnsi="Arial" w:eastAsia="Arial"/>
                <w:b/>
                <w:sz w:val="14"/>
              </w:rPr>
              <w:t>S</w:t>
            </w:r>
          </w:p>
        </w:tc>
      </w:tr>
    </w:tbl>
    <w:p>
      <w:pPr>
        <w:spacing w:after="40" w:before="0" w:line="252" w:lineRule="auto"/>
      </w:pPr>
      <w:r>
        <w:rPr>
          <w:rFonts w:ascii="Arial" w:hAnsi="Arial" w:eastAsia="Arial"/>
          <w:b/>
          <w:i w:val="0"/>
          <w:sz w:val="17"/>
        </w:rPr>
        <w:t>Customer-driven (built when a specific customer needs them)</w:t>
      </w:r>
    </w:p>
    <w:p>
      <w:pPr>
        <w:spacing w:after="60" w:before="0" w:line="252" w:lineRule="auto"/>
      </w:pPr>
      <w:r>
        <w:rPr>
          <w:rFonts w:ascii="Arial" w:hAnsi="Arial" w:eastAsia="Arial"/>
          <w:b w:val="0"/>
          <w:i w:val="0"/>
          <w:sz w:val="16"/>
        </w:rPr>
        <w:t>These are real features on the roadmap, but we don't build them on a calendar. We build them when a customer (or a clear cluster of prospects) needs them. Until then, they sit here as commitments, not work.</w:t>
      </w:r>
    </w:p>
    <w:tbl>
      <w:tblPr>
        <w:tblStyle w:val="TableGrid"/>
        <w:tblW w:type="dxa" w:w="10296"/>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92"/>
        <w:gridCol w:w="2520"/>
        <w:gridCol w:w="6120"/>
        <w:gridCol w:w="864"/>
      </w:tblGrid>
      <w:tr>
        <w:trPr>
          <w:tblHeader w:val="true"/>
        </w:trPr>
        <w:tc>
          <w:tcPr>
            <w:tcW w:type="dxa" w:w="792"/>
            <w:shd w:fill="252B36"/>
            <w:vAlign w:val="center"/>
          </w:tcPr>
          <w:p>
            <w:pPr>
              <w:spacing w:after="0" w:before="0" w:line="240" w:lineRule="auto"/>
            </w:pPr>
            <w:r/>
            <w:r>
              <w:rPr>
                <w:rFonts w:ascii="Arial" w:hAnsi="Arial" w:eastAsia="Arial"/>
                <w:b/>
                <w:color w:val="FFFFFF"/>
                <w:sz w:val="14"/>
              </w:rPr>
              <w:t>#</w:t>
            </w:r>
          </w:p>
        </w:tc>
        <w:tc>
          <w:tcPr>
            <w:tcW w:type="dxa" w:w="2520"/>
            <w:shd w:fill="252B36"/>
            <w:vAlign w:val="center"/>
          </w:tcPr>
          <w:p>
            <w:pPr>
              <w:spacing w:after="0" w:before="0" w:line="240" w:lineRule="auto"/>
            </w:pPr>
            <w:r/>
            <w:r>
              <w:rPr>
                <w:rFonts w:ascii="Arial" w:hAnsi="Arial" w:eastAsia="Arial"/>
                <w:b/>
                <w:color w:val="FFFFFF"/>
                <w:sz w:val="14"/>
              </w:rPr>
              <w:t>Feature</w:t>
            </w:r>
          </w:p>
        </w:tc>
        <w:tc>
          <w:tcPr>
            <w:tcW w:type="dxa" w:w="6120"/>
            <w:shd w:fill="252B36"/>
            <w:vAlign w:val="center"/>
          </w:tcPr>
          <w:p>
            <w:pPr>
              <w:spacing w:after="0" w:before="0" w:line="240" w:lineRule="auto"/>
            </w:pPr>
            <w:r/>
            <w:r>
              <w:rPr>
                <w:rFonts w:ascii="Arial" w:hAnsi="Arial" w:eastAsia="Arial"/>
                <w:b/>
                <w:color w:val="FFFFFF"/>
                <w:sz w:val="14"/>
              </w:rPr>
              <w:t>Why it matters</w:t>
            </w:r>
          </w:p>
        </w:tc>
        <w:tc>
          <w:tcPr>
            <w:tcW w:type="dxa" w:w="864"/>
            <w:shd w:fill="252B36"/>
            <w:vAlign w:val="center"/>
          </w:tcPr>
          <w:p>
            <w:pPr>
              <w:spacing w:after="0" w:before="0" w:line="240" w:lineRule="auto"/>
            </w:pPr>
            <w:r/>
            <w:r>
              <w:rPr>
                <w:rFonts w:ascii="Arial" w:hAnsi="Arial" w:eastAsia="Arial"/>
                <w:b/>
                <w:color w:val="FFFFFF"/>
                <w:sz w:val="14"/>
              </w:rPr>
              <w:t>Size</w:t>
            </w:r>
          </w:p>
        </w:tc>
      </w:tr>
      <w:tr>
        <w:tc>
          <w:tcPr>
            <w:tcW w:type="dxa" w:w="792"/>
            <w:vAlign w:val="center"/>
          </w:tcPr>
          <w:p>
            <w:pPr>
              <w:spacing w:after="0" w:before="0" w:line="240" w:lineRule="auto"/>
            </w:pPr>
            <w:r/>
            <w:r>
              <w:rPr>
                <w:rFonts w:ascii="Arial" w:hAnsi="Arial" w:eastAsia="Arial"/>
                <w:b/>
                <w:sz w:val="14"/>
              </w:rPr>
              <w:t>A</w:t>
            </w:r>
          </w:p>
        </w:tc>
        <w:tc>
          <w:tcPr>
            <w:tcW w:type="dxa" w:w="2520"/>
            <w:vAlign w:val="center"/>
          </w:tcPr>
          <w:p>
            <w:pPr>
              <w:spacing w:after="0" w:before="0" w:line="240" w:lineRule="auto"/>
            </w:pPr>
            <w:r/>
            <w:r>
              <w:rPr>
                <w:rFonts w:ascii="Arial" w:hAnsi="Arial" w:eastAsia="Arial"/>
                <w:b/>
                <w:sz w:val="14"/>
              </w:rPr>
              <w:t>Microsoft Dynamics / PowerApps adapter</w:t>
            </w:r>
          </w:p>
        </w:tc>
        <w:tc>
          <w:tcPr>
            <w:tcW w:type="dxa" w:w="6120"/>
            <w:vAlign w:val="center"/>
          </w:tcPr>
          <w:p>
            <w:pPr>
              <w:spacing w:after="0" w:before="0" w:line="240" w:lineRule="auto"/>
            </w:pPr>
            <w:r/>
            <w:r>
              <w:rPr>
                <w:rFonts w:ascii="Arial" w:hAnsi="Arial" w:eastAsia="Arial"/>
                <w:b w:val="0"/>
                <w:sz w:val="14"/>
              </w:rPr>
              <w:t>Second CRM integration. Proves the CRM-agnostic story is real, not aspirational. Aligns with Azure strategic relationship. Build when a Dynamics-based customer commits.</w:t>
            </w:r>
          </w:p>
        </w:tc>
        <w:tc>
          <w:tcPr>
            <w:tcW w:type="dxa" w:w="864"/>
            <w:vAlign w:val="center"/>
            <w:shd w:fill="F8C7CC"/>
          </w:tcPr>
          <w:p>
            <w:pPr>
              <w:spacing w:after="0" w:before="0" w:line="240" w:lineRule="auto"/>
              <w:jc w:val="center"/>
            </w:pPr>
            <w:r/>
            <w:r>
              <w:rPr>
                <w:rFonts w:ascii="Arial" w:hAnsi="Arial" w:eastAsia="Arial"/>
                <w:b/>
                <w:sz w:val="14"/>
              </w:rPr>
              <w:t>L</w:t>
            </w:r>
          </w:p>
        </w:tc>
      </w:tr>
      <w:tr>
        <w:tc>
          <w:tcPr>
            <w:tcW w:type="dxa" w:w="792"/>
            <w:vAlign w:val="center"/>
          </w:tcPr>
          <w:p>
            <w:pPr>
              <w:spacing w:after="0" w:before="0" w:line="240" w:lineRule="auto"/>
            </w:pPr>
            <w:r/>
            <w:r>
              <w:rPr>
                <w:rFonts w:ascii="Arial" w:hAnsi="Arial" w:eastAsia="Arial"/>
                <w:b/>
                <w:sz w:val="14"/>
              </w:rPr>
              <w:t>B</w:t>
            </w:r>
          </w:p>
        </w:tc>
        <w:tc>
          <w:tcPr>
            <w:tcW w:type="dxa" w:w="2520"/>
            <w:vAlign w:val="center"/>
          </w:tcPr>
          <w:p>
            <w:pPr>
              <w:spacing w:after="0" w:before="0" w:line="240" w:lineRule="auto"/>
            </w:pPr>
            <w:r/>
            <w:r>
              <w:rPr>
                <w:rFonts w:ascii="Arial" w:hAnsi="Arial" w:eastAsia="Arial"/>
                <w:b/>
                <w:sz w:val="14"/>
              </w:rPr>
              <w:t>Plan workspace + Today page</w:t>
            </w:r>
          </w:p>
        </w:tc>
        <w:tc>
          <w:tcPr>
            <w:tcW w:type="dxa" w:w="6120"/>
            <w:vAlign w:val="center"/>
          </w:tcPr>
          <w:p>
            <w:pPr>
              <w:spacing w:after="0" w:before="0" w:line="240" w:lineRule="auto"/>
            </w:pPr>
            <w:r/>
            <w:r>
              <w:rPr>
                <w:rFonts w:ascii="Arial" w:hAnsi="Arial" w:eastAsia="Arial"/>
                <w:b w:val="0"/>
                <w:sz w:val="14"/>
              </w:rPr>
              <w:t>Marketing plan as the centre of the product. AI recommendations grounded in plan health. The long-term differentiator the architecture has been anticipating. Build when launch customers show us how they actually want to plan.</w:t>
            </w:r>
          </w:p>
        </w:tc>
        <w:tc>
          <w:tcPr>
            <w:tcW w:type="dxa" w:w="864"/>
            <w:vAlign w:val="center"/>
            <w:shd w:fill="F8C7CC"/>
          </w:tcPr>
          <w:p>
            <w:pPr>
              <w:spacing w:after="0" w:before="0" w:line="240" w:lineRule="auto"/>
              <w:jc w:val="center"/>
            </w:pPr>
            <w:r/>
            <w:r>
              <w:rPr>
                <w:rFonts w:ascii="Arial" w:hAnsi="Arial" w:eastAsia="Arial"/>
                <w:b/>
                <w:sz w:val="14"/>
              </w:rPr>
              <w:t>L</w:t>
            </w:r>
          </w:p>
        </w:tc>
      </w:tr>
    </w:tbl>
    <w:p>
      <w:pPr>
        <w:spacing w:after="40" w:before="0" w:line="252" w:lineRule="auto"/>
      </w:pPr>
      <w:r>
        <w:rPr>
          <w:rFonts w:ascii="Arial" w:hAnsi="Arial" w:eastAsia="Arial"/>
          <w:b/>
          <w:i w:val="0"/>
          <w:sz w:val="17"/>
        </w:rPr>
        <w:t>How the backlog gets unlocked</w:t>
      </w:r>
    </w:p>
    <w:p>
      <w:pPr>
        <w:spacing w:after="60" w:before="0" w:line="252" w:lineRule="auto"/>
      </w:pPr>
      <w:r>
        <w:rPr>
          <w:rFonts w:ascii="Arial" w:hAnsi="Arial" w:eastAsia="Arial"/>
          <w:b w:val="0"/>
          <w:i w:val="0"/>
          <w:sz w:val="16"/>
        </w:rPr>
        <w:t>There are three triggers. First, if an engineer or pair finishes MVP work ahead of schedule, they pull the highest-priority backlog item that fits their skills and the remaining time. Second, at decision points (weeks 4, 8 and 10) we will reassess MVP scope against progress; if we are behind, we cut from MVP — we do not extend the date. Third, post-August 15, Tier 1 becomes the immediate roadmap and we start scoping properly.</w:t>
      </w:r>
    </w:p>
    <w:p>
      <w:pPr>
        <w:spacing w:after="0" w:before="0" w:line="252" w:lineRule="auto"/>
      </w:pPr>
      <w:r>
        <w:rPr>
          <w:rFonts w:ascii="Arial" w:hAnsi="Arial" w:eastAsia="Arial"/>
          <w:b w:val="0"/>
          <w:i w:val="0"/>
          <w:sz w:val="16"/>
        </w:rPr>
        <w:t>If you finish your MVP scope early, ask before starting backlog work. Some items have dependencies (Journeys depends on a stable email pipeline; Teams depends on the user/org model being settled). The order in the table is the default; the right next thing in context might be different.</w:t>
      </w:r>
    </w:p>
    <w:sectPr w:rsidR="00FC693F" w:rsidRPr="0006063C" w:rsidSect="00034616">
      <w:headerReference w:type="default" r:id="rId9"/>
      <w:footerReference w:type="default" r:id="rId10"/>
      <w:pgSz w:w="11909" w:h="16834"/>
      <w:pgMar w:top="792" w:right="936" w:bottom="792"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96969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A0A0A0"/>
        <w:sz w:val="13"/>
      </w:rPr>
      <w:t>sweetspot | August 15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