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74067C5D"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Analysis of Photonic Crystal Wave Containment</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07759D41"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the several factors, including the shape, scale and distribution of dielectrics as well as the relative wavelength of an incident wave. Simulation techniques such as FDTD may be used to model periodic dielectric structures and their response to different wavelengths in order 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37BE0515" w14:textId="77777777" w:rsidR="001254CC" w:rsidRDefault="001254CC" w:rsidP="00F14D31">
      <w:pPr>
        <w:spacing w:after="0" w:line="240" w:lineRule="auto"/>
        <w:jc w:val="both"/>
        <w:rPr>
          <w:rFonts w:ascii="Times New Roman" w:hAnsi="Times New Roman"/>
          <w:sz w:val="23"/>
          <w:szCs w:val="23"/>
        </w:rPr>
      </w:pP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18BDC88A" w14:textId="67539F62" w:rsidR="007B0873" w:rsidRDefault="007B0873" w:rsidP="007B0873">
      <w:pPr>
        <w:pStyle w:val="Heading1"/>
      </w:pPr>
      <w:r>
        <w:t>Background</w:t>
      </w:r>
    </w:p>
    <w:p w14:paraId="0E16507C" w14:textId="77777777" w:rsidR="007B0873" w:rsidRDefault="007B0873" w:rsidP="006718A1">
      <w:pPr>
        <w:spacing w:after="0" w:line="240" w:lineRule="auto"/>
        <w:jc w:val="both"/>
        <w:rPr>
          <w:rFonts w:ascii="Times New Roman" w:hAnsi="Times New Roman"/>
          <w:bCs/>
          <w:sz w:val="23"/>
          <w:szCs w:val="23"/>
        </w:rPr>
      </w:pP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574FC1AB"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NVIDIA CUDA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w:t>
      </w:r>
      <w:r w:rsidR="00523244">
        <w:rPr>
          <w:rFonts w:ascii="Times New Roman" w:hAnsi="Times New Roman"/>
          <w:bCs/>
          <w:sz w:val="23"/>
          <w:szCs w:val="23"/>
        </w:rPr>
        <w:t xml:space="preserve">specifically, a 2019 16” MacBook pro with AMD GPU – presented several challenges. </w:t>
      </w:r>
    </w:p>
    <w:p w14:paraId="76069144" w14:textId="2CCAEAAC"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CUDA</w:t>
      </w:r>
      <w:r w:rsidR="002508D1">
        <w:rPr>
          <w:rStyle w:val="FootnoteReference"/>
          <w:rFonts w:ascii="Times New Roman" w:hAnsi="Times New Roman"/>
          <w:bCs/>
          <w:sz w:val="23"/>
          <w:szCs w:val="23"/>
        </w:rPr>
        <w:footnoteReference w:id="1"/>
      </w:r>
      <w:r>
        <w:rPr>
          <w:rFonts w:ascii="Times New Roman" w:hAnsi="Times New Roman"/>
          <w:bCs/>
          <w:sz w:val="23"/>
          <w:szCs w:val="23"/>
        </w:rPr>
        <w:t xml:space="preserve">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2"/>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7419836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11D2F3E4" w14:textId="77777777" w:rsidR="00BC54D7" w:rsidRDefault="00BC54D7" w:rsidP="00EE1E9F">
      <w:pPr>
        <w:spacing w:after="0" w:line="240" w:lineRule="auto"/>
        <w:jc w:val="both"/>
        <w:rPr>
          <w:rFonts w:ascii="Times New Roman" w:hAnsi="Times New Roman"/>
          <w:bCs/>
          <w:sz w:val="23"/>
          <w:szCs w:val="23"/>
        </w:rPr>
      </w:pP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lastRenderedPageBreak/>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22CF909" w14:textId="64E333D7"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7B4899EA" w14:textId="77777777" w:rsidR="00BC54D7" w:rsidRDefault="00BC54D7" w:rsidP="00BC54D7">
      <w:pPr>
        <w:pStyle w:val="ListParagraph"/>
        <w:spacing w:after="0" w:line="240" w:lineRule="auto"/>
        <w:jc w:val="both"/>
        <w:rPr>
          <w:rFonts w:ascii="Times New Roman" w:hAnsi="Times New Roman"/>
          <w:bCs/>
          <w:sz w:val="23"/>
          <w:szCs w:val="23"/>
        </w:rPr>
      </w:pPr>
    </w:p>
    <w:p w14:paraId="4D8E5672" w14:textId="2B45ABE8" w:rsidR="00C37C21" w:rsidRDefault="00C37C21"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77777777" w:rsidR="00BC54D7" w:rsidRDefault="00BC54D7" w:rsidP="00C37C21">
      <w:pPr>
        <w:spacing w:after="0" w:line="240" w:lineRule="auto"/>
        <w:jc w:val="both"/>
        <w:rPr>
          <w:rFonts w:ascii="Times New Roman" w:hAnsi="Times New Roman"/>
          <w:bCs/>
          <w:sz w:val="23"/>
          <w:szCs w:val="23"/>
        </w:rPr>
      </w:pPr>
    </w:p>
    <w:p w14:paraId="3AC3F26F" w14:textId="086E3AD6"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physical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3845BCF7" w14:textId="3149722A"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While these assumptions simplify some calculations in FDTD, they present issues when dealing with structures 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 xml:space="preserve">Since analysis of the dielectric lattice requires a frequency sweep to </w:t>
      </w:r>
      <w:r w:rsidR="00B468A7">
        <w:rPr>
          <w:rFonts w:ascii="Times New Roman" w:hAnsi="Times New Roman"/>
          <w:bCs/>
          <w:sz w:val="23"/>
          <w:szCs w:val="23"/>
        </w:rPr>
        <w:t>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3"/>
      </w:r>
      <w:r w:rsidR="00B468A7">
        <w:rPr>
          <w:rFonts w:ascii="Times New Roman" w:hAnsi="Times New Roman"/>
          <w:bCs/>
          <w:sz w:val="23"/>
          <w:szCs w:val="23"/>
        </w:rPr>
        <w:t xml:space="preserve">. </w:t>
      </w:r>
    </w:p>
    <w:p w14:paraId="5F56BAF7" w14:textId="69AD9025"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0A9FC4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4"/>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 We define the normal wavelength</w:t>
      </w:r>
      <w:r w:rsidR="00B468A7">
        <w:rPr>
          <w:rStyle w:val="FootnoteReference"/>
          <w:rFonts w:ascii="Times New Roman" w:hAnsi="Times New Roman"/>
          <w:bCs/>
          <w:sz w:val="23"/>
          <w:szCs w:val="23"/>
        </w:rPr>
        <w:footnoteReference w:id="5"/>
      </w:r>
      <w:r w:rsidR="00400C2C">
        <w:rPr>
          <w:rFonts w:ascii="Times New Roman" w:hAnsi="Times New Roman"/>
          <w:bCs/>
          <w:sz w:val="23"/>
          <w:szCs w:val="23"/>
        </w:rPr>
        <w:t xml:space="preserve"> of the simulation to be 1/10 of that value, or 48</w:t>
      </w:r>
      <w:r w:rsidR="00B468A7">
        <w:rPr>
          <w:rFonts w:ascii="Times New Roman" w:hAnsi="Times New Roman"/>
          <w:bCs/>
          <w:sz w:val="23"/>
          <w:szCs w:val="23"/>
        </w:rPr>
        <w:t>n</w:t>
      </w:r>
      <w:r w:rsidR="00400C2C">
        <w:rPr>
          <w:rFonts w:ascii="Times New Roman" w:hAnsi="Times New Roman"/>
          <w:bCs/>
          <w:sz w:val="23"/>
          <w:szCs w:val="23"/>
        </w:rPr>
        <w:t>m. The frequency scanning portion of the simulation may then use wavelengths as low as 10*48um=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427FC1F2" w14:textId="77777777" w:rsidR="00BC54D7" w:rsidRDefault="00BC54D7" w:rsidP="00C37C21">
      <w:pPr>
        <w:spacing w:after="0" w:line="240" w:lineRule="auto"/>
        <w:jc w:val="both"/>
        <w:rPr>
          <w:rFonts w:ascii="Times New Roman" w:hAnsi="Times New Roman"/>
          <w:bCs/>
          <w:sz w:val="23"/>
          <w:szCs w:val="23"/>
        </w:rPr>
      </w:pPr>
    </w:p>
    <w:p w14:paraId="4B2ECAC7" w14:textId="3A4026F9"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05545E07"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CC4CF5">
        <w:rPr>
          <w:rFonts w:ascii="Times New Roman" w:hAnsi="Times New Roman"/>
          <w:bCs/>
          <w:sz w:val="23"/>
          <w:szCs w:val="23"/>
        </w:rPr>
        <w:t xml:space="preserve"> well-suited </w:t>
      </w:r>
      <w:r w:rsidR="00BC54D7">
        <w:rPr>
          <w:rFonts w:ascii="Times New Roman" w:hAnsi="Times New Roman"/>
          <w:bCs/>
          <w:sz w:val="23"/>
          <w:szCs w:val="23"/>
        </w:rPr>
        <w:t xml:space="preserve">for describing </w:t>
      </w:r>
      <w:r w:rsidR="00CC4CF5">
        <w:rPr>
          <w:rFonts w:ascii="Times New Roman" w:hAnsi="Times New Roman"/>
          <w:bCs/>
          <w:sz w:val="23"/>
          <w:szCs w:val="23"/>
        </w:rPr>
        <w:t xml:space="preserve">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it was required to repeatedly adjust the Yee grid resolution when exploring potential solutions. This required the creation of many versions of the lattice unit cell tiles.</w:t>
      </w:r>
    </w:p>
    <w:p w14:paraId="10A7D58A" w14:textId="0701ABF4" w:rsidR="00AB635C" w:rsidRDefault="00F82F7C" w:rsidP="006862E6">
      <w:pPr>
        <w:spacing w:after="0" w:line="240" w:lineRule="auto"/>
        <w:jc w:val="both"/>
        <w:rPr>
          <w:rFonts w:ascii="Times New Roman" w:hAnsi="Times New Roman"/>
          <w:bCs/>
          <w:sz w:val="23"/>
          <w:szCs w:val="23"/>
        </w:rPr>
      </w:pPr>
      <w:r w:rsidRPr="00F82F7C">
        <w:rPr>
          <w:rFonts w:ascii="Times New Roman" w:hAnsi="Times New Roman"/>
          <w:bCs/>
          <w:sz w:val="23"/>
          <w:szCs w:val="23"/>
        </w:rPr>
        <w:lastRenderedPageBreak/>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4BFF7E5D"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For the square rod lattice, a unit cell tile image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265225B2" w14:textId="77777777" w:rsidR="00DC176A" w:rsidRDefault="00DC176A" w:rsidP="006862E6">
      <w:pPr>
        <w:spacing w:after="0" w:line="240" w:lineRule="auto"/>
        <w:jc w:val="both"/>
        <w:rPr>
          <w:rFonts w:ascii="Times New Roman" w:hAnsi="Times New Roman"/>
          <w:bCs/>
          <w:sz w:val="23"/>
          <w:szCs w:val="23"/>
        </w:rPr>
      </w:pPr>
    </w:p>
    <w:p w14:paraId="6965C00C" w14:textId="77777777" w:rsidR="00BC54D7"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Rather than performing this process manually, we wrote a Unity3D script to generate the unit cells which were then exported to the PNG model definition format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w:t>
      </w:r>
    </w:p>
    <w:p w14:paraId="5A9D25D8" w14:textId="23812DA1" w:rsidR="006862E6"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At that point, we determined that generating a tile, exporting it to a PNG image, reloading and decoding that image and using it to populate the dielectric material array used by the FDTD kernels was, to be frank, redundant, inefficient and suboptimal. Since the </w:t>
      </w:r>
      <w:r w:rsidR="00A02006">
        <w:rPr>
          <w:rFonts w:ascii="Times New Roman" w:hAnsi="Times New Roman"/>
          <w:bCs/>
          <w:sz w:val="23"/>
          <w:szCs w:val="23"/>
        </w:rPr>
        <w:t>routines</w:t>
      </w:r>
      <w:r>
        <w:rPr>
          <w:rFonts w:ascii="Times New Roman" w:hAnsi="Times New Roman"/>
          <w:bCs/>
          <w:sz w:val="23"/>
          <w:szCs w:val="23"/>
        </w:rPr>
        <w:t xml:space="preserve"> to generate </w:t>
      </w:r>
      <w:r w:rsidR="00F1042C">
        <w:rPr>
          <w:rFonts w:ascii="Times New Roman" w:hAnsi="Times New Roman"/>
          <w:bCs/>
          <w:sz w:val="23"/>
          <w:szCs w:val="23"/>
        </w:rPr>
        <w:t>a</w:t>
      </w:r>
      <w:r>
        <w:rPr>
          <w:rFonts w:ascii="Times New Roman" w:hAnsi="Times New Roman"/>
          <w:bCs/>
          <w:sz w:val="23"/>
          <w:szCs w:val="23"/>
        </w:rPr>
        <w:t xml:space="preserve"> </w:t>
      </w:r>
      <w:r w:rsidR="00F1042C">
        <w:rPr>
          <w:rFonts w:ascii="Times New Roman" w:hAnsi="Times New Roman"/>
          <w:bCs/>
          <w:sz w:val="23"/>
          <w:szCs w:val="23"/>
        </w:rPr>
        <w:t>tile</w:t>
      </w:r>
      <w:r>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6"/>
      </w:r>
      <w:r w:rsidR="00A02006">
        <w:rPr>
          <w:rFonts w:ascii="Times New Roman" w:hAnsi="Times New Roman"/>
          <w:bCs/>
          <w:sz w:val="23"/>
          <w:szCs w:val="23"/>
        </w:rPr>
        <w:t xml:space="preserve">, it simplified this use case. </w:t>
      </w:r>
    </w:p>
    <w:p w14:paraId="1D3A859C" w14:textId="5379890C" w:rsidR="00F1042C" w:rsidRDefault="00030642" w:rsidP="006862E6">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60288" behindDoc="0" locked="0" layoutInCell="1" allowOverlap="1" wp14:anchorId="49BB0116" wp14:editId="7E0886CA">
                <wp:simplePos x="0" y="0"/>
                <wp:positionH relativeFrom="column">
                  <wp:posOffset>-681568</wp:posOffset>
                </wp:positionH>
                <wp:positionV relativeFrom="paragraph">
                  <wp:posOffset>1608341</wp:posOffset>
                </wp:positionV>
                <wp:extent cx="360" cy="360"/>
                <wp:effectExtent l="38100" t="38100" r="25400" b="2540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7EDB00A" id="Ink 7" o:spid="_x0000_s1026" type="#_x0000_t75" style="position:absolute;margin-left:-54.35pt;margin-top:125.9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6hh6vCAQAAZAQAABAAAAAAAAAAAAAAAAAA9AMAAGRycy9pbmsvaW5rMS54bWxQSwECLQAUAAYA&#13;&#10;CAAAACEAvZsZReMAAAAS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8738E5">
        <w:rPr>
          <w:rFonts w:ascii="Times New Roman" w:hAnsi="Times New Roman"/>
          <w:bCs/>
          <w:sz w:val="23"/>
          <w:szCs w:val="23"/>
        </w:rPr>
        <w:t>Once the model generation system was complete, a software component was created to re-run the simulation with different conditions</w:t>
      </w:r>
      <w:r w:rsidR="00123A3B">
        <w:rPr>
          <w:rFonts w:ascii="Times New Roman" w:hAnsi="Times New Roman"/>
          <w:bCs/>
          <w:sz w:val="23"/>
          <w:szCs w:val="23"/>
        </w:rPr>
        <w:t xml:space="preserve"> in a loop</w:t>
      </w:r>
      <w:r w:rsidR="008738E5">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sidR="008738E5">
        <w:rPr>
          <w:rFonts w:ascii="Times New Roman" w:hAnsi="Times New Roman"/>
          <w:bCs/>
          <w:sz w:val="23"/>
          <w:szCs w:val="23"/>
        </w:rPr>
        <w:t xml:space="preserve">of steps to be calculated. Results were collected by summing the </w:t>
      </w:r>
      <w:r w:rsidR="00FD1BAC">
        <w:rPr>
          <w:rFonts w:ascii="Times New Roman" w:hAnsi="Times New Roman"/>
          <w:bCs/>
          <w:sz w:val="23"/>
          <w:szCs w:val="23"/>
        </w:rPr>
        <w:t>RMS</w:t>
      </w:r>
      <w:r w:rsidR="008738E5">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sidR="008738E5">
        <w:rPr>
          <w:rFonts w:ascii="Times New Roman" w:hAnsi="Times New Roman"/>
          <w:bCs/>
          <w:sz w:val="23"/>
          <w:szCs w:val="23"/>
        </w:rPr>
        <w:t xml:space="preserve">series of FDTD monitors over </w:t>
      </w:r>
      <w:proofErr w:type="gramStart"/>
      <w:r w:rsidR="008738E5">
        <w:rPr>
          <w:rFonts w:ascii="Times New Roman" w:hAnsi="Times New Roman"/>
          <w:bCs/>
          <w:sz w:val="23"/>
          <w:szCs w:val="23"/>
        </w:rPr>
        <w:t>4000 time</w:t>
      </w:r>
      <w:proofErr w:type="gramEnd"/>
      <w:r w:rsidR="008738E5">
        <w:rPr>
          <w:rFonts w:ascii="Times New Roman" w:hAnsi="Times New Roman"/>
          <w:bCs/>
          <w:sz w:val="23"/>
          <w:szCs w:val="23"/>
        </w:rPr>
        <w:t xml:space="preserve"> steps</w:t>
      </w:r>
      <w:r>
        <w:rPr>
          <w:rStyle w:val="FootnoteReference"/>
          <w:rFonts w:ascii="Times New Roman" w:hAnsi="Times New Roman"/>
          <w:bCs/>
          <w:sz w:val="23"/>
          <w:szCs w:val="23"/>
        </w:rPr>
        <w:footnoteReference w:id="7"/>
      </w:r>
      <w:r w:rsidR="00A650C3">
        <w:rPr>
          <w:rStyle w:val="FootnoteReference"/>
          <w:rFonts w:ascii="Times New Roman" w:hAnsi="Times New Roman"/>
          <w:bCs/>
          <w:sz w:val="23"/>
          <w:szCs w:val="23"/>
        </w:rPr>
        <w:footnoteReference w:id="8"/>
      </w:r>
      <w:r w:rsidR="008738E5">
        <w:rPr>
          <w:rFonts w:ascii="Times New Roman" w:hAnsi="Times New Roman"/>
          <w:bCs/>
          <w:sz w:val="23"/>
          <w:szCs w:val="23"/>
        </w:rPr>
        <w:t xml:space="preserve">. </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219200"/>
                    </a:xfrm>
                    <a:prstGeom prst="rect">
                      <a:avLst/>
                    </a:prstGeom>
                  </pic:spPr>
                </pic:pic>
              </a:graphicData>
            </a:graphic>
          </wp:inline>
        </w:drawing>
      </w:r>
    </w:p>
    <w:p w14:paraId="3A53E480" w14:textId="79ADBE61" w:rsidR="005D2B37" w:rsidRPr="005D2B37" w:rsidRDefault="003F3E99" w:rsidP="005D2B37">
      <w:pPr>
        <w:pStyle w:val="Caption"/>
        <w:jc w:val="both"/>
      </w:pPr>
      <w:r>
        <w:t xml:space="preserve">Figure </w:t>
      </w:r>
      <w:fldSimple w:instr=" SEQ Figure \* ARABIC ">
        <w:r w:rsidR="00794AD0">
          <w:rPr>
            <w:noProof/>
          </w:rPr>
          <w:t>1</w:t>
        </w:r>
      </w:fldSimple>
      <w:r>
        <w:t xml:space="preserve"> </w:t>
      </w:r>
      <w:r w:rsidR="00BC54D7">
        <w:t>Wavelength</w:t>
      </w:r>
      <w:r>
        <w:t xml:space="preserve"> Sweep Parameter Dialog</w:t>
      </w:r>
    </w:p>
    <w:p w14:paraId="36CB7EC8" w14:textId="1B30CDCD"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 FDTD domain resolution</w:t>
      </w:r>
      <w:r>
        <w:rPr>
          <w:rStyle w:val="FootnoteReference"/>
          <w:rFonts w:ascii="Times New Roman" w:hAnsi="Times New Roman"/>
          <w:bCs/>
          <w:sz w:val="23"/>
          <w:szCs w:val="23"/>
        </w:rPr>
        <w:footnoteReference w:id="9"/>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2. </w:t>
      </w:r>
    </w:p>
    <w:p w14:paraId="0503DFBC" w14:textId="54217D1A" w:rsidR="008F41F0" w:rsidRDefault="00BC54D7" w:rsidP="008F41F0">
      <w:pPr>
        <w:keepNext/>
        <w:spacing w:after="0" w:line="240" w:lineRule="auto"/>
        <w:jc w:val="both"/>
      </w:pPr>
      <w:r w:rsidRPr="00BC54D7">
        <w:rPr>
          <w:rFonts w:ascii="Times New Roman" w:hAnsi="Times New Roman"/>
          <w:bCs/>
          <w:sz w:val="23"/>
          <w:szCs w:val="23"/>
        </w:rPr>
        <w:drawing>
          <wp:inline distT="0" distB="0" distL="0" distR="0" wp14:anchorId="6C73E831" wp14:editId="6A90E802">
            <wp:extent cx="2743200" cy="2104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104390"/>
                    </a:xfrm>
                    <a:prstGeom prst="rect">
                      <a:avLst/>
                    </a:prstGeom>
                  </pic:spPr>
                </pic:pic>
              </a:graphicData>
            </a:graphic>
          </wp:inline>
        </w:drawing>
      </w:r>
    </w:p>
    <w:p w14:paraId="545ED812" w14:textId="0EB6ADB9" w:rsidR="008F41F0" w:rsidRDefault="008F41F0" w:rsidP="008F41F0">
      <w:pPr>
        <w:pStyle w:val="Caption"/>
        <w:jc w:val="both"/>
      </w:pPr>
      <w:r>
        <w:t xml:space="preserve">Figure </w:t>
      </w:r>
      <w:fldSimple w:instr=" SEQ Figure \* ARABIC ">
        <w:r w:rsidR="00794AD0">
          <w:rPr>
            <w:noProof/>
          </w:rPr>
          <w:t>2</w:t>
        </w:r>
      </w:fldSimple>
      <w:r>
        <w:t xml:space="preserve"> Model Definition Parameters</w:t>
      </w:r>
    </w:p>
    <w:p w14:paraId="4A0ABD44" w14:textId="6F7EE805" w:rsidR="00BA4DE4" w:rsidRDefault="008F41F0" w:rsidP="008F41F0">
      <w:r>
        <w:lastRenderedPageBreak/>
        <w:t xml:space="preserve">Figure 2 lists the model input parameters for the rod array lattice simulation. The “Lambda Norm” </w:t>
      </w:r>
      <w:r w:rsidR="00BC54D7">
        <w:t xml:space="preserve">parameter </w:t>
      </w:r>
      <w:r>
        <w:t xml:space="preserve">indicates the 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p>
    <w:p w14:paraId="23EB3E3B" w14:textId="77777777" w:rsidR="00B92257" w:rsidRDefault="00B92257" w:rsidP="00B92257">
      <w:pPr>
        <w:keepNext/>
      </w:pPr>
      <w:r w:rsidRPr="00B92257">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3163570"/>
                    </a:xfrm>
                    <a:prstGeom prst="rect">
                      <a:avLst/>
                    </a:prstGeom>
                  </pic:spPr>
                </pic:pic>
              </a:graphicData>
            </a:graphic>
          </wp:inline>
        </w:drawing>
      </w:r>
    </w:p>
    <w:p w14:paraId="44460F73" w14:textId="47DA55E7" w:rsidR="00B92257" w:rsidRDefault="00B92257" w:rsidP="00B92257">
      <w:pPr>
        <w:pStyle w:val="Caption"/>
      </w:pPr>
      <w:r>
        <w:t xml:space="preserve">Figure </w:t>
      </w:r>
      <w:fldSimple w:instr=" SEQ Figure \* ARABIC ">
        <w:r w:rsidR="00794AD0">
          <w:rPr>
            <w:noProof/>
          </w:rPr>
          <w:t>3</w:t>
        </w:r>
      </w:fldSimple>
      <w:r>
        <w:t xml:space="preserve"> Simulation Configuration</w:t>
      </w:r>
    </w:p>
    <w:p w14:paraId="3E2C1D4A" w14:textId="130E5346" w:rsidR="008F41F0" w:rsidRDefault="00B92257" w:rsidP="008F41F0">
      <w:r>
        <w:t>The Simulation component (Figure 3) provides a configuration interface</w:t>
      </w:r>
      <w:r w:rsidR="005D2B37">
        <w:t xml:space="preserve"> to control </w:t>
      </w:r>
      <w:r w:rsidR="00C455BB">
        <w:t>parameters such as the domain size in Yee cells</w:t>
      </w:r>
      <w:r w:rsidR="005D2B37">
        <w:t>, the variant of the FDTD compute shaders to be used, the current time step (updated while a simulation executes) and the number of FDTD frames (time steps) to be calculated between user interface updates. Generating an image from a</w:t>
      </w:r>
      <w:r w:rsidR="00C455BB">
        <w:t>n</w:t>
      </w:r>
      <w:r w:rsidR="005D2B37">
        <w:t xml:space="preserve"> electric or </w:t>
      </w:r>
      <w:r w:rsidR="005D2B37">
        <w:t xml:space="preserve">magnetic field array requires substantial compute resources and is done infrequently to increase throughput and reduce execution time. </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75293B30" w14:textId="6B1E78B4" w:rsidR="00C4507F" w:rsidRDefault="003F0B2A" w:rsidP="00E779CD">
      <w:r>
        <w:t xml:space="preserve">Experiment 1: </w:t>
      </w:r>
      <w:r w:rsidR="00C4507F">
        <w:t xml:space="preserve">A square lattice of rods in air with spacing a= 1.2um, </w:t>
      </w:r>
      <w:r w:rsidR="00CF3631">
        <w:t>radius r=0.24um</w:t>
      </w:r>
      <w:r w:rsidR="00C4507F">
        <w:t xml:space="preserve"> </w:t>
      </w:r>
      <w:r w:rsidR="00CF3631">
        <w:t>a</w:t>
      </w:r>
      <w:r w:rsidR="00C4507F">
        <w:t xml:space="preserve">nd relative epsilon of 8.9. </w:t>
      </w:r>
    </w:p>
    <w:p w14:paraId="49DA93CA" w14:textId="77777777" w:rsidR="00CF3631" w:rsidRDefault="00C4507F" w:rsidP="00CF3631">
      <w:pPr>
        <w:keepNext/>
      </w:pPr>
      <w:r w:rsidRPr="00C4507F">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667510"/>
                    </a:xfrm>
                    <a:prstGeom prst="rect">
                      <a:avLst/>
                    </a:prstGeom>
                  </pic:spPr>
                </pic:pic>
              </a:graphicData>
            </a:graphic>
          </wp:inline>
        </w:drawing>
      </w:r>
    </w:p>
    <w:p w14:paraId="616488D8" w14:textId="34A1951F" w:rsidR="00CF3631" w:rsidRDefault="00CF3631" w:rsidP="00CF3631">
      <w:pPr>
        <w:pStyle w:val="Caption"/>
      </w:pPr>
      <w:r>
        <w:t xml:space="preserve">Figure </w:t>
      </w:r>
      <w:fldSimple w:instr=" SEQ Figure \* ARABIC ">
        <w:r w:rsidR="00794AD0">
          <w:rPr>
            <w:noProof/>
          </w:rPr>
          <w:t>4</w:t>
        </w:r>
      </w:fldSimple>
      <w:r>
        <w:t xml:space="preserve"> A square lattice of cylindrical rods</w:t>
      </w:r>
      <w:r w:rsidR="00605609">
        <w:t>. a=1.2um. r=0.24um.</w:t>
      </w:r>
    </w:p>
    <w:p w14:paraId="70922F62" w14:textId="5F89531A"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10"/>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sz w:val="23"/>
          <w:szCs w:val="23"/>
        </w:rPr>
        <w:lastRenderedPageBreak/>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729105"/>
                    </a:xfrm>
                    <a:prstGeom prst="rect">
                      <a:avLst/>
                    </a:prstGeom>
                  </pic:spPr>
                </pic:pic>
              </a:graphicData>
            </a:graphic>
          </wp:inline>
        </w:drawing>
      </w:r>
    </w:p>
    <w:p w14:paraId="04ADF15A" w14:textId="15782B51" w:rsidR="00C67813" w:rsidRDefault="00BD64B7" w:rsidP="00BD64B7">
      <w:pPr>
        <w:pStyle w:val="Caption"/>
        <w:rPr>
          <w:rFonts w:ascii="Times New Roman" w:hAnsi="Times New Roman"/>
          <w:bCs/>
          <w:sz w:val="23"/>
          <w:szCs w:val="23"/>
        </w:rPr>
      </w:pPr>
      <w:r>
        <w:t xml:space="preserve">Figure </w:t>
      </w:r>
      <w:fldSimple w:instr=" SEQ Figure \* ARABIC ">
        <w:r w:rsidR="00794AD0">
          <w:rPr>
            <w:noProof/>
          </w:rPr>
          <w:t>5</w:t>
        </w:r>
      </w:fldSimple>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1"/>
      </w:r>
      <w:r w:rsidR="00F9046D">
        <w:rPr>
          <w:rFonts w:ascii="Times New Roman" w:hAnsi="Times New Roman"/>
          <w:bCs/>
          <w:sz w:val="23"/>
          <w:szCs w:val="23"/>
        </w:rPr>
        <w:t xml:space="preserve">. </w:t>
      </w:r>
    </w:p>
    <w:p w14:paraId="08672DF4" w14:textId="4D78BDBC" w:rsidR="00265EF1" w:rsidRDefault="001A634E" w:rsidP="00CF3631">
      <w:pPr>
        <w:rPr>
          <w:rFonts w:ascii="Times New Roman" w:hAnsi="Times New Roman"/>
          <w:bCs/>
          <w:sz w:val="23"/>
          <w:szCs w:val="23"/>
        </w:rPr>
      </w:pPr>
      <w:r>
        <w:rPr>
          <w:rFonts w:ascii="Times New Roman" w:hAnsi="Times New Roman"/>
          <w:bCs/>
          <w:sz w:val="23"/>
          <w:szCs w:val="23"/>
        </w:rPr>
        <w:t xml:space="preserve">Figure 6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660650"/>
                    </a:xfrm>
                    <a:prstGeom prst="rect">
                      <a:avLst/>
                    </a:prstGeom>
                  </pic:spPr>
                </pic:pic>
              </a:graphicData>
            </a:graphic>
          </wp:inline>
        </w:drawing>
      </w:r>
    </w:p>
    <w:p w14:paraId="4302BEE1" w14:textId="6986FEC5" w:rsidR="001A634E" w:rsidRPr="00CF3631" w:rsidRDefault="001A634E" w:rsidP="001A634E">
      <w:pPr>
        <w:pStyle w:val="Caption"/>
        <w:rPr>
          <w:rFonts w:ascii="Times New Roman" w:hAnsi="Times New Roman"/>
          <w:bCs/>
          <w:sz w:val="23"/>
          <w:szCs w:val="23"/>
        </w:rPr>
      </w:pPr>
      <w:r>
        <w:t xml:space="preserve">Figure </w:t>
      </w:r>
      <w:fldSimple w:instr=" SEQ Figure \* ARABIC ">
        <w:r w:rsidR="00794AD0">
          <w:rPr>
            <w:noProof/>
          </w:rPr>
          <w:t>6</w:t>
        </w:r>
      </w:fldSimple>
      <w:r>
        <w:t xml:space="preserve"> </w:t>
      </w:r>
      <w:proofErr w:type="spellStart"/>
      <w:r>
        <w:t>Ez</w:t>
      </w:r>
      <w:proofErr w:type="spellEnd"/>
      <w:r>
        <w:t xml:space="preserve"> field for square rod array</w:t>
      </w:r>
      <w:r w:rsidR="00F1287F">
        <w:t xml:space="preserve"> with lambda 1266nm</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56661366" w14:textId="1444A29F" w:rsidR="00840545" w:rsidRDefault="005C3FCD" w:rsidP="00391A85">
      <w:r>
        <w:t>For comparison, the same experiment was run with a missing rod adjacent to the source position</w:t>
      </w:r>
      <w:r w:rsidR="00E73623">
        <w:t>. The</w:t>
      </w:r>
      <w:r w:rsidR="00F85462">
        <w:t xml:space="preserve"> </w:t>
      </w:r>
      <w:proofErr w:type="spellStart"/>
      <w:r w:rsidR="00F85462">
        <w:t>lattice</w:t>
      </w:r>
      <w:r w:rsidR="00E73623">
        <w:t xml:space="preserve"> i</w:t>
      </w:r>
      <w:proofErr w:type="spellEnd"/>
      <w:r w:rsidR="00E73623">
        <w:t xml:space="preserve">s indicated in Figure 7. </w:t>
      </w:r>
    </w:p>
    <w:p w14:paraId="02F64B32" w14:textId="02F62B93" w:rsidR="00C37CB1" w:rsidRDefault="001775C0" w:rsidP="00C37CB1">
      <w:pPr>
        <w:keepNext/>
      </w:pPr>
      <w:r w:rsidRPr="001775C0">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660650"/>
                    </a:xfrm>
                    <a:prstGeom prst="rect">
                      <a:avLst/>
                    </a:prstGeom>
                  </pic:spPr>
                </pic:pic>
              </a:graphicData>
            </a:graphic>
          </wp:inline>
        </w:drawing>
      </w:r>
    </w:p>
    <w:p w14:paraId="281F6164" w14:textId="541CB7C6" w:rsidR="00F85462" w:rsidRDefault="00C37CB1" w:rsidP="00C37CB1">
      <w:pPr>
        <w:pStyle w:val="Caption"/>
      </w:pPr>
      <w:r>
        <w:t xml:space="preserve">Figure </w:t>
      </w:r>
      <w:fldSimple w:instr=" SEQ Figure \* ARABIC ">
        <w:r w:rsidR="00794AD0">
          <w:rPr>
            <w:noProof/>
          </w:rPr>
          <w:t>7</w:t>
        </w:r>
      </w:fldSimple>
      <w:r>
        <w:t xml:space="preserve"> Rod lattice with missing rod defect</w:t>
      </w:r>
    </w:p>
    <w:p w14:paraId="4E77A8F5" w14:textId="4C79285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8.</w:t>
      </w:r>
    </w:p>
    <w:p w14:paraId="14050319" w14:textId="77777777" w:rsidR="00EB1CE1" w:rsidRDefault="00EB1CE1" w:rsidP="00EB1CE1">
      <w:pPr>
        <w:keepNext/>
      </w:pPr>
      <w:r w:rsidRPr="00EB1CE1">
        <w:lastRenderedPageBreak/>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765425"/>
                    </a:xfrm>
                    <a:prstGeom prst="rect">
                      <a:avLst/>
                    </a:prstGeom>
                  </pic:spPr>
                </pic:pic>
              </a:graphicData>
            </a:graphic>
          </wp:inline>
        </w:drawing>
      </w:r>
    </w:p>
    <w:p w14:paraId="4AF42DF1" w14:textId="1E5DFDE7" w:rsidR="00EB1CE1" w:rsidRPr="005122EB" w:rsidRDefault="00EB1CE1" w:rsidP="00EB1CE1">
      <w:pPr>
        <w:pStyle w:val="Caption"/>
      </w:pPr>
      <w:r>
        <w:t xml:space="preserve">Figure </w:t>
      </w:r>
      <w:fldSimple w:instr=" SEQ Figure \* ARABIC ">
        <w:r w:rsidR="00794AD0">
          <w:rPr>
            <w:noProof/>
          </w:rPr>
          <w:t>8</w:t>
        </w:r>
      </w:fldSimple>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724F500D"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67BEED0B" w14:textId="6BA4060E" w:rsidR="00597B03" w:rsidRDefault="00597B03" w:rsidP="00996BEC">
      <w:r>
        <w:t xml:space="preserve">An interesting side-effect of the offset source position is an oscillation between interference patterns. </w:t>
      </w:r>
    </w:p>
    <w:p w14:paraId="0E8942A5" w14:textId="6F484C12" w:rsidR="00B71BC4" w:rsidRDefault="009E7F29" w:rsidP="00996BEC">
      <w:r w:rsidRPr="009E7F29">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292985"/>
                    </a:xfrm>
                    <a:prstGeom prst="rect">
                      <a:avLst/>
                    </a:prstGeom>
                  </pic:spPr>
                </pic:pic>
              </a:graphicData>
            </a:graphic>
          </wp:inline>
        </w:drawing>
      </w:r>
      <w:r w:rsidR="00FB469E">
        <w:rPr>
          <w:rStyle w:val="FootnoteReference"/>
        </w:rPr>
        <w:footnoteReference w:id="12"/>
      </w:r>
    </w:p>
    <w:p w14:paraId="4027D190" w14:textId="1D1ACA9F" w:rsidR="00996BEC" w:rsidRDefault="00996BEC" w:rsidP="00996BEC">
      <w:r>
        <w:t>The results of the perfect array and array with defect are shown</w:t>
      </w:r>
      <w:r w:rsidR="00193BCD">
        <w:t xml:space="preserve"> in </w:t>
      </w:r>
      <w:r w:rsidR="00193BCD">
        <w:fldChar w:fldCharType="begin"/>
      </w:r>
      <w:r w:rsidR="00193BCD">
        <w:instrText xml:space="preserve"> REF _Ref107735784 \h </w:instrText>
      </w:r>
      <w:r w:rsidR="00193BCD">
        <w:fldChar w:fldCharType="separate"/>
      </w:r>
      <w:r w:rsidR="00193BCD">
        <w:t xml:space="preserve">Figure </w:t>
      </w:r>
      <w:r w:rsidR="00193BCD">
        <w:rPr>
          <w:noProof/>
        </w:rPr>
        <w:t>9</w:t>
      </w:r>
      <w:r w:rsidR="00193BCD">
        <w:fldChar w:fldCharType="end"/>
      </w:r>
      <w:r>
        <w:t>.</w:t>
      </w:r>
    </w:p>
    <w:p w14:paraId="44A3F5C8" w14:textId="77777777" w:rsidR="00D75231" w:rsidRDefault="00D75231" w:rsidP="00D75231">
      <w:pPr>
        <w:keepNext/>
      </w:pPr>
      <w:r w:rsidRPr="00D75231">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731645"/>
                    </a:xfrm>
                    <a:prstGeom prst="rect">
                      <a:avLst/>
                    </a:prstGeom>
                  </pic:spPr>
                </pic:pic>
              </a:graphicData>
            </a:graphic>
          </wp:inline>
        </w:drawing>
      </w:r>
    </w:p>
    <w:p w14:paraId="6118DAD6" w14:textId="53038A23" w:rsidR="00D75231" w:rsidRDefault="00D75231" w:rsidP="00D75231">
      <w:pPr>
        <w:pStyle w:val="Caption"/>
      </w:pPr>
      <w:bookmarkStart w:id="0" w:name="_Ref107735776"/>
      <w:bookmarkStart w:id="1" w:name="_Ref107735784"/>
      <w:r>
        <w:t xml:space="preserve">Figure </w:t>
      </w:r>
      <w:fldSimple w:instr=" SEQ Figure \* ARABIC ">
        <w:r w:rsidR="00794AD0">
          <w:rPr>
            <w:noProof/>
          </w:rPr>
          <w:t>9</w:t>
        </w:r>
      </w:fldSimple>
      <w:bookmarkEnd w:id="1"/>
      <w:r>
        <w:t xml:space="preserve"> Rod lattice power output - defect vs non-defect</w:t>
      </w:r>
      <w:bookmarkEnd w:id="0"/>
    </w:p>
    <w:p w14:paraId="35ED872F" w14:textId="2B790993"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between a square of four rods. In the defect experiment, </w:t>
      </w:r>
      <w:r w:rsidR="00F11340">
        <w:lastRenderedPageBreak/>
        <w:t xml:space="preserve">a single rod was removed, leaving the source slightly off-centered relative to the lattice.  </w:t>
      </w:r>
    </w:p>
    <w:p w14:paraId="2BE5CBF1" w14:textId="47E6661A" w:rsidR="00257976" w:rsidRDefault="00257976" w:rsidP="00996BEC">
      <w:r>
        <w:t xml:space="preserve">These experiments indicate that the simulator correctly models wave confinement and may be used to identify resonant values given a lattice definition and a range of wavelengths. </w:t>
      </w:r>
    </w:p>
    <w:p w14:paraId="6CE7CCC2" w14:textId="741AD5B4" w:rsidR="00257976" w:rsidRDefault="00257976" w:rsidP="00996BEC">
      <w:r>
        <w:t xml:space="preserve">For the final experiment, </w:t>
      </w:r>
      <w:r w:rsidR="000A1288">
        <w:t xml:space="preserve">a square lattice of veins was analyzed. </w:t>
      </w:r>
      <w:r w:rsidR="00F01C34">
        <w:t xml:space="preserve">A square lattice of veins where a = 1.2µm, r=0.2a, and </w:t>
      </w:r>
      <w:proofErr w:type="spellStart"/>
      <w:r w:rsidR="00F01C34">
        <w:t>epsr</w:t>
      </w:r>
      <w:proofErr w:type="spellEnd"/>
      <w:r w:rsidR="00F01C34">
        <w:t xml:space="preserve"> = 8.9</w:t>
      </w:r>
      <w:r w:rsidR="00F01C34">
        <w:t xml:space="preserve">.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4D4EB688" w:rsidR="000A1288" w:rsidRDefault="000A1288" w:rsidP="000A1288">
      <w:pPr>
        <w:pStyle w:val="Caption"/>
      </w:pPr>
      <w:r>
        <w:t xml:space="preserve">Figure </w:t>
      </w:r>
      <w:fldSimple w:instr=" SEQ Figure \* ARABIC ">
        <w:r w:rsidR="00794AD0">
          <w:rPr>
            <w:noProof/>
          </w:rPr>
          <w:t>10</w:t>
        </w:r>
      </w:fldSimple>
      <w:r>
        <w:t xml:space="preserve"> Square lattice of veins</w:t>
      </w:r>
      <w:r w:rsidR="00F01C34">
        <w:t>. a=1.2um, r=0.24um</w:t>
      </w:r>
    </w:p>
    <w:p w14:paraId="44854BFB" w14:textId="4E23108E"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10. </w:t>
      </w:r>
    </w:p>
    <w:p w14:paraId="5F64AECF" w14:textId="6344DD9F" w:rsidR="005D1E48" w:rsidRDefault="00507E53" w:rsidP="00F01C34">
      <w:r>
        <w:t xml:space="preserve">A wavelength </w:t>
      </w:r>
      <w:proofErr w:type="gramStart"/>
      <w:r>
        <w:t>sweep</w:t>
      </w:r>
      <w:proofErr w:type="gramEnd"/>
      <w:r>
        <w:t xml:space="preserve"> from relative lambda of 48nm to 1800nm with a step resolution of 48nm</w:t>
      </w:r>
      <w:r>
        <w:rPr>
          <w:rStyle w:val="FootnoteReference"/>
        </w:rPr>
        <w:footnoteReference w:id="13"/>
      </w:r>
      <w:r w:rsidR="00692E60">
        <w:t xml:space="preserve"> is shown in Figure 11. </w:t>
      </w:r>
    </w:p>
    <w:p w14:paraId="6D2FDA26" w14:textId="77777777" w:rsidR="00C570E9" w:rsidRDefault="00C570E9" w:rsidP="00C570E9">
      <w:pPr>
        <w:keepNext/>
      </w:pPr>
      <w:r w:rsidRPr="00C570E9">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742440"/>
                    </a:xfrm>
                    <a:prstGeom prst="rect">
                      <a:avLst/>
                    </a:prstGeom>
                  </pic:spPr>
                </pic:pic>
              </a:graphicData>
            </a:graphic>
          </wp:inline>
        </w:drawing>
      </w:r>
    </w:p>
    <w:p w14:paraId="63F6F660" w14:textId="4BD98486" w:rsidR="00C570E9" w:rsidRDefault="00C570E9" w:rsidP="00C570E9">
      <w:pPr>
        <w:pStyle w:val="Caption"/>
      </w:pPr>
      <w:r>
        <w:t xml:space="preserve">Figure </w:t>
      </w:r>
      <w:fldSimple w:instr=" SEQ Figure \* ARABIC ">
        <w:r w:rsidR="00794AD0">
          <w:rPr>
            <w:noProof/>
          </w:rPr>
          <w:t>11</w:t>
        </w:r>
      </w:fldSimple>
      <w:r>
        <w:t>Vein Lattice Resonant Frequencies</w:t>
      </w:r>
    </w:p>
    <w:p w14:paraId="1F98354F" w14:textId="55BE8F67" w:rsidR="00C570E9" w:rsidRDefault="00C570E9" w:rsidP="00F01C34">
      <w:r>
        <w:t xml:space="preserve">Wavelengths less that the vein thickness are effectively blocked. Other resonant frequencies include 560nm, 703nm and 1030nm. Figure 12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717165"/>
                    </a:xfrm>
                    <a:prstGeom prst="rect">
                      <a:avLst/>
                    </a:prstGeom>
                  </pic:spPr>
                </pic:pic>
              </a:graphicData>
            </a:graphic>
          </wp:inline>
        </w:drawing>
      </w:r>
    </w:p>
    <w:p w14:paraId="0A9058E2" w14:textId="19E0BD35" w:rsidR="00794AD0" w:rsidRDefault="00794AD0" w:rsidP="00794AD0">
      <w:pPr>
        <w:pStyle w:val="Caption"/>
      </w:pPr>
      <w:r>
        <w:t xml:space="preserve">Figure </w:t>
      </w:r>
      <w:fldSimple w:instr=" SEQ Figure \* ARABIC ">
        <w:r>
          <w:rPr>
            <w:noProof/>
          </w:rPr>
          <w:t>12</w:t>
        </w:r>
      </w:fldSimple>
      <w:r>
        <w:t xml:space="preserve"> Lattice Resonance at 1030nm</w:t>
      </w:r>
    </w:p>
    <w:p w14:paraId="5DC765A1" w14:textId="77777777" w:rsidR="002B11EB" w:rsidRPr="002B11EB" w:rsidRDefault="002B11EB" w:rsidP="002B11EB"/>
    <w:p w14:paraId="3E7E2060" w14:textId="77777777" w:rsidR="005858CA" w:rsidRDefault="005858CA" w:rsidP="00F01C34"/>
    <w:p w14:paraId="51B8A240" w14:textId="2FD99EAC" w:rsidR="001254CC" w:rsidRDefault="001254CC" w:rsidP="00B92B50"/>
    <w:p w14:paraId="4DFE10ED" w14:textId="26DC2A91" w:rsidR="000A1288" w:rsidRDefault="000A1288" w:rsidP="006718A1">
      <w:pPr>
        <w:spacing w:after="0" w:line="240" w:lineRule="auto"/>
        <w:jc w:val="both"/>
        <w:rPr>
          <w:rFonts w:ascii="Times New Roman" w:eastAsiaTheme="minorEastAsia" w:hAnsi="Times New Roman"/>
          <w:b/>
          <w:sz w:val="14"/>
          <w:szCs w:val="14"/>
        </w:rPr>
      </w:pPr>
    </w:p>
    <w:p w14:paraId="6759C7AD" w14:textId="77777777" w:rsidR="000A1288" w:rsidRDefault="000A1288" w:rsidP="006718A1">
      <w:pPr>
        <w:spacing w:after="0" w:line="240" w:lineRule="auto"/>
        <w:jc w:val="both"/>
        <w:rPr>
          <w:rFonts w:ascii="Times New Roman" w:eastAsiaTheme="minorEastAsia" w:hAnsi="Times New Roman"/>
          <w:b/>
          <w:sz w:val="14"/>
          <w:szCs w:val="14"/>
        </w:rPr>
      </w:pPr>
    </w:p>
    <w:p w14:paraId="1E57E57D" w14:textId="77777777" w:rsidR="001254CC" w:rsidRDefault="001254CC" w:rsidP="006718A1">
      <w:pPr>
        <w:spacing w:after="0" w:line="240" w:lineRule="auto"/>
        <w:jc w:val="both"/>
        <w:rPr>
          <w:rFonts w:ascii="Times New Roman" w:eastAsiaTheme="minorEastAsia" w:hAnsi="Times New Roman"/>
          <w:b/>
          <w:sz w:val="14"/>
          <w:szCs w:val="14"/>
        </w:rPr>
      </w:pPr>
    </w:p>
    <w:p w14:paraId="02F2E0D1" w14:textId="77777777" w:rsidR="00F14D31" w:rsidRPr="00105748" w:rsidRDefault="00F14D31" w:rsidP="00F14D31">
      <w:pPr>
        <w:spacing w:after="0" w:line="240" w:lineRule="auto"/>
        <w:jc w:val="both"/>
        <w:rPr>
          <w:rFonts w:ascii="Times New Roman" w:eastAsiaTheme="minorEastAsia" w:hAnsi="Times New Roman"/>
          <w:sz w:val="14"/>
          <w:szCs w:val="14"/>
        </w:rPr>
      </w:pPr>
      <w:r w:rsidRPr="00105748">
        <w:rPr>
          <w:rFonts w:ascii="Times New Roman" w:eastAsiaTheme="minorEastAsia" w:hAnsi="Times New Roman"/>
          <w:b/>
          <w:sz w:val="14"/>
          <w:szCs w:val="14"/>
        </w:rPr>
        <w:t>References</w:t>
      </w:r>
    </w:p>
    <w:p w14:paraId="3AA775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4556ED27" w14:textId="77777777" w:rsidR="00F14D31" w:rsidRPr="00105748" w:rsidRDefault="00F14D31" w:rsidP="00F14D31">
      <w:pPr>
        <w:widowControl w:val="0"/>
        <w:autoSpaceDE w:val="0"/>
        <w:autoSpaceDN w:val="0"/>
        <w:adjustRightInd w:val="0"/>
        <w:spacing w:after="0" w:line="240" w:lineRule="auto"/>
        <w:rPr>
          <w:rFonts w:ascii="Times New Roman" w:hAnsi="Times New Roman"/>
          <w:sz w:val="14"/>
          <w:szCs w:val="14"/>
        </w:rPr>
      </w:pPr>
      <w:r w:rsidRPr="00105748">
        <w:rPr>
          <w:rFonts w:ascii="Times New Roman" w:hAnsi="Times New Roman"/>
          <w:b/>
          <w:color w:val="0831FC"/>
          <w:sz w:val="14"/>
          <w:szCs w:val="14"/>
          <w:vertAlign w:val="superscript"/>
        </w:rPr>
        <w:t>1</w:t>
      </w:r>
      <w:r w:rsidRPr="00105748">
        <w:rPr>
          <w:rFonts w:ascii="Times New Roman" w:hAnsi="Times New Roman"/>
          <w:sz w:val="14"/>
          <w:szCs w:val="14"/>
        </w:rPr>
        <w:t xml:space="preserve">Pollock, C. R., and Michal Lipson. </w:t>
      </w:r>
      <w:r w:rsidRPr="00105748">
        <w:rPr>
          <w:rFonts w:ascii="Times New Roman" w:hAnsi="Times New Roman"/>
          <w:i/>
          <w:iCs/>
          <w:sz w:val="14"/>
          <w:szCs w:val="14"/>
        </w:rPr>
        <w:t xml:space="preserve">Integrated Photonics  </w:t>
      </w:r>
      <w:r w:rsidRPr="00105748">
        <w:rPr>
          <w:rFonts w:ascii="Times New Roman" w:hAnsi="Times New Roman"/>
          <w:sz w:val="14"/>
          <w:szCs w:val="14"/>
        </w:rPr>
        <w:t>. Boston: Kluwer Academic , 2003. Print.</w:t>
      </w:r>
    </w:p>
    <w:p w14:paraId="49E2B8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19D0559F"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6871634A" w14:textId="77777777" w:rsidR="008B7D74" w:rsidRPr="00105748" w:rsidRDefault="008B7D74" w:rsidP="00F14D31">
      <w:pPr>
        <w:rPr>
          <w:sz w:val="14"/>
          <w:szCs w:val="14"/>
        </w:rPr>
      </w:pPr>
    </w:p>
    <w:sectPr w:rsidR="008B7D74" w:rsidRPr="00105748" w:rsidSect="00BA1D83">
      <w:headerReference w:type="default" r:id="rId27"/>
      <w:footerReference w:type="default" r:id="rId2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A37F9" w14:textId="77777777" w:rsidR="00176F71" w:rsidRDefault="00176F71" w:rsidP="00BC1C5A">
      <w:r>
        <w:separator/>
      </w:r>
    </w:p>
  </w:endnote>
  <w:endnote w:type="continuationSeparator" w:id="0">
    <w:p w14:paraId="1C25DE52" w14:textId="77777777" w:rsidR="00176F71" w:rsidRDefault="00176F71"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D7413" w14:textId="77777777" w:rsidR="00176F71" w:rsidRDefault="00176F71" w:rsidP="00BC1C5A">
      <w:r>
        <w:separator/>
      </w:r>
    </w:p>
  </w:footnote>
  <w:footnote w:type="continuationSeparator" w:id="0">
    <w:p w14:paraId="3793511F" w14:textId="77777777" w:rsidR="00176F71" w:rsidRDefault="00176F71" w:rsidP="00BC1C5A">
      <w:r>
        <w:continuationSeparator/>
      </w:r>
    </w:p>
  </w:footnote>
  <w:footnote w:id="1">
    <w:p w14:paraId="5F27E67F" w14:textId="53A2656C" w:rsidR="002508D1" w:rsidRDefault="002508D1">
      <w:pPr>
        <w:pStyle w:val="FootnoteText"/>
      </w:pPr>
      <w:r>
        <w:rPr>
          <w:rStyle w:val="FootnoteReference"/>
        </w:rPr>
        <w:footnoteRef/>
      </w:r>
      <w:r>
        <w:t xml:space="preserve"> Compute Unified Device Architecture is NVIDIA’s GPGPU development platform.</w:t>
      </w:r>
    </w:p>
  </w:footnote>
  <w:footnote w:id="2">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3">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4">
    <w:p w14:paraId="18453BE1" w14:textId="4A31B71A" w:rsidR="00400C2C" w:rsidRDefault="00400C2C">
      <w:pPr>
        <w:pStyle w:val="FootnoteText"/>
      </w:pPr>
      <w:r>
        <w:rPr>
          <w:rStyle w:val="FootnoteReference"/>
        </w:rPr>
        <w:footnoteRef/>
      </w:r>
      <w:r>
        <w:t xml:space="preserve"> A square lattice of rods with spacing of 1.2um, diameter 480um.</w:t>
      </w:r>
    </w:p>
  </w:footnote>
  <w:footnote w:id="5">
    <w:p w14:paraId="02323B09" w14:textId="77777777" w:rsidR="00B468A7" w:rsidRDefault="00B468A7" w:rsidP="00B468A7">
      <w:pPr>
        <w:pStyle w:val="FootnoteText"/>
      </w:pPr>
      <w:r>
        <w:rPr>
          <w:rStyle w:val="FootnoteReference"/>
        </w:rPr>
        <w:footnoteRef/>
      </w:r>
      <w:r>
        <w:t xml:space="preserve"> FDTD assumes that the size of a Yee cell is at most 1/10</w:t>
      </w:r>
      <w:r w:rsidRPr="00B468A7">
        <w:rPr>
          <w:vertAlign w:val="superscript"/>
        </w:rPr>
        <w:t>th</w:t>
      </w:r>
      <w:r>
        <w:t xml:space="preserve"> of the shortest wavelength in the simulation.</w:t>
      </w:r>
    </w:p>
  </w:footnote>
  <w:footnote w:id="6">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7">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8">
    <w:p w14:paraId="7A5BB788" w14:textId="36A684BF" w:rsidR="00A650C3" w:rsidRDefault="00A650C3">
      <w:pPr>
        <w:pStyle w:val="FootnoteText"/>
      </w:pPr>
      <w:r>
        <w:rPr>
          <w:rStyle w:val="FootnoteReference"/>
        </w:rPr>
        <w:footnoteRef/>
      </w:r>
      <w:r>
        <w:t xml:space="preserve"> In FDTD, a time step is defined as the ration of c to the minimum source wavelength, where c is assumed to be 1. </w:t>
      </w:r>
    </w:p>
  </w:footnote>
  <w:footnote w:id="9">
    <w:p w14:paraId="406BD85C" w14:textId="2ECD99B5" w:rsidR="008F41F0" w:rsidRDefault="008F41F0">
      <w:pPr>
        <w:pStyle w:val="FootnoteText"/>
      </w:pPr>
      <w:r>
        <w:rPr>
          <w:rStyle w:val="FootnoteReference"/>
        </w:rPr>
        <w:footnoteRef/>
      </w:r>
      <w:r>
        <w:t xml:space="preserve"> The resolution of the domain in this case is nm per square Yee cell.</w:t>
      </w:r>
    </w:p>
  </w:footnote>
  <w:footnote w:id="10">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1">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2">
    <w:p w14:paraId="439B381D" w14:textId="75BB1261" w:rsidR="00FB469E" w:rsidRDefault="00FB469E">
      <w:pPr>
        <w:pStyle w:val="FootnoteText"/>
      </w:pPr>
      <w:r>
        <w:rPr>
          <w:rStyle w:val="FootnoteReference"/>
        </w:rPr>
        <w:footnoteRef/>
      </w:r>
      <w:r>
        <w:t xml:space="preserve"> A short video of the oscillation is available at </w:t>
      </w:r>
      <w:r w:rsidRPr="00FB469E">
        <w:t>https://www.youtube.com/watch?v=g6s6uwqU-ds</w:t>
      </w:r>
      <w:r>
        <w:t xml:space="preserve"> </w:t>
      </w:r>
    </w:p>
  </w:footnote>
  <w:footnote w:id="13">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2F91F503" w14:textId="77777777" w:rsidR="005A2ABC" w:rsidRPr="00272F8A" w:rsidRDefault="005A2ABC" w:rsidP="00272F8A">
        <w:pPr>
          <w:pStyle w:val="Header"/>
          <w:jc w:val="right"/>
          <w:rPr>
            <w:rFonts w:ascii="Times New Roman" w:hAnsi="Times New Roman"/>
          </w:rPr>
        </w:pPr>
        <w:r>
          <w:rPr>
            <w:rFonts w:ascii="Times New Roman" w:hAnsi="Times New Roman"/>
          </w:rPr>
          <w:t>12/13</w:t>
        </w:r>
        <w:r w:rsidRPr="00272F8A">
          <w:rPr>
            <w:rFonts w:ascii="Times New Roman" w:hAnsi="Times New Roman"/>
          </w:rPr>
          <w:t>/10</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30CD"/>
    <w:rsid w:val="00012263"/>
    <w:rsid w:val="0001546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A1288"/>
    <w:rsid w:val="000A12B8"/>
    <w:rsid w:val="000A78E4"/>
    <w:rsid w:val="000B28E4"/>
    <w:rsid w:val="000B5C3D"/>
    <w:rsid w:val="000C0322"/>
    <w:rsid w:val="000C2A98"/>
    <w:rsid w:val="000E0938"/>
    <w:rsid w:val="000E415C"/>
    <w:rsid w:val="000E6E24"/>
    <w:rsid w:val="000E78D5"/>
    <w:rsid w:val="000F3568"/>
    <w:rsid w:val="001022B0"/>
    <w:rsid w:val="00103D93"/>
    <w:rsid w:val="00105748"/>
    <w:rsid w:val="00123A3B"/>
    <w:rsid w:val="0012490D"/>
    <w:rsid w:val="001254CC"/>
    <w:rsid w:val="001312A7"/>
    <w:rsid w:val="001313BF"/>
    <w:rsid w:val="0013302B"/>
    <w:rsid w:val="001336FF"/>
    <w:rsid w:val="0013398C"/>
    <w:rsid w:val="00141376"/>
    <w:rsid w:val="001465F8"/>
    <w:rsid w:val="00151703"/>
    <w:rsid w:val="0015395A"/>
    <w:rsid w:val="00165067"/>
    <w:rsid w:val="00165198"/>
    <w:rsid w:val="00172F97"/>
    <w:rsid w:val="00176F71"/>
    <w:rsid w:val="001775C0"/>
    <w:rsid w:val="00181E9C"/>
    <w:rsid w:val="00184130"/>
    <w:rsid w:val="00192FD0"/>
    <w:rsid w:val="00193BCD"/>
    <w:rsid w:val="00195800"/>
    <w:rsid w:val="001A404F"/>
    <w:rsid w:val="001A634E"/>
    <w:rsid w:val="001B2DE6"/>
    <w:rsid w:val="001B34CB"/>
    <w:rsid w:val="001B3A54"/>
    <w:rsid w:val="001B5456"/>
    <w:rsid w:val="001C50E3"/>
    <w:rsid w:val="001D55DD"/>
    <w:rsid w:val="001D704E"/>
    <w:rsid w:val="001D7B22"/>
    <w:rsid w:val="001E00D3"/>
    <w:rsid w:val="001E1F50"/>
    <w:rsid w:val="001E4C7A"/>
    <w:rsid w:val="00200FF6"/>
    <w:rsid w:val="00205ED6"/>
    <w:rsid w:val="00206363"/>
    <w:rsid w:val="00213271"/>
    <w:rsid w:val="0021577F"/>
    <w:rsid w:val="002166C1"/>
    <w:rsid w:val="002170B2"/>
    <w:rsid w:val="00217DAE"/>
    <w:rsid w:val="00220CB3"/>
    <w:rsid w:val="00220CF0"/>
    <w:rsid w:val="00223BF8"/>
    <w:rsid w:val="00225E4B"/>
    <w:rsid w:val="00231FB5"/>
    <w:rsid w:val="002328DC"/>
    <w:rsid w:val="00241877"/>
    <w:rsid w:val="002426F0"/>
    <w:rsid w:val="002463D8"/>
    <w:rsid w:val="002508D1"/>
    <w:rsid w:val="002519D7"/>
    <w:rsid w:val="0025240C"/>
    <w:rsid w:val="002541C4"/>
    <w:rsid w:val="00255D6E"/>
    <w:rsid w:val="002565CE"/>
    <w:rsid w:val="00257976"/>
    <w:rsid w:val="00265014"/>
    <w:rsid w:val="00265EF1"/>
    <w:rsid w:val="00267E61"/>
    <w:rsid w:val="00272F8A"/>
    <w:rsid w:val="00282530"/>
    <w:rsid w:val="002849B4"/>
    <w:rsid w:val="0028522D"/>
    <w:rsid w:val="0029147B"/>
    <w:rsid w:val="002A11AF"/>
    <w:rsid w:val="002A2EB8"/>
    <w:rsid w:val="002B11EB"/>
    <w:rsid w:val="002B1A7C"/>
    <w:rsid w:val="002B1C13"/>
    <w:rsid w:val="002C3FBA"/>
    <w:rsid w:val="002C461A"/>
    <w:rsid w:val="002D5E5A"/>
    <w:rsid w:val="002E0A08"/>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43D2"/>
    <w:rsid w:val="00344416"/>
    <w:rsid w:val="003444AD"/>
    <w:rsid w:val="003473AE"/>
    <w:rsid w:val="0036047F"/>
    <w:rsid w:val="003625C0"/>
    <w:rsid w:val="0036386D"/>
    <w:rsid w:val="00366086"/>
    <w:rsid w:val="00375ECE"/>
    <w:rsid w:val="00383289"/>
    <w:rsid w:val="0038349C"/>
    <w:rsid w:val="00391A85"/>
    <w:rsid w:val="00391C06"/>
    <w:rsid w:val="00393FDD"/>
    <w:rsid w:val="003A6F15"/>
    <w:rsid w:val="003B30D9"/>
    <w:rsid w:val="003B4BFA"/>
    <w:rsid w:val="003B5162"/>
    <w:rsid w:val="003B55F6"/>
    <w:rsid w:val="003B5A12"/>
    <w:rsid w:val="003B671D"/>
    <w:rsid w:val="003C251B"/>
    <w:rsid w:val="003C253E"/>
    <w:rsid w:val="003C44E6"/>
    <w:rsid w:val="003C489B"/>
    <w:rsid w:val="003C5850"/>
    <w:rsid w:val="003C6E8D"/>
    <w:rsid w:val="003E408D"/>
    <w:rsid w:val="003F0B2A"/>
    <w:rsid w:val="003F3D64"/>
    <w:rsid w:val="003F3E99"/>
    <w:rsid w:val="003F4986"/>
    <w:rsid w:val="003F5CD0"/>
    <w:rsid w:val="00400C2C"/>
    <w:rsid w:val="0040577B"/>
    <w:rsid w:val="00413799"/>
    <w:rsid w:val="0041432C"/>
    <w:rsid w:val="00415A72"/>
    <w:rsid w:val="00426FA4"/>
    <w:rsid w:val="0042718E"/>
    <w:rsid w:val="0042797B"/>
    <w:rsid w:val="0043026A"/>
    <w:rsid w:val="00440517"/>
    <w:rsid w:val="00442BB2"/>
    <w:rsid w:val="004514CE"/>
    <w:rsid w:val="004546BC"/>
    <w:rsid w:val="00457569"/>
    <w:rsid w:val="004624F1"/>
    <w:rsid w:val="00465997"/>
    <w:rsid w:val="00465E04"/>
    <w:rsid w:val="0047308A"/>
    <w:rsid w:val="0047573C"/>
    <w:rsid w:val="00475A1A"/>
    <w:rsid w:val="00475CE4"/>
    <w:rsid w:val="00483143"/>
    <w:rsid w:val="00494223"/>
    <w:rsid w:val="004A0E14"/>
    <w:rsid w:val="004A2942"/>
    <w:rsid w:val="004A3C47"/>
    <w:rsid w:val="004A7268"/>
    <w:rsid w:val="004B2DB0"/>
    <w:rsid w:val="004C21F4"/>
    <w:rsid w:val="004C31FB"/>
    <w:rsid w:val="004C655D"/>
    <w:rsid w:val="004D195B"/>
    <w:rsid w:val="004D5E71"/>
    <w:rsid w:val="004E0066"/>
    <w:rsid w:val="004E32B6"/>
    <w:rsid w:val="004E34EF"/>
    <w:rsid w:val="004E3FF2"/>
    <w:rsid w:val="004E6381"/>
    <w:rsid w:val="004F1A0B"/>
    <w:rsid w:val="004F5A70"/>
    <w:rsid w:val="004F610D"/>
    <w:rsid w:val="004F752F"/>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34B"/>
    <w:rsid w:val="00546541"/>
    <w:rsid w:val="00547EEE"/>
    <w:rsid w:val="00550162"/>
    <w:rsid w:val="005507F0"/>
    <w:rsid w:val="005511CD"/>
    <w:rsid w:val="00553BA8"/>
    <w:rsid w:val="00573CB1"/>
    <w:rsid w:val="00580ED9"/>
    <w:rsid w:val="00583713"/>
    <w:rsid w:val="005858CA"/>
    <w:rsid w:val="00592A4B"/>
    <w:rsid w:val="00593A9F"/>
    <w:rsid w:val="00597B03"/>
    <w:rsid w:val="005A09DB"/>
    <w:rsid w:val="005A297B"/>
    <w:rsid w:val="005A2ABC"/>
    <w:rsid w:val="005A490E"/>
    <w:rsid w:val="005A6487"/>
    <w:rsid w:val="005B17BB"/>
    <w:rsid w:val="005B35A8"/>
    <w:rsid w:val="005B5801"/>
    <w:rsid w:val="005C01CB"/>
    <w:rsid w:val="005C3FCD"/>
    <w:rsid w:val="005C508F"/>
    <w:rsid w:val="005C69C9"/>
    <w:rsid w:val="005D1E48"/>
    <w:rsid w:val="005D2B37"/>
    <w:rsid w:val="005D56AD"/>
    <w:rsid w:val="005E0753"/>
    <w:rsid w:val="005E3182"/>
    <w:rsid w:val="005F2FDB"/>
    <w:rsid w:val="00605609"/>
    <w:rsid w:val="00607DF4"/>
    <w:rsid w:val="006133D6"/>
    <w:rsid w:val="006136D9"/>
    <w:rsid w:val="00613ACA"/>
    <w:rsid w:val="00614EDC"/>
    <w:rsid w:val="006169EC"/>
    <w:rsid w:val="00621FD4"/>
    <w:rsid w:val="00623960"/>
    <w:rsid w:val="006371DF"/>
    <w:rsid w:val="00642D42"/>
    <w:rsid w:val="006434F1"/>
    <w:rsid w:val="00646D47"/>
    <w:rsid w:val="00650DC0"/>
    <w:rsid w:val="00651AA8"/>
    <w:rsid w:val="0065289A"/>
    <w:rsid w:val="00652E07"/>
    <w:rsid w:val="00654F9E"/>
    <w:rsid w:val="0065528E"/>
    <w:rsid w:val="00656B75"/>
    <w:rsid w:val="006615F6"/>
    <w:rsid w:val="00664B5C"/>
    <w:rsid w:val="0066638C"/>
    <w:rsid w:val="006718A1"/>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DBF"/>
    <w:rsid w:val="007228D4"/>
    <w:rsid w:val="00723643"/>
    <w:rsid w:val="007242C6"/>
    <w:rsid w:val="007251EF"/>
    <w:rsid w:val="00732D21"/>
    <w:rsid w:val="007445B7"/>
    <w:rsid w:val="00746987"/>
    <w:rsid w:val="007508E9"/>
    <w:rsid w:val="0075258D"/>
    <w:rsid w:val="00754335"/>
    <w:rsid w:val="0075741A"/>
    <w:rsid w:val="00760AC8"/>
    <w:rsid w:val="00787F5F"/>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E1A1C"/>
    <w:rsid w:val="007E452D"/>
    <w:rsid w:val="007E5CC6"/>
    <w:rsid w:val="007F392F"/>
    <w:rsid w:val="0080642A"/>
    <w:rsid w:val="00820177"/>
    <w:rsid w:val="00824501"/>
    <w:rsid w:val="008277C2"/>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7070D"/>
    <w:rsid w:val="008738E5"/>
    <w:rsid w:val="00874237"/>
    <w:rsid w:val="00877611"/>
    <w:rsid w:val="008855A6"/>
    <w:rsid w:val="008913ED"/>
    <w:rsid w:val="00895334"/>
    <w:rsid w:val="008A139B"/>
    <w:rsid w:val="008A255C"/>
    <w:rsid w:val="008A2B41"/>
    <w:rsid w:val="008A6F14"/>
    <w:rsid w:val="008B7D74"/>
    <w:rsid w:val="008C146F"/>
    <w:rsid w:val="008C37F6"/>
    <w:rsid w:val="008C4735"/>
    <w:rsid w:val="008D0F7A"/>
    <w:rsid w:val="008E0FED"/>
    <w:rsid w:val="008E2676"/>
    <w:rsid w:val="008E4A5A"/>
    <w:rsid w:val="008F2E48"/>
    <w:rsid w:val="008F41F0"/>
    <w:rsid w:val="008F4266"/>
    <w:rsid w:val="008F68C5"/>
    <w:rsid w:val="008F7150"/>
    <w:rsid w:val="00901474"/>
    <w:rsid w:val="009026F3"/>
    <w:rsid w:val="00912278"/>
    <w:rsid w:val="0092045F"/>
    <w:rsid w:val="0092213A"/>
    <w:rsid w:val="00924B9E"/>
    <w:rsid w:val="00927139"/>
    <w:rsid w:val="00934F6C"/>
    <w:rsid w:val="00937B07"/>
    <w:rsid w:val="0094317E"/>
    <w:rsid w:val="009442DC"/>
    <w:rsid w:val="0094483B"/>
    <w:rsid w:val="0096429A"/>
    <w:rsid w:val="009711BF"/>
    <w:rsid w:val="0098010B"/>
    <w:rsid w:val="009823E0"/>
    <w:rsid w:val="009834B5"/>
    <w:rsid w:val="00986763"/>
    <w:rsid w:val="00992F8B"/>
    <w:rsid w:val="0099310E"/>
    <w:rsid w:val="00994322"/>
    <w:rsid w:val="00996BEC"/>
    <w:rsid w:val="009A202D"/>
    <w:rsid w:val="009B4587"/>
    <w:rsid w:val="009B7309"/>
    <w:rsid w:val="009C00B6"/>
    <w:rsid w:val="009C16E5"/>
    <w:rsid w:val="009C346C"/>
    <w:rsid w:val="009C3BBB"/>
    <w:rsid w:val="009C4665"/>
    <w:rsid w:val="009C4686"/>
    <w:rsid w:val="009C52BC"/>
    <w:rsid w:val="009E4702"/>
    <w:rsid w:val="009E7F29"/>
    <w:rsid w:val="009F61FA"/>
    <w:rsid w:val="00A00BD1"/>
    <w:rsid w:val="00A01703"/>
    <w:rsid w:val="00A02006"/>
    <w:rsid w:val="00A044E3"/>
    <w:rsid w:val="00A20EEC"/>
    <w:rsid w:val="00A21E27"/>
    <w:rsid w:val="00A366F3"/>
    <w:rsid w:val="00A36FB0"/>
    <w:rsid w:val="00A4055F"/>
    <w:rsid w:val="00A45EDC"/>
    <w:rsid w:val="00A511BE"/>
    <w:rsid w:val="00A62152"/>
    <w:rsid w:val="00A62D06"/>
    <w:rsid w:val="00A650C3"/>
    <w:rsid w:val="00A7147A"/>
    <w:rsid w:val="00A74501"/>
    <w:rsid w:val="00A75F56"/>
    <w:rsid w:val="00A77415"/>
    <w:rsid w:val="00A879B6"/>
    <w:rsid w:val="00AA171A"/>
    <w:rsid w:val="00AA4396"/>
    <w:rsid w:val="00AA52FF"/>
    <w:rsid w:val="00AA695F"/>
    <w:rsid w:val="00AA7FF4"/>
    <w:rsid w:val="00AB635C"/>
    <w:rsid w:val="00AB6C13"/>
    <w:rsid w:val="00AB7F18"/>
    <w:rsid w:val="00AD15CD"/>
    <w:rsid w:val="00AD3083"/>
    <w:rsid w:val="00AE13B0"/>
    <w:rsid w:val="00AE359A"/>
    <w:rsid w:val="00AE53E6"/>
    <w:rsid w:val="00AE7D8F"/>
    <w:rsid w:val="00B106A5"/>
    <w:rsid w:val="00B12276"/>
    <w:rsid w:val="00B2174F"/>
    <w:rsid w:val="00B242C1"/>
    <w:rsid w:val="00B336B9"/>
    <w:rsid w:val="00B450F0"/>
    <w:rsid w:val="00B468A7"/>
    <w:rsid w:val="00B55E17"/>
    <w:rsid w:val="00B64815"/>
    <w:rsid w:val="00B64C3C"/>
    <w:rsid w:val="00B65C60"/>
    <w:rsid w:val="00B71BC4"/>
    <w:rsid w:val="00B72412"/>
    <w:rsid w:val="00B73952"/>
    <w:rsid w:val="00B75F0C"/>
    <w:rsid w:val="00B82084"/>
    <w:rsid w:val="00B92257"/>
    <w:rsid w:val="00B92B50"/>
    <w:rsid w:val="00B94B02"/>
    <w:rsid w:val="00B95A09"/>
    <w:rsid w:val="00BA1A99"/>
    <w:rsid w:val="00BA1D83"/>
    <w:rsid w:val="00BA20EF"/>
    <w:rsid w:val="00BA44D6"/>
    <w:rsid w:val="00BA4DE4"/>
    <w:rsid w:val="00BB05FF"/>
    <w:rsid w:val="00BB1415"/>
    <w:rsid w:val="00BB505F"/>
    <w:rsid w:val="00BB5378"/>
    <w:rsid w:val="00BB5AF9"/>
    <w:rsid w:val="00BB6780"/>
    <w:rsid w:val="00BC00C5"/>
    <w:rsid w:val="00BC1413"/>
    <w:rsid w:val="00BC1C5A"/>
    <w:rsid w:val="00BC2DD0"/>
    <w:rsid w:val="00BC54D7"/>
    <w:rsid w:val="00BD0E4B"/>
    <w:rsid w:val="00BD64B7"/>
    <w:rsid w:val="00BF3A12"/>
    <w:rsid w:val="00BF7119"/>
    <w:rsid w:val="00BF7E44"/>
    <w:rsid w:val="00C04C33"/>
    <w:rsid w:val="00C04EE1"/>
    <w:rsid w:val="00C17496"/>
    <w:rsid w:val="00C177C2"/>
    <w:rsid w:val="00C2766B"/>
    <w:rsid w:val="00C34412"/>
    <w:rsid w:val="00C37C21"/>
    <w:rsid w:val="00C37CB1"/>
    <w:rsid w:val="00C435CC"/>
    <w:rsid w:val="00C4507F"/>
    <w:rsid w:val="00C455BB"/>
    <w:rsid w:val="00C5128F"/>
    <w:rsid w:val="00C5226C"/>
    <w:rsid w:val="00C529B2"/>
    <w:rsid w:val="00C5361F"/>
    <w:rsid w:val="00C54B7D"/>
    <w:rsid w:val="00C54D49"/>
    <w:rsid w:val="00C55491"/>
    <w:rsid w:val="00C570E9"/>
    <w:rsid w:val="00C579BC"/>
    <w:rsid w:val="00C60107"/>
    <w:rsid w:val="00C6080B"/>
    <w:rsid w:val="00C67813"/>
    <w:rsid w:val="00C708E7"/>
    <w:rsid w:val="00C75A88"/>
    <w:rsid w:val="00C82653"/>
    <w:rsid w:val="00C87D0E"/>
    <w:rsid w:val="00C975DD"/>
    <w:rsid w:val="00CA4A31"/>
    <w:rsid w:val="00CB1582"/>
    <w:rsid w:val="00CB1B02"/>
    <w:rsid w:val="00CB4101"/>
    <w:rsid w:val="00CB4D89"/>
    <w:rsid w:val="00CB684E"/>
    <w:rsid w:val="00CC4CF5"/>
    <w:rsid w:val="00CC7899"/>
    <w:rsid w:val="00CD3A52"/>
    <w:rsid w:val="00CD531A"/>
    <w:rsid w:val="00CE4482"/>
    <w:rsid w:val="00CE6E6F"/>
    <w:rsid w:val="00CF10F0"/>
    <w:rsid w:val="00CF15A8"/>
    <w:rsid w:val="00CF3631"/>
    <w:rsid w:val="00CF3A65"/>
    <w:rsid w:val="00CF76AF"/>
    <w:rsid w:val="00D00083"/>
    <w:rsid w:val="00D04A4F"/>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31BE"/>
    <w:rsid w:val="00D958D3"/>
    <w:rsid w:val="00D95D2D"/>
    <w:rsid w:val="00D97D70"/>
    <w:rsid w:val="00DB108C"/>
    <w:rsid w:val="00DB1300"/>
    <w:rsid w:val="00DB5562"/>
    <w:rsid w:val="00DB5D37"/>
    <w:rsid w:val="00DB79DC"/>
    <w:rsid w:val="00DC176A"/>
    <w:rsid w:val="00DC1BAE"/>
    <w:rsid w:val="00DC4193"/>
    <w:rsid w:val="00DD01CA"/>
    <w:rsid w:val="00DD1323"/>
    <w:rsid w:val="00DE2D15"/>
    <w:rsid w:val="00DE2F46"/>
    <w:rsid w:val="00DE536A"/>
    <w:rsid w:val="00DF0A65"/>
    <w:rsid w:val="00DF4E28"/>
    <w:rsid w:val="00E06395"/>
    <w:rsid w:val="00E205AC"/>
    <w:rsid w:val="00E2102D"/>
    <w:rsid w:val="00E2292D"/>
    <w:rsid w:val="00E25711"/>
    <w:rsid w:val="00E27A47"/>
    <w:rsid w:val="00E301DE"/>
    <w:rsid w:val="00E30D0A"/>
    <w:rsid w:val="00E32EB1"/>
    <w:rsid w:val="00E44BF8"/>
    <w:rsid w:val="00E475BD"/>
    <w:rsid w:val="00E50B10"/>
    <w:rsid w:val="00E512DA"/>
    <w:rsid w:val="00E67F72"/>
    <w:rsid w:val="00E72437"/>
    <w:rsid w:val="00E73623"/>
    <w:rsid w:val="00E73C81"/>
    <w:rsid w:val="00E761EE"/>
    <w:rsid w:val="00E779CD"/>
    <w:rsid w:val="00E86DA5"/>
    <w:rsid w:val="00E90169"/>
    <w:rsid w:val="00EA136E"/>
    <w:rsid w:val="00EA4D17"/>
    <w:rsid w:val="00EA5FDA"/>
    <w:rsid w:val="00EB01B1"/>
    <w:rsid w:val="00EB1422"/>
    <w:rsid w:val="00EB1CE1"/>
    <w:rsid w:val="00EB3EB2"/>
    <w:rsid w:val="00EC048E"/>
    <w:rsid w:val="00EC6733"/>
    <w:rsid w:val="00EE1E9F"/>
    <w:rsid w:val="00EE1F1C"/>
    <w:rsid w:val="00EE5A32"/>
    <w:rsid w:val="00EE6097"/>
    <w:rsid w:val="00EE67FB"/>
    <w:rsid w:val="00EF3CF5"/>
    <w:rsid w:val="00F013B9"/>
    <w:rsid w:val="00F01C34"/>
    <w:rsid w:val="00F044E2"/>
    <w:rsid w:val="00F05788"/>
    <w:rsid w:val="00F061A4"/>
    <w:rsid w:val="00F1042C"/>
    <w:rsid w:val="00F1070D"/>
    <w:rsid w:val="00F10711"/>
    <w:rsid w:val="00F11340"/>
    <w:rsid w:val="00F1287F"/>
    <w:rsid w:val="00F14D31"/>
    <w:rsid w:val="00F17065"/>
    <w:rsid w:val="00F17541"/>
    <w:rsid w:val="00F17B1F"/>
    <w:rsid w:val="00F34607"/>
    <w:rsid w:val="00F35494"/>
    <w:rsid w:val="00F406BA"/>
    <w:rsid w:val="00F4148C"/>
    <w:rsid w:val="00F47576"/>
    <w:rsid w:val="00F53E56"/>
    <w:rsid w:val="00F60465"/>
    <w:rsid w:val="00F65083"/>
    <w:rsid w:val="00F65FBD"/>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469E"/>
    <w:rsid w:val="00FB536C"/>
    <w:rsid w:val="00FB5B53"/>
    <w:rsid w:val="00FC502F"/>
    <w:rsid w:val="00FC59FF"/>
    <w:rsid w:val="00FD1BAC"/>
    <w:rsid w:val="00FD5516"/>
    <w:rsid w:val="00FD6137"/>
    <w:rsid w:val="00FE7BF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customXml" Target="ink/ink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3.109"/>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06383-E164-DF4C-B3AA-06D42DF5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23</cp:revision>
  <cp:lastPrinted>2022-07-03T01:06:00Z</cp:lastPrinted>
  <dcterms:created xsi:type="dcterms:W3CDTF">2022-07-03T01:06:00Z</dcterms:created>
  <dcterms:modified xsi:type="dcterms:W3CDTF">2022-07-03T16:14:00Z</dcterms:modified>
</cp:coreProperties>
</file>