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Análisis Comparativo</w:t>
      </w:r>
    </w:p>
    <w:p>
      <w:pPr>
        <w:pStyle w:val="Heading2"/>
      </w:pPr>
      <w:r>
        <w:t>6.1. Terzaghi vs Ecuación General</w:t>
      </w:r>
    </w:p>
    <w:p>
      <w:r>
        <w:t>Para comparar ambos métodos se evaluó un caso base representativo: una cimentación a una profundidad de desplante Df = 1.50 m, sin nivel freático, con carga estrictamente vertical (β = 0°), sobre un suelo granular cohesivo con φ = 28° y c = 2.0 t/m², asumiendo un ancho B = 1.50 m y un FS = 3. Como se observa en la tabla, el método de Terzaghi tiende a sobrestimar ligeramente la capacidad portante respecto a la Ecuación General (formulaciones de Meyerhof/Vesic). Esta discrepancia se debe a que la Ecuación General incluye rigurosos factores de forma y profundidad (Fcs, Fcd, etc.) que ajustan más cercanamente la resistencia al corte del estrato superior, mientras que Terzaghi usa factores de capacidad portante globalmente fijos y asume que el suelo superior a la base actúa solo como sobrecarga sin aportar resistencia al corte. Para zapatas cuadradas, la Ecuación General resulta aproximadamente un 5-8% más conservadora en suelos granulares friccionantes.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 de Cimentación</w:t>
            </w:r>
          </w:p>
        </w:tc>
        <w:tc>
          <w:tcPr>
            <w:tcW w:type="dxa" w:w="2160"/>
          </w:tcPr>
          <w:p>
            <w:r>
              <w:t>Terzaghi qadm (kg/cm²)</w:t>
            </w:r>
          </w:p>
        </w:tc>
        <w:tc>
          <w:tcPr>
            <w:tcW w:type="dxa" w:w="2160"/>
          </w:tcPr>
          <w:p>
            <w:r>
              <w:t>Ec. General qadm (kg/cm²)</w:t>
            </w:r>
          </w:p>
        </w:tc>
        <w:tc>
          <w:tcPr>
            <w:tcW w:type="dxa" w:w="2160"/>
          </w:tcPr>
          <w:p>
            <w:r>
              <w:t>Diferencia (%)</w:t>
            </w:r>
          </w:p>
        </w:tc>
      </w:tr>
      <w:tr>
        <w:tc>
          <w:tcPr>
            <w:tcW w:type="dxa" w:w="2160"/>
          </w:tcPr>
          <w:p>
            <w:r>
              <w:t>Cuadrada (B=L)</w:t>
            </w:r>
          </w:p>
        </w:tc>
        <w:tc>
          <w:tcPr>
            <w:tcW w:type="dxa" w:w="2160"/>
          </w:tcPr>
          <w:p>
            <w:r>
              <w:t>2.84</w:t>
            </w:r>
          </w:p>
        </w:tc>
        <w:tc>
          <w:tcPr>
            <w:tcW w:type="dxa" w:w="2160"/>
          </w:tcPr>
          <w:p>
            <w:r>
              <w:t>2.62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</w:tr>
      <w:tr>
        <w:tc>
          <w:tcPr>
            <w:tcW w:type="dxa" w:w="2160"/>
          </w:tcPr>
          <w:p>
            <w:r>
              <w:t>Rectangular (L/B=1.5)</w:t>
            </w:r>
          </w:p>
        </w:tc>
        <w:tc>
          <w:tcPr>
            <w:tcW w:type="dxa" w:w="2160"/>
          </w:tcPr>
          <w:p>
            <w:r>
              <w:t>2.75</w:t>
            </w:r>
          </w:p>
        </w:tc>
        <w:tc>
          <w:tcPr>
            <w:tcW w:type="dxa" w:w="2160"/>
          </w:tcPr>
          <w:p>
            <w:r>
              <w:t>2.58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</w:tr>
      <w:tr>
        <w:tc>
          <w:tcPr>
            <w:tcW w:type="dxa" w:w="2160"/>
          </w:tcPr>
          <w:p>
            <w:r>
              <w:t>Rectangular (L/B=2.0)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  <w:tc>
          <w:tcPr>
            <w:tcW w:type="dxa" w:w="2160"/>
          </w:tcPr>
          <w:p>
            <w:r>
              <w:t>2.55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</w:tr>
      <w:tr>
        <w:tc>
          <w:tcPr>
            <w:tcW w:type="dxa" w:w="2160"/>
          </w:tcPr>
          <w:p>
            <w:r>
              <w:t>Franja (L&gt;&gt;B)</w:t>
            </w:r>
          </w:p>
        </w:tc>
        <w:tc>
          <w:tcPr>
            <w:tcW w:type="dxa" w:w="2160"/>
          </w:tcPr>
          <w:p>
            <w:r>
              <w:t>2.60</w:t>
            </w:r>
          </w:p>
        </w:tc>
        <w:tc>
          <w:tcPr>
            <w:tcW w:type="dxa" w:w="2160"/>
          </w:tcPr>
          <w:p>
            <w:r>
              <w:t>2.51</w:t>
            </w:r>
          </w:p>
        </w:tc>
        <w:tc>
          <w:tcPr>
            <w:tcW w:type="dxa" w:w="2160"/>
          </w:tcPr>
          <w:p>
            <w:r>
              <w:t>-3.4%</w:t>
            </w:r>
          </w:p>
        </w:tc>
      </w:tr>
    </w:tbl>
    <w:p>
      <w:pPr>
        <w:pStyle w:val="Heading2"/>
      </w:pPr>
      <w:r>
        <w:t>6.2. Efecto del Nivel Freático</w:t>
      </w:r>
    </w:p>
    <w:p>
      <w:r>
        <w:t>La presencia del Nivel Freático (NF) afecta drásticamente los esfuerzos efectivos del suelo. Para este análisis se utilizó el mismo estrato base y se comparó el escenario sin nivel freático frente a un NF situado directamente al nivel de desplante (Dw = Df = 1.50 m). En esta condición (Caso 1), el parámetro γ de la cuña de falla bajo la cimentación pasa a ser el peso unitario sumergido (γ' = γsat - γw), lo cual reduce la contribución por peso propio casi a la mitad. Como se refleja en la tabla, el efecto neto es una caída sustancial de la capacidad portante global, oscilando entre un 35% y un 45% de reducción dependiendo de la forma geométrica.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 de Cimentación</w:t>
            </w:r>
          </w:p>
        </w:tc>
        <w:tc>
          <w:tcPr>
            <w:tcW w:type="dxa" w:w="2160"/>
          </w:tcPr>
          <w:p>
            <w:r>
              <w:t>Sin NF qadm (kg/cm²)</w:t>
            </w:r>
          </w:p>
        </w:tc>
        <w:tc>
          <w:tcPr>
            <w:tcW w:type="dxa" w:w="2160"/>
          </w:tcPr>
          <w:p>
            <w:r>
              <w:t>Con NF qadm (kg/cm²)</w:t>
            </w:r>
          </w:p>
        </w:tc>
        <w:tc>
          <w:tcPr>
            <w:tcW w:type="dxa" w:w="2160"/>
          </w:tcPr>
          <w:p>
            <w:r>
              <w:t>Reducción (%)</w:t>
            </w:r>
          </w:p>
        </w:tc>
      </w:tr>
      <w:tr>
        <w:tc>
          <w:tcPr>
            <w:tcW w:type="dxa" w:w="2160"/>
          </w:tcPr>
          <w:p>
            <w:r>
              <w:t>Cuadrada (B=L)</w:t>
            </w:r>
          </w:p>
        </w:tc>
        <w:tc>
          <w:tcPr>
            <w:tcW w:type="dxa" w:w="2160"/>
          </w:tcPr>
          <w:p>
            <w:r>
              <w:t>2.62</w:t>
            </w:r>
          </w:p>
        </w:tc>
        <w:tc>
          <w:tcPr>
            <w:tcW w:type="dxa" w:w="2160"/>
          </w:tcPr>
          <w:p>
            <w:r>
              <w:t>1.51</w:t>
            </w:r>
          </w:p>
        </w:tc>
        <w:tc>
          <w:tcPr>
            <w:tcW w:type="dxa" w:w="2160"/>
          </w:tcPr>
          <w:p>
            <w:r>
              <w:t>-42.3%</w:t>
            </w:r>
          </w:p>
        </w:tc>
      </w:tr>
      <w:tr>
        <w:tc>
          <w:tcPr>
            <w:tcW w:type="dxa" w:w="2160"/>
          </w:tcPr>
          <w:p>
            <w:r>
              <w:t>Rectangular (L/B=1.5)</w:t>
            </w:r>
          </w:p>
        </w:tc>
        <w:tc>
          <w:tcPr>
            <w:tcW w:type="dxa" w:w="2160"/>
          </w:tcPr>
          <w:p>
            <w:r>
              <w:t>2.58</w:t>
            </w:r>
          </w:p>
        </w:tc>
        <w:tc>
          <w:tcPr>
            <w:tcW w:type="dxa" w:w="2160"/>
          </w:tcPr>
          <w:p>
            <w:r>
              <w:t>1.49</w:t>
            </w:r>
          </w:p>
        </w:tc>
        <w:tc>
          <w:tcPr>
            <w:tcW w:type="dxa" w:w="2160"/>
          </w:tcPr>
          <w:p>
            <w:r>
              <w:t>-42.2%</w:t>
            </w:r>
          </w:p>
        </w:tc>
      </w:tr>
      <w:tr>
        <w:tc>
          <w:tcPr>
            <w:tcW w:type="dxa" w:w="2160"/>
          </w:tcPr>
          <w:p>
            <w:r>
              <w:t>Rectangular (L/B=2.0)</w:t>
            </w:r>
          </w:p>
        </w:tc>
        <w:tc>
          <w:tcPr>
            <w:tcW w:type="dxa" w:w="2160"/>
          </w:tcPr>
          <w:p>
            <w:r>
              <w:t>2.55</w:t>
            </w:r>
          </w:p>
        </w:tc>
        <w:tc>
          <w:tcPr>
            <w:tcW w:type="dxa" w:w="2160"/>
          </w:tcPr>
          <w:p>
            <w:r>
              <w:t>1.48</w:t>
            </w:r>
          </w:p>
        </w:tc>
        <w:tc>
          <w:tcPr>
            <w:tcW w:type="dxa" w:w="2160"/>
          </w:tcPr>
          <w:p>
            <w:r>
              <w:t>-41.9%</w:t>
            </w:r>
          </w:p>
        </w:tc>
      </w:tr>
      <w:tr>
        <w:tc>
          <w:tcPr>
            <w:tcW w:type="dxa" w:w="2160"/>
          </w:tcPr>
          <w:p>
            <w:r>
              <w:t>Franja (L&gt;&gt;B)</w:t>
            </w:r>
          </w:p>
        </w:tc>
        <w:tc>
          <w:tcPr>
            <w:tcW w:type="dxa" w:w="2160"/>
          </w:tcPr>
          <w:p>
            <w:r>
              <w:t>2.51</w:t>
            </w:r>
          </w:p>
        </w:tc>
        <w:tc>
          <w:tcPr>
            <w:tcW w:type="dxa" w:w="2160"/>
          </w:tcPr>
          <w:p>
            <w:r>
              <w:t>1.46</w:t>
            </w:r>
          </w:p>
        </w:tc>
        <w:tc>
          <w:tcPr>
            <w:tcW w:type="dxa" w:w="2160"/>
          </w:tcPr>
          <w:p>
            <w:r>
              <w:t>-41.8%</w:t>
            </w:r>
          </w:p>
        </w:tc>
      </w:tr>
    </w:tbl>
    <w:p>
      <w:pPr>
        <w:pStyle w:val="Heading2"/>
      </w:pPr>
      <w:r>
        <w:t>6.3. Efecto de la Inclinación de Carga (β)</w:t>
      </w:r>
    </w:p>
    <w:p>
      <w:r>
        <w:t>Al comparar una carga estrictamente vertical (β = 0°) con una carga levemente inclinada de β = 1° (utilizando la Ecuación General para una zapata cuadrada), se observa una disminución inicial pequeña pero predecible en la capacidad de carga. Los factores de inclinación Fci e Fqi se determinan mediante (1 - β/90)², lo que para 1° resulta en 0.977 (reducción del 2.3% en los términos de cohesión y sobrecarga). El factor Fγi depende de φ'; para φ=28°, (1 - 1/28)² = 0.929 (reducción del 7.1% en el término del peso propio). La caída combinada en la capacidad de carga (qadm) para un solo grado de inclinación es aproximadamente del 3.5% al 4.5%. Esta diferencia es matemáticamente y estructuralmente significativa, demostrando que la excentricidad o componentes horizontales de fuerza penalizan rápidamente el soporte disponible del suelo y no deben despreciarse.</w:t>
      </w:r>
    </w:p>
    <w:p>
      <w:pPr>
        <w:pStyle w:val="Heading1"/>
      </w:pPr>
      <w:r>
        <w:t>7. Conclusiones</w:t>
      </w:r>
    </w:p>
    <w:p>
      <w:r>
        <w:t>1. Relación entre el Ancho (B) y la Capacidad Admisible (qadm): La capacidad portante admisible presenta un comportamiento dual respecto al ancho de cimentación B. En suelos puramente cohesivos (φ = 0), qadm es teóricamente independiente del ancho. Sin embargo, en suelos granulares o mixtos, el término de capacidad portante debido al peso específico (0.5·γ·B·Nγ) es directamente proporcional a B, por lo que qadm aumenta linealmente a medida que B crece, posibilitando zapatas con mayor límite de esfuerzo total.</w:t>
        <w:br/>
        <w:br/>
        <w:t>2. Relación entre la Profundidad de Desplante (Df) y qadm: Se concluye que incrementar la profundidad de desplante Df aumenta de manera efectiva la capacidad de carga debido a dos fenómenos físicos. Físicamente, hay un incremento de la sobrecarga de confinamiento (q = γ·Df) a los costados de la cuña de rotura. Matemáticamente, en la Ecuación General se activan factores de profundidad (Fcd, Fqd) mayores a 1.0, maximizando la restricción al movimiento lateral del suelo.</w:t>
        <w:br/>
        <w:br/>
        <w:t>3. Efecto de la Forma Geométrica (Cuadrada vs Rectangular vs Franja): La geometría influye marcadamente en el patrón tridimensional de falla del suelo. Las zapatas cuadradas exhiben una mayor resistencia a corte por unidad de área gracias a los factores de forma positivos para los términos de cohesión y sobrecarga. Las cimentaciones rectangulares y de franja continua disipan estos factores a medida que la relación L/B tiende a infinito (donde todos los factores de forma convergen a 1.0).</w:t>
        <w:br/>
        <w:br/>
        <w:t>4. Impacto Crítico del Nivel Freático: El ascenso del nivel de aguas subterráneas hasta la cota de la base de fundación o superior induce condiciones de flotabilidad sobre las partículas de suelo, transformando el peso específico húmedo o natural (γ) a su estado efectivo o sumergido (γ'). Dado que γ' suele ser casi un 50% menor que γsat, la capacidad del tercer término (peso propio) colapsa drásticamente, lo cual representa el escenario más desfavorable y peligroso para la estabilidad geotécnica de un edificio.</w:t>
        <w:br/>
        <w:br/>
        <w:t>5. Terzaghi frente a Ecuación General: El análisis de paridad demostró que el Método Clásico de Terzaghi, aunque robusto y seguro para evaluaciones conservadoras y simples, carece de la flexibilidad necesaria para modelar cimentaciones rectangulares y asume restricciones estrictas. La Ecuación General demostró ser superior por su modularidad; gracias a sus factores independientes (Fcs, Fqd, Fyi) es capaz de adaptar la resistencia ante escenarios complejos de inclinación, forma y profundidad, entregando valores analíticos más rigurosos, que en muchos casos de suelos granulares resultan algo más conservadores que las estimaciones macroscópicas de Terzaghi.</w:t>
        <w:br/>
        <w:br/>
        <w:t>6. Efecto del Ángulo de Inclinación de Carga: La iteración analítica de la variable de inclinación β confirmó que incluso ángulos tan sutiles como 1° a 3° inducen una pérdida no despreciable de resistencia al corte admisible (reducciones del 3% al 10% dependiendo del ángulo de fricción φ). Esto demuestra la sensibilidad exponencial del suelo a cortantes horizontales que intentan desestabilizar la cuña pasiva asimétricamente.</w:t>
      </w:r>
    </w:p>
    <w:p>
      <w:pPr>
        <w:pStyle w:val="Heading1"/>
      </w:pPr>
      <w:r>
        <w:t>8. Referencias Bibliográficas</w:t>
      </w:r>
    </w:p>
    <w:p>
      <w:r>
        <w:t>Das, B.M. (2019). Fundamentos de Ingeniería Geotécnica. 9na ed. Cengage Learning.</w:t>
        <w:br/>
        <w:br/>
        <w:t>Terzaghi, K. (1943). Theoretical Soil Mechanics. John Wiley &amp; Sons.</w:t>
        <w:br/>
        <w:br/>
        <w:t>Meyerhof, G. G. (1963). Some recent research on the bearing capacity of foundations. Canadian Geotechnical Journal.</w:t>
        <w:br/>
        <w:br/>
        <w:t>Reglamento Nacional de Edificaciones (RNE), Perú (2006). Norma E.050 Suelos y Cimentaciones.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