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TradingPlatformNET8 — TAD/LLD v0.2 (איפיון טכני קצר)</w:t>
      </w:r>
    </w:p>
    <w:p>
      <w:r>
        <w:t>מיקוד: סכימה, מחלקות, פונקציות, ג׳ובים, ו‑Prompts Spot.</w:t>
      </w:r>
    </w:p>
    <w:p>
      <w:pPr>
        <w:pStyle w:val="Heading1"/>
      </w:pPr>
      <w:r>
        <w:t>1) Solution Layout</w:t>
      </w:r>
    </w:p>
    <w:p>
      <w:pPr>
        <w:pStyle w:val="ListBullet"/>
      </w:pPr>
      <w:r>
        <w:t>Api (Carter), Application (UseCases/Jobs), Domain (Records/Interfaces), Infrastructure (Dapper/HTTP), Tests (xUnit).</w:t>
      </w:r>
    </w:p>
    <w:p>
      <w:pPr>
        <w:pStyle w:val="Heading1"/>
      </w:pPr>
      <w:r>
        <w:t>2) Schema (DDL תקציר)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נושא / Topic</w:t>
            </w:r>
          </w:p>
        </w:tc>
        <w:tc>
          <w:tcPr>
            <w:tcW w:type="dxa" w:w="4320"/>
          </w:tcPr>
          <w:p>
            <w:r>
              <w:t>פירוט קצר / Detail</w:t>
            </w:r>
          </w:p>
        </w:tc>
      </w:tr>
      <w:tr>
        <w:tc>
          <w:tcPr>
            <w:tcW w:type="dxa" w:w="4320"/>
          </w:tcPr>
          <w:p>
            <w:r>
              <w:t>dbo.Symbols</w:t>
            </w:r>
          </w:p>
        </w:tc>
        <w:tc>
          <w:tcPr>
            <w:tcW w:type="dxa" w:w="4320"/>
          </w:tcPr>
          <w:p>
            <w:r>
              <w:t>Symbol NVARCHAR(20) PK, Name NVARCHAR(200), Exchange NVARCHAR(50), Country NVARCHAR(50), Sector NVARCHAR(50), IsActive BIT.</w:t>
            </w:r>
          </w:p>
        </w:tc>
      </w:tr>
      <w:tr>
        <w:tc>
          <w:tcPr>
            <w:tcW w:type="dxa" w:w="4320"/>
          </w:tcPr>
          <w:p>
            <w:r>
              <w:t>dbo.Prices</w:t>
            </w:r>
          </w:p>
        </w:tc>
        <w:tc>
          <w:tcPr>
            <w:tcW w:type="dxa" w:w="4320"/>
          </w:tcPr>
          <w:p>
            <w:r>
              <w:t>Id BIGINT ID, Symbol NVARCHAR(20) FK, Dt DATETIME2, Open DECIMAL(18,4), High, Low, Close, Volume BIGINT, Source NVARCHAR(50); IX(Symbol, Dt).</w:t>
            </w:r>
          </w:p>
        </w:tc>
      </w:tr>
      <w:tr>
        <w:tc>
          <w:tcPr>
            <w:tcW w:type="dxa" w:w="4320"/>
          </w:tcPr>
          <w:p>
            <w:r>
              <w:t>dbo.RawNews</w:t>
            </w:r>
          </w:p>
        </w:tc>
        <w:tc>
          <w:tcPr>
            <w:tcW w:type="dxa" w:w="4320"/>
          </w:tcPr>
          <w:p>
            <w:r>
              <w:t>Id BIGINT ID, Source NVARCHAR(50), Url NVARCHAR(400), Headline NVARCHAR(500), BodyHash BINARY(32), PublishedAt DATETIME2, Lang NVARCHAR(10).</w:t>
            </w:r>
          </w:p>
        </w:tc>
      </w:tr>
      <w:tr>
        <w:tc>
          <w:tcPr>
            <w:tcW w:type="dxa" w:w="4320"/>
          </w:tcPr>
          <w:p>
            <w:r>
              <w:t>dbo.Filings</w:t>
            </w:r>
          </w:p>
        </w:tc>
        <w:tc>
          <w:tcPr>
            <w:tcW w:type="dxa" w:w="4320"/>
          </w:tcPr>
          <w:p>
            <w:r>
              <w:t>Id, Symbol, Type, PeriodStart/End, Url, PublishedAt.</w:t>
            </w:r>
          </w:p>
        </w:tc>
      </w:tr>
      <w:tr>
        <w:tc>
          <w:tcPr>
            <w:tcW w:type="dxa" w:w="4320"/>
          </w:tcPr>
          <w:p>
            <w:r>
              <w:t>dbo.AnalystReports</w:t>
            </w:r>
          </w:p>
        </w:tc>
        <w:tc>
          <w:tcPr>
            <w:tcW w:type="dxa" w:w="4320"/>
          </w:tcPr>
          <w:p>
            <w:r>
              <w:t>Id, Symbol, Firm, RatingFrom/To, Target, Url, PublishedAt.</w:t>
            </w:r>
          </w:p>
        </w:tc>
      </w:tr>
      <w:tr>
        <w:tc>
          <w:tcPr>
            <w:tcW w:type="dxa" w:w="4320"/>
          </w:tcPr>
          <w:p>
            <w:r>
              <w:t>dbo.Attributions</w:t>
            </w:r>
          </w:p>
        </w:tc>
        <w:tc>
          <w:tcPr>
            <w:tcW w:type="dxa" w:w="4320"/>
          </w:tcPr>
          <w:p>
            <w:r>
              <w:t>Id, ItemType TINYINT, ItemId BIGINT, Symbol NVARCHAR(20), Direction SMALLINT, Confidence FLOAT, HorizonD SMALLINT; IX(ItemType,ItemId), IX(Symbol,ItemType).</w:t>
            </w:r>
          </w:p>
        </w:tc>
      </w:tr>
      <w:tr>
        <w:tc>
          <w:tcPr>
            <w:tcW w:type="dxa" w:w="4320"/>
          </w:tcPr>
          <w:p>
            <w:r>
              <w:t>dbo.Features</w:t>
            </w:r>
          </w:p>
        </w:tc>
        <w:tc>
          <w:tcPr>
            <w:tcW w:type="dxa" w:w="4320"/>
          </w:tcPr>
          <w:p>
            <w:r>
              <w:t>Id, Symbol, Dt, FeatureName NVARCHAR(80), Value FLOAT, Window INT; IX(Symbol,Dt,FeatureName).</w:t>
            </w:r>
          </w:p>
        </w:tc>
      </w:tr>
      <w:tr>
        <w:tc>
          <w:tcPr>
            <w:tcW w:type="dxa" w:w="4320"/>
          </w:tcPr>
          <w:p>
            <w:r>
              <w:t>dbo.Signals</w:t>
            </w:r>
          </w:p>
        </w:tc>
        <w:tc>
          <w:tcPr>
            <w:tcW w:type="dxa" w:w="4320"/>
          </w:tcPr>
          <w:p>
            <w:r>
              <w:t>Id, Symbol, Dt, SignalType NVARCHAR(40), Score FLOAT, Horizon SMALLINT, ModelVersion NVARCHAR(40).</w:t>
            </w:r>
          </w:p>
        </w:tc>
      </w:tr>
    </w:tbl>
    <w:p/>
    <w:p>
      <w:pPr>
        <w:pStyle w:val="Heading1"/>
      </w:pPr>
      <w:r>
        <w:t>3) Interfaces &amp; Key Classes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נושא / Topic</w:t>
            </w:r>
          </w:p>
        </w:tc>
        <w:tc>
          <w:tcPr>
            <w:tcW w:type="dxa" w:w="4320"/>
          </w:tcPr>
          <w:p>
            <w:r>
              <w:t>פירוט קצר / Detail</w:t>
            </w:r>
          </w:p>
        </w:tc>
      </w:tr>
      <w:tr>
        <w:tc>
          <w:tcPr>
            <w:tcW w:type="dxa" w:w="4320"/>
          </w:tcPr>
          <w:p>
            <w:r>
              <w:t>ISymbolRegistry</w:t>
            </w:r>
          </w:p>
        </w:tc>
        <w:tc>
          <w:tcPr>
            <w:tcW w:type="dxa" w:w="4320"/>
          </w:tcPr>
          <w:p>
            <w:r>
              <w:t>TryMatchAsync(text) ⇒ symbol?; GetAllAsync(); UpsertAsync(list).</w:t>
            </w:r>
          </w:p>
        </w:tc>
      </w:tr>
      <w:tr>
        <w:tc>
          <w:tcPr>
            <w:tcW w:type="dxa" w:w="4320"/>
          </w:tcPr>
          <w:p>
            <w:r>
              <w:t>IRawNewsRepository</w:t>
            </w:r>
          </w:p>
        </w:tc>
        <w:tc>
          <w:tcPr>
            <w:tcW w:type="dxa" w:w="4320"/>
          </w:tcPr>
          <w:p>
            <w:r>
              <w:t>UpsertAsync(items); GetLatestAsync(symbol,take).</w:t>
            </w:r>
          </w:p>
        </w:tc>
      </w:tr>
      <w:tr>
        <w:tc>
          <w:tcPr>
            <w:tcW w:type="dxa" w:w="4320"/>
          </w:tcPr>
          <w:p>
            <w:r>
              <w:t>IPriceRepository</w:t>
            </w:r>
          </w:p>
        </w:tc>
        <w:tc>
          <w:tcPr>
            <w:tcW w:type="dxa" w:w="4320"/>
          </w:tcPr>
          <w:p>
            <w:r>
              <w:t>BackfillAsync(symbol, fromDate); UpsertDailyAsync(items).</w:t>
            </w:r>
          </w:p>
        </w:tc>
      </w:tr>
      <w:tr>
        <w:tc>
          <w:tcPr>
            <w:tcW w:type="dxa" w:w="4320"/>
          </w:tcPr>
          <w:p>
            <w:r>
              <w:t>IFilingsRepository</w:t>
            </w:r>
          </w:p>
        </w:tc>
        <w:tc>
          <w:tcPr>
            <w:tcW w:type="dxa" w:w="4320"/>
          </w:tcPr>
          <w:p>
            <w:r>
              <w:t>UpsertAsync(items).</w:t>
            </w:r>
          </w:p>
        </w:tc>
      </w:tr>
      <w:tr>
        <w:tc>
          <w:tcPr>
            <w:tcW w:type="dxa" w:w="4320"/>
          </w:tcPr>
          <w:p>
            <w:r>
              <w:t>IAnalystReportsRepository</w:t>
            </w:r>
          </w:p>
        </w:tc>
        <w:tc>
          <w:tcPr>
            <w:tcW w:type="dxa" w:w="4320"/>
          </w:tcPr>
          <w:p>
            <w:r>
              <w:t>UpsertAsync(items).</w:t>
            </w:r>
          </w:p>
        </w:tc>
      </w:tr>
      <w:tr>
        <w:tc>
          <w:tcPr>
            <w:tcW w:type="dxa" w:w="4320"/>
          </w:tcPr>
          <w:p>
            <w:r>
              <w:t>IAttributionService</w:t>
            </w:r>
          </w:p>
        </w:tc>
        <w:tc>
          <w:tcPr>
            <w:tcW w:type="dxa" w:w="4320"/>
          </w:tcPr>
          <w:p>
            <w:r>
              <w:t>LinkAsync(item) ⇒ [(symbol, direction, confidence, horizonD)].</w:t>
            </w:r>
          </w:p>
        </w:tc>
      </w:tr>
      <w:tr>
        <w:tc>
          <w:tcPr>
            <w:tcW w:type="dxa" w:w="4320"/>
          </w:tcPr>
          <w:p>
            <w:r>
              <w:t>IFeatureService</w:t>
            </w:r>
          </w:p>
        </w:tc>
        <w:tc>
          <w:tcPr>
            <w:tcW w:type="dxa" w:w="4320"/>
          </w:tcPr>
          <w:p>
            <w:r>
              <w:t>ComputeAsync(symbol, dtRange) ⇒ features.</w:t>
            </w:r>
          </w:p>
        </w:tc>
      </w:tr>
      <w:tr>
        <w:tc>
          <w:tcPr>
            <w:tcW w:type="dxa" w:w="4320"/>
          </w:tcPr>
          <w:p>
            <w:r>
              <w:t>ISignalService</w:t>
            </w:r>
          </w:p>
        </w:tc>
        <w:tc>
          <w:tcPr>
            <w:tcW w:type="dxa" w:w="4320"/>
          </w:tcPr>
          <w:p>
            <w:r>
              <w:t>GenerateAsync(symbol, horizon) ⇒ signals.</w:t>
            </w:r>
          </w:p>
        </w:tc>
      </w:tr>
    </w:tbl>
    <w:p/>
    <w:p>
      <w:pPr>
        <w:pStyle w:val="Heading1"/>
      </w:pPr>
      <w:r>
        <w:t>4) Methods (מטרות קצרות)</w:t>
      </w:r>
    </w:p>
    <w:p>
      <w:pPr>
        <w:pStyle w:val="ListBullet"/>
      </w:pPr>
      <w:r>
        <w:t>Attribution.LinkAsync: קלט ידיעה/דוח → התאמות לסימבולים (NLP/חוקים) + Direction (+/‑/0) + Confidence (0–1).</w:t>
      </w:r>
    </w:p>
    <w:p>
      <w:pPr>
        <w:pStyle w:val="ListBullet"/>
      </w:pPr>
      <w:r>
        <w:t>PriceRepository.BackfillAsync: יבוא שנה אחורה; יומי: UpsertDailyAsync.</w:t>
      </w:r>
    </w:p>
    <w:p>
      <w:pPr>
        <w:pStyle w:val="ListBullet"/>
      </w:pPr>
      <w:r>
        <w:t>NewsIngestion.RunOnceAsync: מקורות RSS→Normalize→Symbol Match→Upsert RawNews→Create Attributions.</w:t>
      </w:r>
    </w:p>
    <w:p>
      <w:pPr>
        <w:pStyle w:val="ListBullet"/>
      </w:pPr>
      <w:r>
        <w:t>Features.ComputeAsync: טכני (RSI/MA/Volatility) + NLP (sentiment/topic) → dbo.Features.</w:t>
      </w:r>
    </w:p>
    <w:p>
      <w:pPr>
        <w:pStyle w:val="ListBullet"/>
      </w:pPr>
      <w:r>
        <w:t>Signals.GenerateAsync: שימוש ב‑Features להפקת ציון/כיוון וחיזוי 30–60 יום.</w:t>
      </w:r>
    </w:p>
    <w:p>
      <w:pPr>
        <w:pStyle w:val="Heading1"/>
      </w:pPr>
      <w:r>
        <w:t>5) Jobs — ג׳ובים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נושא / Topic</w:t>
            </w:r>
          </w:p>
        </w:tc>
        <w:tc>
          <w:tcPr>
            <w:tcW w:type="dxa" w:w="4320"/>
          </w:tcPr>
          <w:p>
            <w:r>
              <w:t>פירוט קצר / Detail</w:t>
            </w:r>
          </w:p>
        </w:tc>
      </w:tr>
      <w:tr>
        <w:tc>
          <w:tcPr>
            <w:tcW w:type="dxa" w:w="4320"/>
          </w:tcPr>
          <w:p>
            <w:r>
              <w:t>SymbolsSeedJob (חד-פעמי)</w:t>
            </w:r>
          </w:p>
        </w:tc>
        <w:tc>
          <w:tcPr>
            <w:tcW w:type="dxa" w:w="4320"/>
          </w:tcPr>
          <w:p>
            <w:r>
              <w:t>טעינת סמלים ל‑dbo.Symbols (Reference).</w:t>
            </w:r>
          </w:p>
        </w:tc>
      </w:tr>
      <w:tr>
        <w:tc>
          <w:tcPr>
            <w:tcW w:type="dxa" w:w="4320"/>
          </w:tcPr>
          <w:p>
            <w:r>
              <w:t>PricesBackfillJob</w:t>
            </w:r>
          </w:p>
        </w:tc>
        <w:tc>
          <w:tcPr>
            <w:tcW w:type="dxa" w:w="4320"/>
          </w:tcPr>
          <w:p>
            <w:r>
              <w:t>שנה אחורה לכל סימבול; לאחר מכן עדכון יומי.</w:t>
            </w:r>
          </w:p>
        </w:tc>
      </w:tr>
      <w:tr>
        <w:tc>
          <w:tcPr>
            <w:tcW w:type="dxa" w:w="4320"/>
          </w:tcPr>
          <w:p>
            <w:r>
              <w:t>NewsBackfillJob</w:t>
            </w:r>
          </w:p>
        </w:tc>
        <w:tc>
          <w:tcPr>
            <w:tcW w:type="dxa" w:w="4320"/>
          </w:tcPr>
          <w:p>
            <w:r>
              <w:t>שנה אחורה; עדכון יומי.</w:t>
            </w:r>
          </w:p>
        </w:tc>
      </w:tr>
      <w:tr>
        <w:tc>
          <w:tcPr>
            <w:tcW w:type="dxa" w:w="4320"/>
          </w:tcPr>
          <w:p>
            <w:r>
              <w:t>FilingsBackfillJob</w:t>
            </w:r>
          </w:p>
        </w:tc>
        <w:tc>
          <w:tcPr>
            <w:tcW w:type="dxa" w:w="4320"/>
          </w:tcPr>
          <w:p>
            <w:r>
              <w:t>שנה אחורה; עדכון יומי/בעת פרסום.</w:t>
            </w:r>
          </w:p>
        </w:tc>
      </w:tr>
      <w:tr>
        <w:tc>
          <w:tcPr>
            <w:tcW w:type="dxa" w:w="4320"/>
          </w:tcPr>
          <w:p>
            <w:r>
              <w:t>AnalystBackfillJob</w:t>
            </w:r>
          </w:p>
        </w:tc>
        <w:tc>
          <w:tcPr>
            <w:tcW w:type="dxa" w:w="4320"/>
          </w:tcPr>
          <w:p>
            <w:r>
              <w:t>שנה אחורה; עדכון יומי.</w:t>
            </w:r>
          </w:p>
        </w:tc>
      </w:tr>
      <w:tr>
        <w:tc>
          <w:tcPr>
            <w:tcW w:type="dxa" w:w="4320"/>
          </w:tcPr>
          <w:p>
            <w:r>
              <w:t>DailyAggregationJob</w:t>
            </w:r>
          </w:p>
        </w:tc>
        <w:tc>
          <w:tcPr>
            <w:tcW w:type="dxa" w:w="4320"/>
          </w:tcPr>
          <w:p>
            <w:r>
              <w:t>חישוב Features/Signals יומי.</w:t>
            </w:r>
          </w:p>
        </w:tc>
      </w:tr>
    </w:tbl>
    <w:p/>
    <w:p>
      <w:pPr>
        <w:pStyle w:val="Heading1"/>
      </w:pPr>
      <w:r>
        <w:t>6) Endpoints (Carter)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נושא / Topic</w:t>
            </w:r>
          </w:p>
        </w:tc>
        <w:tc>
          <w:tcPr>
            <w:tcW w:type="dxa" w:w="4320"/>
          </w:tcPr>
          <w:p>
            <w:r>
              <w:t>פירוט קצר / Detail</w:t>
            </w:r>
          </w:p>
        </w:tc>
      </w:tr>
      <w:tr>
        <w:tc>
          <w:tcPr>
            <w:tcW w:type="dxa" w:w="4320"/>
          </w:tcPr>
          <w:p>
            <w:r>
              <w:t>POST /ingestion/symbols/seed</w:t>
            </w:r>
          </w:p>
        </w:tc>
        <w:tc>
          <w:tcPr>
            <w:tcW w:type="dxa" w:w="4320"/>
          </w:tcPr>
          <w:p>
            <w:r>
              <w:t>זריקת ייחוס ראשונית (DB).</w:t>
            </w:r>
          </w:p>
        </w:tc>
      </w:tr>
      <w:tr>
        <w:tc>
          <w:tcPr>
            <w:tcW w:type="dxa" w:w="4320"/>
          </w:tcPr>
          <w:p>
            <w:r>
              <w:t>POST /ingestion/prices/backfill?days=365</w:t>
            </w:r>
          </w:p>
        </w:tc>
        <w:tc>
          <w:tcPr>
            <w:tcW w:type="dxa" w:w="4320"/>
          </w:tcPr>
          <w:p>
            <w:r>
              <w:t>Backfill מחירים.</w:t>
            </w:r>
          </w:p>
        </w:tc>
      </w:tr>
      <w:tr>
        <w:tc>
          <w:tcPr>
            <w:tcW w:type="dxa" w:w="4320"/>
          </w:tcPr>
          <w:p>
            <w:r>
              <w:t>POST /ingestion/news/backfill?days=365</w:t>
            </w:r>
          </w:p>
        </w:tc>
        <w:tc>
          <w:tcPr>
            <w:tcW w:type="dxa" w:w="4320"/>
          </w:tcPr>
          <w:p>
            <w:r>
              <w:t>Backfill חדשות.</w:t>
            </w:r>
          </w:p>
        </w:tc>
      </w:tr>
      <w:tr>
        <w:tc>
          <w:tcPr>
            <w:tcW w:type="dxa" w:w="4320"/>
          </w:tcPr>
          <w:p>
            <w:r>
              <w:t>POST /ingestion/filings/backfill?days=365</w:t>
            </w:r>
          </w:p>
        </w:tc>
        <w:tc>
          <w:tcPr>
            <w:tcW w:type="dxa" w:w="4320"/>
          </w:tcPr>
          <w:p>
            <w:r>
              <w:t>Backfill דוחות.</w:t>
            </w:r>
          </w:p>
        </w:tc>
      </w:tr>
      <w:tr>
        <w:tc>
          <w:tcPr>
            <w:tcW w:type="dxa" w:w="4320"/>
          </w:tcPr>
          <w:p>
            <w:r>
              <w:t>POST /ingestion/analyst/backfill?days=365</w:t>
            </w:r>
          </w:p>
        </w:tc>
        <w:tc>
          <w:tcPr>
            <w:tcW w:type="dxa" w:w="4320"/>
          </w:tcPr>
          <w:p>
            <w:r>
              <w:t>Backfill אנליסטים/מחקרים.</w:t>
            </w:r>
          </w:p>
        </w:tc>
      </w:tr>
      <w:tr>
        <w:tc>
          <w:tcPr>
            <w:tcW w:type="dxa" w:w="4320"/>
          </w:tcPr>
          <w:p>
            <w:r>
              <w:t>POST /features/recompute?symbol=XXX&amp;days=365</w:t>
            </w:r>
          </w:p>
        </w:tc>
        <w:tc>
          <w:tcPr>
            <w:tcW w:type="dxa" w:w="4320"/>
          </w:tcPr>
          <w:p>
            <w:r>
              <w:t>חישוב Features.</w:t>
            </w:r>
          </w:p>
        </w:tc>
      </w:tr>
      <w:tr>
        <w:tc>
          <w:tcPr>
            <w:tcW w:type="dxa" w:w="4320"/>
          </w:tcPr>
          <w:p>
            <w:r>
              <w:t>POST /signals/generate?horizonD=30</w:t>
            </w:r>
          </w:p>
        </w:tc>
        <w:tc>
          <w:tcPr>
            <w:tcW w:type="dxa" w:w="4320"/>
          </w:tcPr>
          <w:p>
            <w:r>
              <w:t>ייצור סיגנלים.</w:t>
            </w:r>
          </w:p>
        </w:tc>
      </w:tr>
    </w:tbl>
    <w:p/>
    <w:p>
      <w:pPr>
        <w:pStyle w:val="Heading1"/>
      </w:pPr>
      <w:r>
        <w:t>7) AI Readiness — מוכנות ל‑AI</w:t>
      </w:r>
    </w:p>
    <w:p>
      <w:pPr>
        <w:pStyle w:val="ListBullet"/>
      </w:pPr>
      <w:r>
        <w:t>סכימה נורמלית, אינדקסים לציר זמן, גרנולריות יומית/דקות לפי צורך.</w:t>
      </w:r>
    </w:p>
    <w:p>
      <w:pPr>
        <w:pStyle w:val="ListBullet"/>
      </w:pPr>
      <w:r>
        <w:t>Attributions כטבלת לינקים עשירה (כיוון/ביטחון/אופק) לשימוש ישיר במודלים.</w:t>
      </w:r>
    </w:p>
    <w:p>
      <w:pPr>
        <w:pStyle w:val="ListBullet"/>
      </w:pPr>
      <w:r>
        <w:t>שכבת Features אחידה (שם/חלון/ערך) להאכלת מודלים שונים בקלות.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