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rPr>
          <w:rFonts w:ascii="Arial" w:cs="Arial" w:eastAsia="Arial" w:hAnsi="Arial"/>
          <w:b/>
          <w:bCs/>
          <w:color w:val="1F3864"/>
          <w:sz w:val="48"/>
          <w:szCs w:val="48"/>
        </w:rPr>
        <w:t xml:space="preserve">VELUTREX</w:t>
      </w:r>
    </w:p>
    <w:p>
      <w:pPr>
        <w:spacing w:before="0" w:after="200"/>
      </w:pPr>
      <w:r>
        <w:rPr>
          <w:rFonts w:ascii="Arial" w:cs="Arial" w:eastAsia="Arial" w:hAnsi="Arial"/>
          <w:i/>
          <w:iCs/>
          <w:color w:val="555555"/>
          <w:sz w:val="24"/>
          <w:szCs w:val="24"/>
        </w:rPr>
        <w:t xml:space="preserve">velutraline hydrochloride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AAAAAA" w:sz="1"/>
              <w:left w:val="single" w:color="AAAAAA" w:sz="1"/>
              <w:bottom w:val="single" w:color="AAAAAA" w:sz="1"/>
              <w:right w:val="single" w:color="AAAAAA" w:sz="1"/>
            </w:tcBorders>
            <w:shd w:fill="DDEEFF" w:val="clear"/>
            <w:tcMar>
              <w:top w:type="dxa" w:w="80"/>
              <w:left w:type="dxa" w:w="120"/>
              <w:bottom w:type="dxa" w:w="80"/>
              <w:right w:type="dxa" w:w="120"/>
            </w:tcMar>
            <w:vAlign w:val="center"/>
          </w:tcPr>
          <w:p>
            <w:r>
              <w:rPr>
                <w:rFonts w:ascii="Arial" w:cs="Arial" w:eastAsia="Arial" w:hAnsi="Arial"/>
                <w:b/>
                <w:bCs/>
                <w:sz w:val="20"/>
                <w:szCs w:val="20"/>
              </w:rPr>
              <w:t xml:space="preserve">Prepared by</w:t>
            </w:r>
          </w:p>
        </w:tc>
        <w:tc>
          <w:tcPr>
            <w:tcW w:type="dxa" w:w="6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Novalent Therapeutics Ltd</w:t>
            </w:r>
          </w:p>
        </w:tc>
      </w:tr>
      <w:tr>
        <w:tc>
          <w:tcPr>
            <w:tcW w:type="dxa" w:w="2500"/>
            <w:tcBorders>
              <w:top w:val="single" w:color="AAAAAA" w:sz="1"/>
              <w:left w:val="single" w:color="AAAAAA" w:sz="1"/>
              <w:bottom w:val="single" w:color="AAAAAA" w:sz="1"/>
              <w:right w:val="single" w:color="AAAAAA" w:sz="1"/>
            </w:tcBorders>
            <w:shd w:fill="DDEEFF" w:val="clear"/>
            <w:tcMar>
              <w:top w:type="dxa" w:w="80"/>
              <w:left w:type="dxa" w:w="120"/>
              <w:bottom w:type="dxa" w:w="80"/>
              <w:right w:type="dxa" w:w="120"/>
            </w:tcMar>
            <w:vAlign w:val="center"/>
          </w:tcPr>
          <w:p>
            <w:r>
              <w:rPr>
                <w:rFonts w:ascii="Arial" w:cs="Arial" w:eastAsia="Arial" w:hAnsi="Arial"/>
                <w:b/>
                <w:bCs/>
                <w:sz w:val="20"/>
                <w:szCs w:val="20"/>
              </w:rPr>
              <w:t xml:space="preserve">Document reference</w:t>
            </w:r>
          </w:p>
        </w:tc>
        <w:tc>
          <w:tcPr>
            <w:tcW w:type="dxa" w:w="6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NTL-VEL-PI-004</w:t>
            </w:r>
          </w:p>
        </w:tc>
      </w:tr>
      <w:tr>
        <w:tc>
          <w:tcPr>
            <w:tcW w:type="dxa" w:w="2500"/>
            <w:tcBorders>
              <w:top w:val="single" w:color="AAAAAA" w:sz="1"/>
              <w:left w:val="single" w:color="AAAAAA" w:sz="1"/>
              <w:bottom w:val="single" w:color="AAAAAA" w:sz="1"/>
              <w:right w:val="single" w:color="AAAAAA" w:sz="1"/>
            </w:tcBorders>
            <w:shd w:fill="DDEEFF" w:val="clear"/>
            <w:tcMar>
              <w:top w:type="dxa" w:w="80"/>
              <w:left w:type="dxa" w:w="120"/>
              <w:bottom w:type="dxa" w:w="80"/>
              <w:right w:type="dxa" w:w="120"/>
            </w:tcMar>
            <w:vAlign w:val="center"/>
          </w:tcPr>
          <w:p>
            <w:r>
              <w:rPr>
                <w:rFonts w:ascii="Arial" w:cs="Arial" w:eastAsia="Arial" w:hAnsi="Arial"/>
                <w:b/>
                <w:bCs/>
                <w:sz w:val="20"/>
                <w:szCs w:val="20"/>
              </w:rPr>
              <w:t xml:space="preserve">Version</w:t>
            </w:r>
          </w:p>
        </w:tc>
        <w:tc>
          <w:tcPr>
            <w:tcW w:type="dxa" w:w="6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3.1</w:t>
            </w:r>
          </w:p>
        </w:tc>
      </w:tr>
      <w:tr>
        <w:tc>
          <w:tcPr>
            <w:tcW w:type="dxa" w:w="2500"/>
            <w:tcBorders>
              <w:top w:val="single" w:color="AAAAAA" w:sz="1"/>
              <w:left w:val="single" w:color="AAAAAA" w:sz="1"/>
              <w:bottom w:val="single" w:color="AAAAAA" w:sz="1"/>
              <w:right w:val="single" w:color="AAAAAA" w:sz="1"/>
            </w:tcBorders>
            <w:shd w:fill="DDEEFF" w:val="clear"/>
            <w:tcMar>
              <w:top w:type="dxa" w:w="80"/>
              <w:left w:type="dxa" w:w="120"/>
              <w:bottom w:type="dxa" w:w="80"/>
              <w:right w:type="dxa" w:w="120"/>
            </w:tcMar>
            <w:vAlign w:val="center"/>
          </w:tcPr>
          <w:p>
            <w:r>
              <w:rPr>
                <w:rFonts w:ascii="Arial" w:cs="Arial" w:eastAsia="Arial" w:hAnsi="Arial"/>
                <w:b/>
                <w:bCs/>
                <w:sz w:val="20"/>
                <w:szCs w:val="20"/>
              </w:rPr>
              <w:t xml:space="preserve">Date</w:t>
            </w:r>
          </w:p>
        </w:tc>
        <w:tc>
          <w:tcPr>
            <w:tcW w:type="dxa" w:w="6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14 September 2023</w:t>
            </w:r>
          </w:p>
        </w:tc>
      </w:tr>
    </w:tbl>
    <w:p>
      <w:pPr>
        <w:spacing w:before="200" w:after="0"/>
      </w:pPr>
      <w:r>
        <w:rPr>
          <w:rFonts w:ascii="Arial" w:cs="Arial" w:eastAsia="Arial" w:hAnsi="Arial"/>
          <w:sz w:val="20"/>
          <w:szCs w:val="20"/>
        </w:rPr>
        <w:t xml:space="preserve"/>
      </w:r>
    </w:p>
    <w:p>
      <w:pPr>
        <w:pBdr>
          <w:bottom w:val="single" w:color="2E5A8E" w:sz="6" w:space="1"/>
        </w:pBdr>
        <w:spacing w:before="0" w:after="200"/>
      </w:pPr>
    </w:p>
    <w:p>
      <w:pPr>
        <w:pStyle w:val="Heading1"/>
        <w:spacing w:before="320" w:after="120"/>
      </w:pPr>
      <w:r>
        <w:rPr>
          <w:rFonts w:ascii="Arial" w:cs="Arial" w:eastAsia="Arial" w:hAnsi="Arial"/>
          <w:b/>
          <w:bCs/>
          <w:color w:val="1F3864"/>
          <w:sz w:val="28"/>
          <w:szCs w:val="28"/>
        </w:rPr>
        <w:t xml:space="preserve">1. Indication</w:t>
      </w:r>
    </w:p>
    <w:p>
      <w:pPr>
        <w:spacing w:before="80" w:after="80"/>
      </w:pPr>
      <w:r>
        <w:rPr>
          <w:rFonts w:ascii="Arial" w:cs="Arial" w:eastAsia="Arial" w:hAnsi="Arial"/>
          <w:sz w:val="20"/>
          <w:szCs w:val="20"/>
        </w:rPr>
        <w:t xml:space="preserve">Velutrex (velutraline hydrochloride) is indicated for the management of moderate to severe episodes of recurrent depressive disorder (RDD) in adults aged 18 to 65. It is not indicated for the treatment of bipolar depression, anxiety disorders, or any condition in paediatric populations.</w:t>
      </w:r>
    </w:p>
    <w:p>
      <w:pPr>
        <w:pStyle w:val="Heading1"/>
        <w:spacing w:before="320" w:after="120"/>
      </w:pPr>
      <w:r>
        <w:rPr>
          <w:rFonts w:ascii="Arial" w:cs="Arial" w:eastAsia="Arial" w:hAnsi="Arial"/>
          <w:b/>
          <w:bCs/>
          <w:color w:val="1F3864"/>
          <w:sz w:val="28"/>
          <w:szCs w:val="28"/>
        </w:rPr>
        <w:t xml:space="preserve">2. Mechanism of Action</w:t>
      </w:r>
    </w:p>
    <w:p>
      <w:pPr>
        <w:spacing w:before="80" w:after="80"/>
      </w:pPr>
      <w:r>
        <w:rPr>
          <w:rFonts w:ascii="Arial" w:cs="Arial" w:eastAsia="Arial" w:hAnsi="Arial"/>
          <w:sz w:val="20"/>
          <w:szCs w:val="20"/>
        </w:rPr>
        <w:t xml:space="preserve">Velutraline hydrochloride acts as a selective inhibitor of norepinephrine reuptake. It does not inhibit serotonin reuptake at therapeutic doses and should not be classified alongside dual-action agents such as venlafaxine or duloxetine. Its primary action is adrenergic rather than serotonergic.</w:t>
      </w:r>
    </w:p>
    <w:p>
      <w:pPr>
        <w:pStyle w:val="Heading1"/>
        <w:spacing w:before="320" w:after="120"/>
      </w:pPr>
      <w:r>
        <w:rPr>
          <w:rFonts w:ascii="Arial" w:cs="Arial" w:eastAsia="Arial" w:hAnsi="Arial"/>
          <w:b/>
          <w:bCs/>
          <w:color w:val="1F3864"/>
          <w:sz w:val="28"/>
          <w:szCs w:val="28"/>
        </w:rPr>
        <w:t xml:space="preserve">3. Clinical Efficacy</w:t>
      </w:r>
    </w:p>
    <w:p>
      <w:pPr>
        <w:spacing w:before="80" w:after="80"/>
      </w:pPr>
      <w:r>
        <w:rPr>
          <w:rFonts w:ascii="Arial" w:cs="Arial" w:eastAsia="Arial" w:hAnsi="Arial"/>
          <w:sz w:val="20"/>
          <w:szCs w:val="20"/>
        </w:rPr>
        <w:t xml:space="preserve">A Phase III randomised controlled trial (CLARITY-2) enrolled 412 adult patients with confirmed RDD across 14 clinical sites in Western Europe. Patients were randomised 1:1 to velutraline 40mg daily or placebo for 12 weeks.</w:t>
      </w:r>
    </w:p>
    <w:p>
      <w:pPr>
        <w:spacing w:before="80" w:after="80"/>
      </w:pPr>
      <w:r>
        <w:rPr>
          <w:rFonts w:ascii="Arial" w:cs="Arial" w:eastAsia="Arial" w:hAnsi="Arial"/>
          <w:sz w:val="20"/>
          <w:szCs w:val="20"/>
        </w:rPr>
        <w:t xml:space="preserve">The primary endpoint — a reduction of ≥50% from baseline on the Montgomery–Åsberg Depression Rating Scale (MADRS) — was achieved by 34% of velutraline-treated patients, compared to 31% of placebo-treated patients. This difference was not statistically significant (p = 0.21).</w:t>
      </w:r>
    </w:p>
    <w:p>
      <w:pPr>
        <w:spacing w:before="80" w:after="80"/>
      </w:pPr>
      <w:r>
        <w:rPr>
          <w:rFonts w:ascii="Arial" w:cs="Arial" w:eastAsia="Arial" w:hAnsi="Arial"/>
          <w:sz w:val="20"/>
          <w:szCs w:val="20"/>
        </w:rPr>
        <w:t xml:space="preserve">Secondary endpoints showed modest improvements in sleep quality scores (mean difference: 1.8 points on the PSQI scale) and self-reported energy levels. No significant improvement was observed in social functioning scores.</w:t>
      </w:r>
    </w:p>
    <w:p>
      <w:pPr>
        <w:spacing w:before="80" w:after="80"/>
      </w:pPr>
      <w:r>
        <w:rPr>
          <w:rFonts w:ascii="Arial" w:cs="Arial" w:eastAsia="Arial" w:hAnsi="Arial"/>
          <w:sz w:val="20"/>
          <w:szCs w:val="20"/>
        </w:rPr>
        <w:t xml:space="preserve">The trial was conducted exclusively in female patients aged 30 to 55.</w:t>
      </w:r>
    </w:p>
    <w:p>
      <w:pPr>
        <w:pStyle w:val="Heading1"/>
        <w:spacing w:before="320" w:after="120"/>
      </w:pPr>
      <w:r>
        <w:rPr>
          <w:rFonts w:ascii="Arial" w:cs="Arial" w:eastAsia="Arial" w:hAnsi="Arial"/>
          <w:b/>
          <w:bCs/>
          <w:color w:val="1F3864"/>
          <w:sz w:val="28"/>
          <w:szCs w:val="28"/>
        </w:rPr>
        <w:t xml:space="preserve">4. Dosage and Administration</w:t>
      </w:r>
    </w:p>
    <w:p>
      <w:pPr>
        <w:spacing w:before="80" w:after="80"/>
      </w:pPr>
      <w:r>
        <w:rPr>
          <w:rFonts w:ascii="Arial" w:cs="Arial" w:eastAsia="Arial" w:hAnsi="Arial"/>
          <w:sz w:val="20"/>
          <w:szCs w:val="20"/>
        </w:rPr>
        <w:t xml:space="preserve">The recommended starting dose is 40mg once daily, taken with food. Dose escalation to 80mg once daily may be considered after a minimum of six weeks, based on clinical response and tolerability.</w:t>
      </w:r>
    </w:p>
    <w:p>
      <w:pPr>
        <w:spacing w:before="80" w:after="80"/>
      </w:pPr>
      <w:r>
        <w:rPr>
          <w:rFonts w:ascii="Arial" w:cs="Arial" w:eastAsia="Arial" w:hAnsi="Arial"/>
          <w:sz w:val="20"/>
          <w:szCs w:val="20"/>
        </w:rPr>
        <w:t xml:space="preserve">There is no approved dosage for patients under 18 or over 65. No dose adjustment guidance is provided for renal impairment in this document.</w:t>
      </w:r>
    </w:p>
    <w:p>
      <w:pPr>
        <w:pStyle w:val="Heading1"/>
        <w:spacing w:before="320" w:after="120"/>
      </w:pPr>
      <w:r>
        <w:rPr>
          <w:rFonts w:ascii="Arial" w:cs="Arial" w:eastAsia="Arial" w:hAnsi="Arial"/>
          <w:b/>
          <w:bCs/>
          <w:color w:val="1F3864"/>
          <w:sz w:val="28"/>
          <w:szCs w:val="28"/>
        </w:rPr>
        <w:t xml:space="preserve">5. Contraindications and Interactions</w:t>
      </w:r>
    </w:p>
    <w:p>
      <w:pPr>
        <w:spacing w:before="80" w:after="80"/>
      </w:pPr>
      <w:r>
        <w:rPr>
          <w:rFonts w:ascii="Arial" w:cs="Arial" w:eastAsia="Arial" w:hAnsi="Arial"/>
          <w:sz w:val="20"/>
          <w:szCs w:val="20"/>
        </w:rPr>
        <w:t xml:space="preserve">Velutrex is contraindicated in patients with:</w:t>
      </w:r>
    </w:p>
    <w:p>
      <w:pPr>
        <w:pStyle w:val="ListParagraph"/>
        <w:numPr>
          <w:ilvl w:val="0"/>
          <w:numId w:val="2"/>
        </w:numPr>
        <w:spacing w:before="40" w:after="40"/>
      </w:pPr>
      <w:r>
        <w:rPr>
          <w:rFonts w:ascii="Arial" w:cs="Arial" w:eastAsia="Arial" w:hAnsi="Arial"/>
          <w:sz w:val="20"/>
          <w:szCs w:val="20"/>
        </w:rPr>
        <w:t xml:space="preserve">Known hypersensitivity to velutraline hydrochloride or any excipient</w:t>
      </w:r>
    </w:p>
    <w:p>
      <w:pPr>
        <w:pStyle w:val="ListParagraph"/>
        <w:numPr>
          <w:ilvl w:val="0"/>
          <w:numId w:val="2"/>
        </w:numPr>
        <w:spacing w:before="40" w:after="40"/>
      </w:pPr>
      <w:r>
        <w:rPr>
          <w:rFonts w:ascii="Arial" w:cs="Arial" w:eastAsia="Arial" w:hAnsi="Arial"/>
          <w:sz w:val="20"/>
          <w:szCs w:val="20"/>
        </w:rPr>
        <w:t xml:space="preserve">Current use of monoamine oxidase inhibitors (MAOIs), or within 21 days of discontinuing MAOI therapy</w:t>
      </w:r>
    </w:p>
    <w:p>
      <w:pPr>
        <w:pStyle w:val="ListParagraph"/>
        <w:numPr>
          <w:ilvl w:val="0"/>
          <w:numId w:val="2"/>
        </w:numPr>
        <w:spacing w:before="40" w:after="40"/>
      </w:pPr>
      <w:r>
        <w:rPr>
          <w:rFonts w:ascii="Arial" w:cs="Arial" w:eastAsia="Arial" w:hAnsi="Arial"/>
          <w:sz w:val="20"/>
          <w:szCs w:val="20"/>
        </w:rPr>
        <w:t xml:space="preserve">Severe hepatic impairment (Child-Pugh Class C)</w:t>
      </w:r>
    </w:p>
    <w:p>
      <w:pPr>
        <w:spacing w:before="80" w:after="0"/>
      </w:pPr>
      <w:r>
        <w:rPr>
          <w:rFonts w:ascii="Arial" w:cs="Arial" w:eastAsia="Arial" w:hAnsi="Arial"/>
          <w:sz w:val="20"/>
          <w:szCs w:val="20"/>
        </w:rPr>
        <w:t xml:space="preserve"/>
      </w:r>
    </w:p>
    <w:p>
      <w:pPr>
        <w:spacing w:before="80" w:after="80"/>
      </w:pPr>
      <w:r>
        <w:rPr>
          <w:rFonts w:ascii="Arial" w:cs="Arial" w:eastAsia="Arial" w:hAnsi="Arial"/>
          <w:sz w:val="20"/>
          <w:szCs w:val="20"/>
        </w:rPr>
        <w:t xml:space="preserve">Velutrex does not interact with statins, beta-blockers, or standard antihypertensive agents. Co-administration with lithium has not been studied and cannot be recommended or excluded on current evidence.</w:t>
      </w:r>
    </w:p>
    <w:p>
      <w:pPr>
        <w:pStyle w:val="Heading1"/>
        <w:spacing w:before="320" w:after="120"/>
      </w:pPr>
      <w:r>
        <w:rPr>
          <w:rFonts w:ascii="Arial" w:cs="Arial" w:eastAsia="Arial" w:hAnsi="Arial"/>
          <w:b/>
          <w:bCs/>
          <w:color w:val="1F3864"/>
          <w:sz w:val="28"/>
          <w:szCs w:val="28"/>
        </w:rPr>
        <w:t xml:space="preserve">6. Adverse Effects</w:t>
      </w:r>
    </w:p>
    <w:p>
      <w:pPr>
        <w:spacing w:before="80" w:after="80"/>
      </w:pPr>
      <w:r>
        <w:rPr>
          <w:rFonts w:ascii="Arial" w:cs="Arial" w:eastAsia="Arial" w:hAnsi="Arial"/>
          <w:sz w:val="20"/>
          <w:szCs w:val="20"/>
        </w:rPr>
        <w:t xml:space="preserve">The most commonly reported adverse effects in CLARITY-2 (occurring in ≥5% of velutraline-treated patients) were:</w:t>
      </w:r>
    </w:p>
    <w:p>
      <w:pPr>
        <w:spacing w:before="80" w:after="8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2513"/>
        <w:gridCol w:w="2513"/>
      </w:tblGrid>
      <w:tr>
        <w:tc>
          <w:tcPr>
            <w:tcW w:type="dxa" w:w="4000"/>
            <w:tcBorders>
              <w:top w:val="single" w:color="AAAAAA" w:sz="1"/>
              <w:left w:val="single" w:color="AAAAAA" w:sz="1"/>
              <w:bottom w:val="single" w:color="AAAAAA" w:sz="1"/>
              <w:right w:val="single" w:color="AAAAAA" w:sz="1"/>
            </w:tcBorders>
            <w:shd w:fill="DDEEFF" w:val="clear"/>
            <w:tcMar>
              <w:top w:type="dxa" w:w="80"/>
              <w:left w:type="dxa" w:w="120"/>
              <w:bottom w:type="dxa" w:w="80"/>
              <w:right w:type="dxa" w:w="120"/>
            </w:tcMar>
            <w:vAlign w:val="center"/>
          </w:tcPr>
          <w:p>
            <w:r>
              <w:rPr>
                <w:rFonts w:ascii="Arial" w:cs="Arial" w:eastAsia="Arial" w:hAnsi="Arial"/>
                <w:b/>
                <w:bCs/>
                <w:sz w:val="20"/>
                <w:szCs w:val="20"/>
              </w:rPr>
              <w:t xml:space="preserve">Adverse Effect</w:t>
            </w:r>
          </w:p>
        </w:tc>
        <w:tc>
          <w:tcPr>
            <w:tcW w:type="dxa" w:w="2513"/>
            <w:tcBorders>
              <w:top w:val="single" w:color="AAAAAA" w:sz="1"/>
              <w:left w:val="single" w:color="AAAAAA" w:sz="1"/>
              <w:bottom w:val="single" w:color="AAAAAA" w:sz="1"/>
              <w:right w:val="single" w:color="AAAAAA" w:sz="1"/>
            </w:tcBorders>
            <w:shd w:fill="DDEEFF" w:val="clear"/>
            <w:tcMar>
              <w:top w:type="dxa" w:w="80"/>
              <w:left w:type="dxa" w:w="120"/>
              <w:bottom w:type="dxa" w:w="80"/>
              <w:right w:type="dxa" w:w="120"/>
            </w:tcMar>
            <w:vAlign w:val="center"/>
          </w:tcPr>
          <w:p>
            <w:r>
              <w:rPr>
                <w:rFonts w:ascii="Arial" w:cs="Arial" w:eastAsia="Arial" w:hAnsi="Arial"/>
                <w:b/>
                <w:bCs/>
                <w:sz w:val="20"/>
                <w:szCs w:val="20"/>
              </w:rPr>
              <w:t xml:space="preserve">Velutraline (n=206)</w:t>
            </w:r>
          </w:p>
        </w:tc>
        <w:tc>
          <w:tcPr>
            <w:tcW w:type="dxa" w:w="2513"/>
            <w:tcBorders>
              <w:top w:val="single" w:color="AAAAAA" w:sz="1"/>
              <w:left w:val="single" w:color="AAAAAA" w:sz="1"/>
              <w:bottom w:val="single" w:color="AAAAAA" w:sz="1"/>
              <w:right w:val="single" w:color="AAAAAA" w:sz="1"/>
            </w:tcBorders>
            <w:shd w:fill="DDEEFF" w:val="clear"/>
            <w:tcMar>
              <w:top w:type="dxa" w:w="80"/>
              <w:left w:type="dxa" w:w="120"/>
              <w:bottom w:type="dxa" w:w="80"/>
              <w:right w:type="dxa" w:w="120"/>
            </w:tcMar>
            <w:vAlign w:val="center"/>
          </w:tcPr>
          <w:p>
            <w:r>
              <w:rPr>
                <w:rFonts w:ascii="Arial" w:cs="Arial" w:eastAsia="Arial" w:hAnsi="Arial"/>
                <w:b/>
                <w:bCs/>
                <w:sz w:val="20"/>
                <w:szCs w:val="20"/>
              </w:rPr>
              <w:t xml:space="preserve">Placebo (n=206)</w:t>
            </w:r>
          </w:p>
        </w:tc>
      </w:tr>
      <w:tr>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Nausea</w:t>
            </w:r>
          </w:p>
        </w:tc>
        <w:tc>
          <w:tcPr>
            <w:tcW w:type="dxa" w:w="2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18%</w:t>
            </w:r>
          </w:p>
        </w:tc>
        <w:tc>
          <w:tcPr>
            <w:tcW w:type="dxa" w:w="2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9%</w:t>
            </w:r>
          </w:p>
        </w:tc>
      </w:tr>
      <w:tr>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Insomnia</w:t>
            </w:r>
          </w:p>
        </w:tc>
        <w:tc>
          <w:tcPr>
            <w:tcW w:type="dxa" w:w="2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14%</w:t>
            </w:r>
          </w:p>
        </w:tc>
        <w:tc>
          <w:tcPr>
            <w:tcW w:type="dxa" w:w="2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11%</w:t>
            </w:r>
          </w:p>
        </w:tc>
      </w:tr>
      <w:tr>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Dry mouth</w:t>
            </w:r>
          </w:p>
        </w:tc>
        <w:tc>
          <w:tcPr>
            <w:tcW w:type="dxa" w:w="2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11%</w:t>
            </w:r>
          </w:p>
        </w:tc>
        <w:tc>
          <w:tcPr>
            <w:tcW w:type="dxa" w:w="2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4%</w:t>
            </w:r>
          </w:p>
        </w:tc>
      </w:tr>
      <w:tr>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Headache</w:t>
            </w:r>
          </w:p>
        </w:tc>
        <w:tc>
          <w:tcPr>
            <w:tcW w:type="dxa" w:w="2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9%</w:t>
            </w:r>
          </w:p>
        </w:tc>
        <w:tc>
          <w:tcPr>
            <w:tcW w:type="dxa" w:w="2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10%</w:t>
            </w:r>
          </w:p>
        </w:tc>
      </w:tr>
      <w:tr>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Dizziness</w:t>
            </w:r>
          </w:p>
        </w:tc>
        <w:tc>
          <w:tcPr>
            <w:tcW w:type="dxa" w:w="2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7%</w:t>
            </w:r>
          </w:p>
        </w:tc>
        <w:tc>
          <w:tcPr>
            <w:tcW w:type="dxa" w:w="2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5%</w:t>
            </w:r>
          </w:p>
        </w:tc>
      </w:tr>
    </w:tbl>
    <w:p>
      <w:pPr>
        <w:spacing w:before="120" w:after="0"/>
      </w:pPr>
      <w:r>
        <w:rPr>
          <w:rFonts w:ascii="Arial" w:cs="Arial" w:eastAsia="Arial" w:hAnsi="Arial"/>
          <w:sz w:val="20"/>
          <w:szCs w:val="20"/>
        </w:rPr>
        <w:t xml:space="preserve"/>
      </w:r>
    </w:p>
    <w:p>
      <w:pPr>
        <w:spacing w:before="80" w:after="80"/>
      </w:pPr>
      <w:r>
        <w:rPr>
          <w:rFonts w:ascii="Arial" w:cs="Arial" w:eastAsia="Arial" w:hAnsi="Arial"/>
          <w:sz w:val="20"/>
          <w:szCs w:val="20"/>
        </w:rPr>
        <w:t xml:space="preserve">Discontinuation due to adverse effects occurred in 8% of velutraline-treated patients and 5% of placebo-treated patients.</w:t>
      </w:r>
    </w:p>
    <w:p>
      <w:pPr>
        <w:pStyle w:val="Heading1"/>
        <w:spacing w:before="320" w:after="120"/>
      </w:pPr>
      <w:r>
        <w:rPr>
          <w:rFonts w:ascii="Arial" w:cs="Arial" w:eastAsia="Arial" w:hAnsi="Arial"/>
          <w:b/>
          <w:bCs/>
          <w:color w:val="1F3864"/>
          <w:sz w:val="28"/>
          <w:szCs w:val="28"/>
        </w:rPr>
        <w:t xml:space="preserve">7. Special Populations</w:t>
      </w:r>
    </w:p>
    <w:p>
      <w:pPr>
        <w:spacing w:before="80" w:after="80"/>
      </w:pPr>
      <w:r>
        <w:rPr>
          <w:rFonts w:ascii="Arial" w:cs="Arial" w:eastAsia="Arial" w:hAnsi="Arial"/>
          <w:sz w:val="20"/>
          <w:szCs w:val="20"/>
        </w:rPr>
        <w:t xml:space="preserve">No data are available for patients with renal impairment. No data are available for patients over 65 or under 18. The trial population was exclusively female; efficacy and safety in male patients has not been established.</w:t>
      </w:r>
    </w:p>
    <w:p>
      <w:pPr>
        <w:pStyle w:val="Heading1"/>
        <w:spacing w:before="320" w:after="120"/>
      </w:pPr>
      <w:r>
        <w:rPr>
          <w:rFonts w:ascii="Arial" w:cs="Arial" w:eastAsia="Arial" w:hAnsi="Arial"/>
          <w:b/>
          <w:bCs/>
          <w:color w:val="1F3864"/>
          <w:sz w:val="28"/>
          <w:szCs w:val="28"/>
        </w:rPr>
        <w:t xml:space="preserve">8. Storage</w:t>
      </w:r>
    </w:p>
    <w:p>
      <w:pPr>
        <w:spacing w:before="80" w:after="80"/>
      </w:pPr>
      <w:r>
        <w:rPr>
          <w:rFonts w:ascii="Arial" w:cs="Arial" w:eastAsia="Arial" w:hAnsi="Arial"/>
          <w:sz w:val="20"/>
          <w:szCs w:val="20"/>
        </w:rPr>
        <w:t xml:space="preserve">Store below 25°C in a dry place, protected from light. Keep out of reach of children.</w:t>
      </w:r>
    </w:p>
    <w:p>
      <w:pPr>
        <w:pBdr>
          <w:top w:val="single" w:color="AAAAAA" w:sz="4" w:space="1"/>
        </w:pBdr>
        <w:spacing w:before="400" w:after="80"/>
      </w:pPr>
      <w:r>
        <w:rPr>
          <w:rFonts w:ascii="Arial" w:cs="Arial" w:eastAsia="Arial" w:hAnsi="Arial"/>
          <w:i/>
          <w:iCs/>
          <w:color w:val="888888"/>
          <w:sz w:val="16"/>
          <w:szCs w:val="16"/>
        </w:rPr>
        <w:t xml:space="preserve">NTL-VEL-PI-004 v3.1 — Confidential — For internal and clinical use only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2026-02-24T23:03:26.036Z</dcterms:created>
  <dcterms:modified xsi:type="dcterms:W3CDTF">2026-02-24T23:03:26.038Z</dcterms:modified>
</cp:coreProperties>
</file>

<file path=docProps/custom.xml><?xml version="1.0" encoding="utf-8"?>
<Properties xmlns="http://schemas.openxmlformats.org/officeDocument/2006/custom-properties" xmlns:vt="http://schemas.openxmlformats.org/officeDocument/2006/docPropsVTypes"/>
</file>