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138177" w14:textId="77777777" w:rsidR="000E5D31" w:rsidRPr="00760063" w:rsidRDefault="000E5D31" w:rsidP="00D21575">
      <w:pPr>
        <w:jc w:val="both"/>
        <w:rPr>
          <w:b/>
          <w:lang w:val="en-US"/>
        </w:rPr>
      </w:pPr>
      <w:r w:rsidRPr="00760063">
        <w:rPr>
          <w:b/>
          <w:lang w:val="en-US"/>
        </w:rPr>
        <w:t xml:space="preserve">Supplementary Materials and Methods </w:t>
      </w:r>
    </w:p>
    <w:p w14:paraId="6656C781" w14:textId="77777777" w:rsidR="000021CE" w:rsidRPr="00760063" w:rsidRDefault="000021CE" w:rsidP="00D21575">
      <w:pPr>
        <w:jc w:val="both"/>
        <w:rPr>
          <w:b/>
          <w:lang w:val="en-US"/>
        </w:rPr>
      </w:pPr>
    </w:p>
    <w:p w14:paraId="779F75FE" w14:textId="2BF6DA2F" w:rsidR="000E5D31" w:rsidRPr="00760063" w:rsidRDefault="000E5D31" w:rsidP="00D21575">
      <w:pPr>
        <w:jc w:val="both"/>
        <w:rPr>
          <w:b/>
        </w:rPr>
      </w:pPr>
      <w:r w:rsidRPr="00760063">
        <w:rPr>
          <w:b/>
        </w:rPr>
        <w:t>Surgical Procedure</w:t>
      </w:r>
    </w:p>
    <w:p w14:paraId="4B62E4F8" w14:textId="59C008F9" w:rsidR="000E5D31" w:rsidRPr="00760063" w:rsidRDefault="000E5D31" w:rsidP="00D21575">
      <w:pPr>
        <w:jc w:val="both"/>
      </w:pPr>
      <w:r w:rsidRPr="00760063">
        <w:t xml:space="preserve">Prior to surgery, the surgical team implanted a sterile carbon fiber microelectrode into the brain along a guide cannula which was positioned in accordance with DBS navigation and planning. The tip of the fiber was inserted into the dorsal striatum. The body of the caudate was the target for 14 of the measurements and the putamen was the target for the remaining 2 measurements (Table </w:t>
      </w:r>
      <w:r w:rsidR="002F26AC">
        <w:t>S</w:t>
      </w:r>
      <w:bookmarkStart w:id="0" w:name="_GoBack"/>
      <w:bookmarkEnd w:id="0"/>
      <w:r w:rsidRPr="00760063">
        <w:t>1). This carbon fiber was used for voltammetry recordings. Once the carbon fiber was situated and recordings had begun the patient began the investment game. For the experiment, patients sat in a semi-upright condition and watched a monitor placed ~1m in front of them. Patients were given a button box to register their bet and submit decisions and used the less-affected side for submitting responses. The box contained four buttons; one was used to increase the bet amount, a second to reduce the bet amount and a third to submit the decision. Button-box responses were recorded and time aligned to the voltammetry recordings.</w:t>
      </w:r>
    </w:p>
    <w:p w14:paraId="2290FEFA" w14:textId="77777777" w:rsidR="000E5D31" w:rsidRPr="00760063" w:rsidRDefault="000E5D31" w:rsidP="00D21575">
      <w:pPr>
        <w:jc w:val="both"/>
      </w:pPr>
    </w:p>
    <w:p w14:paraId="5E7DB6A8" w14:textId="5FF39445" w:rsidR="000E5D31" w:rsidRPr="00760063" w:rsidRDefault="000E5D31" w:rsidP="000E5D31">
      <w:pPr>
        <w:jc w:val="both"/>
        <w:rPr>
          <w:b/>
        </w:rPr>
      </w:pPr>
      <w:r w:rsidRPr="00760063">
        <w:rPr>
          <w:b/>
        </w:rPr>
        <w:t>Carbon Fiber Fabrication</w:t>
      </w:r>
      <w:r w:rsidR="00A0479A" w:rsidRPr="00760063">
        <w:rPr>
          <w:b/>
        </w:rPr>
        <w:t xml:space="preserve"> &amp; FSCV</w:t>
      </w:r>
    </w:p>
    <w:p w14:paraId="2F927218" w14:textId="17D52FAA" w:rsidR="000E5D31" w:rsidRPr="00760063" w:rsidRDefault="000E5D31" w:rsidP="000E5D31">
      <w:pPr>
        <w:jc w:val="both"/>
      </w:pPr>
      <w:r w:rsidRPr="00760063">
        <w:t>During surgery, the carbon-fiber electrode was inserted through a guide tube (the guide tube and cannula are the same as those used for clinical microelectrodes). The carbon fiber microelectrode tip measures 7µm in diameter and extended 10mm beyond the guide tube (and embedded reference electrode). The probe was designed for human biocompatibility by modifying existing carbon fiber technology where structural stability and responsiveness to in vivo dopamine release was tested over a period of weeks in the rodent and was safely used in prior work. Our final probe included elongation and custom fitting of the carbon fiber microelectrode to a stereotactic targeting system used during human neurosurgery (here we used FHC microTargeting® system and Leksell stereotactic system®), with a biocompatible reference electrode. See Kishida et al. (Kishida, Sandberg et al. 2011) for construction details. The final human compatible carbon fiber microelectrode assembly was sterilized using ethelene oxide gas.</w:t>
      </w:r>
    </w:p>
    <w:p w14:paraId="57C68E36" w14:textId="10747D32" w:rsidR="000E5D31" w:rsidRPr="00760063" w:rsidRDefault="00A0479A" w:rsidP="00D21575">
      <w:pPr>
        <w:jc w:val="both"/>
      </w:pPr>
      <w:r w:rsidRPr="00760063">
        <w:t>Serotonin oxidizes at ~0.2V to 0.4V, and produces a reduction reaction at potentials ~0V to -0.2V (Selvaraju and Ramaraj 2003, Wu, Fei et al. 2003, Yao, Li et al. 2009). In general, fast-scan cyclic voltammetry delivers a rapid change in electrical potential around these values to a suitable electrode, ramping up and down over a time scale in the order of milliseconds. Then in the presence of transmitter, the electrode will register changes in current commensurate with oxidation and reduction ion-flow in and around the respective potentials. Here, current measurements were extracted over the course of the experiment at a frequency of 10 Hz. Triangular voltage ramps (-0.6V to +1.4V to -0.6V, at 400V/s) were of 10 msec duration followed by a 90 msec period where voltage was held at -0.6V. This protocol has previously provided behaviorally relevant, trial dependent dopamine measurements (Kishida, Saez et al. 2016), as well as measures of slower signal changes over the course of an experiment (Kishida, Sandberg et al. 2011).</w:t>
      </w:r>
    </w:p>
    <w:p w14:paraId="1E8C023F" w14:textId="77777777" w:rsidR="00A0479A" w:rsidRPr="00760063" w:rsidRDefault="00A0479A" w:rsidP="00D21575">
      <w:pPr>
        <w:jc w:val="both"/>
      </w:pPr>
    </w:p>
    <w:p w14:paraId="6FCD8370" w14:textId="58BD0432" w:rsidR="005E1067" w:rsidRPr="00760063" w:rsidRDefault="000021CE" w:rsidP="005E1067">
      <w:pPr>
        <w:jc w:val="both"/>
        <w:rPr>
          <w:rFonts w:cs="Times New Roman"/>
          <w:b/>
        </w:rPr>
      </w:pPr>
      <w:r w:rsidRPr="00760063">
        <w:rPr>
          <w:rFonts w:cs="Times New Roman"/>
          <w:b/>
        </w:rPr>
        <w:t>Serotonin-concentration Model; Training &amp; Testing</w:t>
      </w:r>
    </w:p>
    <w:p w14:paraId="3A3840A5" w14:textId="77777777" w:rsidR="005E1067" w:rsidRPr="00760063" w:rsidRDefault="005E1067" w:rsidP="005E1067">
      <w:pPr>
        <w:jc w:val="both"/>
        <w:rPr>
          <w:rFonts w:cs="Times New Roman"/>
        </w:rPr>
      </w:pPr>
      <w:r w:rsidRPr="00760063">
        <w:rPr>
          <w:rFonts w:cs="Times New Roman"/>
        </w:rPr>
        <w:t xml:space="preserve">For the laboratory experiments, we fabricated three carbon fiber electrodes according to surgical standards described above. Using these probes we acquired voltammetry recordings from a flow cell, </w:t>
      </w:r>
      <w:r w:rsidRPr="00760063">
        <w:rPr>
          <w:rFonts w:cs="Times New Roman"/>
        </w:rPr>
        <w:lastRenderedPageBreak/>
        <w:t xml:space="preserve">where three types of mixture solutions were measured for each probe. These included solutions containing 1) only serotonin at concentrations of 0-8 </w:t>
      </w:r>
      <w:r w:rsidRPr="00760063">
        <w:rPr>
          <w:rFonts w:cs="Times New Roman"/>
        </w:rPr>
        <w:sym w:font="Symbol" w:char="F06D"/>
      </w:r>
      <w:r w:rsidRPr="00760063">
        <w:rPr>
          <w:rFonts w:cs="Times New Roman"/>
        </w:rPr>
        <w:t xml:space="preserve">M, in 100 nM increments and saline at a pH level of 7.4, 2) only dopamine, at concentrations of 0-8 </w:t>
      </w:r>
      <w:r w:rsidRPr="00760063">
        <w:rPr>
          <w:rFonts w:cs="Times New Roman"/>
        </w:rPr>
        <w:sym w:font="Symbol" w:char="F06D"/>
      </w:r>
      <w:r w:rsidRPr="00760063">
        <w:rPr>
          <w:rFonts w:cs="Times New Roman"/>
        </w:rPr>
        <w:t xml:space="preserve">M, in 100 nM increments and saline at a pH level of 7.4, and 3) mixtures of dopamine and serotonin each randomly sampled from the range 0.1 - 8 </w:t>
      </w:r>
      <w:r w:rsidRPr="00760063">
        <w:rPr>
          <w:rFonts w:cs="Times New Roman"/>
        </w:rPr>
        <w:sym w:font="Symbol" w:char="F06D"/>
      </w:r>
      <w:r w:rsidRPr="00760063">
        <w:rPr>
          <w:rFonts w:cs="Times New Roman"/>
        </w:rPr>
        <w:t xml:space="preserve">M, (at 100nM increments) with varying pH levels from 6.8 to 7.8. From these solutions N ~= 23,000 voltammograms were recorded for each probe, with different solutions passed through the flow cell for each probe.  </w:t>
      </w:r>
    </w:p>
    <w:p w14:paraId="1B14D595" w14:textId="77777777" w:rsidR="005E1067" w:rsidRPr="00760063" w:rsidRDefault="005E1067" w:rsidP="005E1067">
      <w:pPr>
        <w:jc w:val="both"/>
        <w:rPr>
          <w:rFonts w:cs="Times New Roman"/>
        </w:rPr>
      </w:pPr>
    </w:p>
    <w:p w14:paraId="09526E3A" w14:textId="77777777" w:rsidR="005E1067" w:rsidRPr="00760063" w:rsidRDefault="005E1067" w:rsidP="005E1067">
      <w:pPr>
        <w:jc w:val="both"/>
        <w:rPr>
          <w:rFonts w:cs="Times New Roman"/>
        </w:rPr>
      </w:pPr>
      <w:r w:rsidRPr="00760063">
        <w:rPr>
          <w:rFonts w:cs="Times New Roman"/>
        </w:rPr>
        <w:t xml:space="preserve">Using these training sets we optimized a linear multivariate Gaussian regression model using a LASSO (least absolute shrinkage and selection operator) approach </w:t>
      </w:r>
      <w:r w:rsidRPr="00760063">
        <w:rPr>
          <w:rFonts w:cs="Times New Roman"/>
        </w:rPr>
        <w:fldChar w:fldCharType="begin"/>
      </w:r>
      <w:r w:rsidRPr="00760063">
        <w:rPr>
          <w:rFonts w:cs="Times New Roman"/>
        </w:rPr>
        <w:instrText xml:space="preserve"> ADDIN EN.CITE &lt;EndNote&gt;&lt;Cite&gt;&lt;Author&gt;Tibshirani&lt;/Author&gt;&lt;Year&gt;1996&lt;/Year&gt;&lt;RecNum&gt;114&lt;/RecNum&gt;&lt;DisplayText&gt;(Tibshirani 1996)&lt;/DisplayText&gt;&lt;record&gt;&lt;rec-number&gt;114&lt;/rec-number&gt;&lt;foreign-keys&gt;&lt;key app="EN" db-id="pwd59zs5v2prpeea555vrdp6frsa2xe5rzdf" timestamp="1479645110"&gt;114&lt;/key&gt;&lt;/foreign-keys&gt;&lt;ref-type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(Methodological)&lt;/secondary-title&gt;&lt;/titles&gt;&lt;periodical&gt;&lt;full-title&gt;Journal of the Royal Statistical Society. Series B (Methodological)&lt;/full-title&gt;&lt;/periodical&gt;&lt;pages&gt;267-288&lt;/pages&gt;&lt;dates&gt;&lt;year&gt;1996&lt;/year&gt;&lt;/dates&gt;&lt;isbn&gt;0035-9246&lt;/isbn&gt;&lt;urls&gt;&lt;/urls&gt;&lt;/record&gt;&lt;/Cite&gt;&lt;/EndNote&gt;</w:instrText>
      </w:r>
      <w:r w:rsidRPr="00760063">
        <w:rPr>
          <w:rFonts w:cs="Times New Roman"/>
        </w:rPr>
        <w:fldChar w:fldCharType="separate"/>
      </w:r>
      <w:r w:rsidRPr="00760063">
        <w:rPr>
          <w:rFonts w:cs="Times New Roman"/>
          <w:noProof/>
        </w:rPr>
        <w:t>(Tibshirani 1996)</w:t>
      </w:r>
      <w:r w:rsidRPr="00760063">
        <w:rPr>
          <w:rFonts w:cs="Times New Roman"/>
        </w:rPr>
        <w:fldChar w:fldCharType="end"/>
      </w:r>
      <w:r w:rsidRPr="00760063">
        <w:rPr>
          <w:rFonts w:cs="Times New Roman"/>
        </w:rPr>
        <w:t xml:space="preserve">. Specifically, we predicted the square root of each concentration level using the derivative of each voltammogram (Figure 1A). The square root operator was applied to the concentration levels to impose positivity constraints and to condition high concentration estimates. Thus we had dependent variables which were contained in an N x 3 matrix denoted Y: of concentration values for dopamine, serotonin and pH and prediction matrix X which was an N x p matrix of differentiated voltammograms (where p = 1000-1 given a sampling rate of 10 kHz over 100 msec), for each of the N mixtures. This scheme uses a coordinate descent to find the regression coefficient matrix β, here of size p x 3. Using the glmnet package </w:t>
      </w:r>
      <w:r w:rsidRPr="00760063">
        <w:rPr>
          <w:rFonts w:cs="Times New Roman"/>
        </w:rPr>
        <w:fldChar w:fldCharType="begin"/>
      </w:r>
      <w:r w:rsidRPr="00760063">
        <w:rPr>
          <w:rFonts w:cs="Times New Roman"/>
        </w:rPr>
        <w:instrText xml:space="preserve"> ADDIN EN.CITE &lt;EndNote&gt;&lt;Cite&gt;&lt;Author&gt;Tibshirani&lt;/Author&gt;&lt;Year&gt;1996&lt;/Year&gt;&lt;RecNum&gt;114&lt;/RecNum&gt;&lt;DisplayText&gt;(Tibshirani 1996)&lt;/DisplayText&gt;&lt;record&gt;&lt;rec-number&gt;114&lt;/rec-number&gt;&lt;foreign-keys&gt;&lt;key app="EN" db-id="pwd59zs5v2prpeea555vrdp6frsa2xe5rzdf" timestamp="1479645110"&gt;114&lt;/key&gt;&lt;/foreign-keys&gt;&lt;ref-type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(Methodological)&lt;/secondary-title&gt;&lt;/titles&gt;&lt;periodical&gt;&lt;full-title&gt;Journal of the Royal Statistical Society. Series B (Methodological)&lt;/full-title&gt;&lt;/periodical&gt;&lt;pages&gt;267-288&lt;/pages&gt;&lt;dates&gt;&lt;year&gt;1996&lt;/year&gt;&lt;/dates&gt;&lt;isbn&gt;0035-9246&lt;/isbn&gt;&lt;urls&gt;&lt;/urls&gt;&lt;/record&gt;&lt;/Cite&gt;&lt;/EndNote&gt;</w:instrText>
      </w:r>
      <w:r w:rsidRPr="00760063">
        <w:rPr>
          <w:rFonts w:cs="Times New Roman"/>
        </w:rPr>
        <w:fldChar w:fldCharType="separate"/>
      </w:r>
      <w:r w:rsidRPr="00760063">
        <w:rPr>
          <w:rFonts w:cs="Times New Roman"/>
          <w:noProof/>
        </w:rPr>
        <w:t>(Tibshirani 1996)</w:t>
      </w:r>
      <w:r w:rsidRPr="00760063">
        <w:rPr>
          <w:rFonts w:cs="Times New Roman"/>
        </w:rPr>
        <w:fldChar w:fldCharType="end"/>
      </w:r>
      <w:r w:rsidRPr="00760063">
        <w:rPr>
          <w:rFonts w:cs="Times New Roman"/>
        </w:rPr>
        <w:t xml:space="preserve"> we employed cross fold (10-fold) validation to select the optimal lambda parameter for each probe. </w:t>
      </w:r>
    </w:p>
    <w:p w14:paraId="3A5B6A48" w14:textId="77777777" w:rsidR="005E1067" w:rsidRPr="00760063" w:rsidRDefault="005E1067" w:rsidP="005E1067">
      <w:pPr>
        <w:jc w:val="both"/>
        <w:rPr>
          <w:rFonts w:cs="Times New Roman"/>
        </w:rPr>
      </w:pPr>
      <w:r w:rsidRPr="00760063">
        <w:rPr>
          <w:rFonts w:cs="Times New Roman"/>
        </w:rPr>
        <w:t xml:space="preserve"> </w:t>
      </w:r>
    </w:p>
    <w:p w14:paraId="6009235F" w14:textId="77777777" w:rsidR="005E1067" w:rsidRPr="00760063" w:rsidRDefault="002F26AC" w:rsidP="005E1067">
      <w:pPr>
        <w:jc w:val="both"/>
        <w:rPr>
          <w:rFonts w:asciiTheme="majorHAnsi" w:hAnsiTheme="majorHAnsi" w:cs="Times New Roman"/>
        </w:rPr>
      </w:pPr>
      <m:oMathPara>
        <m:oMath>
          <m:acc>
            <m:accPr>
              <m:ctrlPr>
                <w:rPr>
                  <w:rFonts w:ascii="Cambria Math" w:hAnsi="Cambria Math" w:cs="Times New Roman"/>
                  <w:i/>
                </w:rPr>
              </m:ctrlPr>
            </m:accPr>
            <m:e>
              <m:r>
                <w:rPr>
                  <w:rFonts w:ascii="Cambria Math" w:hAnsi="Cambria Math" w:cs="Times New Roman"/>
                </w:rPr>
                <m:t xml:space="preserve">β </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argmin</m:t>
              </m:r>
            </m:e>
            <m:sub>
              <m:r>
                <w:rPr>
                  <w:rFonts w:ascii="Cambria Math" w:hAnsi="Cambria Math" w:cs="Times New Roman"/>
                </w:rPr>
                <m:t xml:space="preserve">β </m:t>
              </m:r>
            </m:sub>
          </m:sSub>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Sup>
            <m:sSubSupPr>
              <m:ctrlPr>
                <w:rPr>
                  <w:rFonts w:ascii="Cambria Math" w:hAnsi="Cambria Math" w:cs="Times New Roman"/>
                  <w:i/>
                </w:rPr>
              </m:ctrlPr>
            </m:sSub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Y-</m:t>
                        </m:r>
                      </m:e>
                      <m:e>
                        <m:r>
                          <w:rPr>
                            <w:rFonts w:ascii="Cambria Math" w:hAnsi="Cambria Math" w:cs="Times New Roman"/>
                          </w:rPr>
                          <m:t>Xβ</m:t>
                        </m:r>
                      </m:e>
                    </m:mr>
                  </m:m>
                </m:e>
              </m:d>
            </m:e>
            <m:sub>
              <m:r>
                <w:rPr>
                  <w:rFonts w:ascii="Cambria Math" w:hAnsi="Cambria Math" w:cs="Times New Roman"/>
                </w:rPr>
                <m:t>F</m:t>
              </m:r>
            </m:sub>
            <m:sup>
              <m:r>
                <w:rPr>
                  <w:rFonts w:ascii="Cambria Math" w:hAnsi="Cambria Math" w:cs="Times New Roman"/>
                </w:rPr>
                <m:t>2</m:t>
              </m:r>
            </m:sup>
          </m:sSubSup>
          <m:r>
            <w:rPr>
              <w:rFonts w:ascii="Cambria Math" w:hAnsi="Cambria Math" w:cs="Times New Roman"/>
            </w:rPr>
            <m:t xml:space="preserve"> +</m:t>
          </m:r>
          <m:r>
            <m:rPr>
              <m:sty m:val="p"/>
            </m:rPr>
            <w:rPr>
              <w:rFonts w:ascii="Cambria Math" w:hAnsi="Cambria Math" w:cs="Times New Roman"/>
            </w:rPr>
            <m:t>λ</m:t>
          </m:r>
          <m:nary>
            <m:naryPr>
              <m:chr m:val="∑"/>
              <m:limLoc m:val="undOvr"/>
              <m:ctrlPr>
                <w:rPr>
                  <w:rFonts w:ascii="Cambria Math" w:hAnsi="Cambria Math" w:cs="Times New Roman"/>
                </w:rPr>
              </m:ctrlPr>
            </m:naryPr>
            <m:sub>
              <m:r>
                <w:rPr>
                  <w:rFonts w:ascii="Cambria Math" w:hAnsi="Cambria Math" w:cs="Times New Roman"/>
                </w:rPr>
                <m:t>k=1</m:t>
              </m:r>
            </m:sub>
            <m:sup>
              <m:r>
                <w:rPr>
                  <w:rFonts w:ascii="Cambria Math" w:hAnsi="Cambria Math" w:cs="Times New Roman"/>
                </w:rPr>
                <m:t>p</m:t>
              </m:r>
            </m:sup>
            <m:e>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e>
                  </m:d>
                </m:e>
                <m:sub>
                  <m:r>
                    <w:rPr>
                      <w:rFonts w:ascii="Cambria Math" w:hAnsi="Cambria Math" w:cs="Times New Roman"/>
                    </w:rPr>
                    <m:t>2</m:t>
                  </m:r>
                </m:sub>
              </m:sSub>
            </m:e>
          </m:nary>
        </m:oMath>
      </m:oMathPara>
    </w:p>
    <w:p w14:paraId="599EDDD5" w14:textId="77777777" w:rsidR="005E1067" w:rsidRPr="00760063" w:rsidRDefault="005E1067" w:rsidP="005E1067">
      <w:pPr>
        <w:jc w:val="both"/>
        <w:rPr>
          <w:rFonts w:asciiTheme="majorHAnsi" w:hAnsiTheme="majorHAnsi" w:cs="Times New Roman"/>
        </w:rPr>
      </w:pPr>
    </w:p>
    <w:p w14:paraId="3EB12AEA" w14:textId="77777777" w:rsidR="005E1067" w:rsidRPr="00760063" w:rsidRDefault="005E1067" w:rsidP="005E1067">
      <w:pPr>
        <w:jc w:val="both"/>
        <w:rPr>
          <w:rFonts w:cs="Times New Roman"/>
        </w:rPr>
      </w:pPr>
      <w:r w:rsidRPr="00760063">
        <w:rPr>
          <w:rFonts w:cs="Times New Roman"/>
        </w:rPr>
        <w:t xml:space="preserve">This λ determines the size of a complexity penalty over regression coefficients - given by the L2-norm of each row of β - relative to the accuracy of the predictions. Given that this L2-norm is computed over each row – this penalty is equivalent to the L1-norm in the univariate setting. The derivative of X was used as a preprocessing step following </w:t>
      </w:r>
      <w:r w:rsidRPr="00760063">
        <w:rPr>
          <w:rFonts w:cs="Times New Roman"/>
        </w:rPr>
        <w:fldChar w:fldCharType="begin"/>
      </w:r>
      <w:r w:rsidRPr="00760063">
        <w:rPr>
          <w:rFonts w:cs="Times New Roman"/>
        </w:rPr>
        <w:instrText xml:space="preserve"> ADDIN EN.CITE &lt;EndNote&gt;&lt;Cite&gt;&lt;Author&gt;Kishida&lt;/Author&gt;&lt;Year&gt;2011&lt;/Year&gt;&lt;RecNum&gt;125&lt;/RecNum&gt;&lt;DisplayText&gt;(Kishida, Sandberg et al. 2011)&lt;/DisplayText&gt;&lt;record&gt;&lt;rec-number&gt;125&lt;/rec-number&gt;&lt;foreign-keys&gt;&lt;key app="EN" db-id="pwd59zs5v2prpeea555vrdp6frsa2xe5rzdf" timestamp="1479645116"&gt;125&lt;/key&gt;&lt;/foreign-keys&gt;&lt;ref-type name="Journal Article"&gt;17&lt;/ref-type&gt;&lt;contributors&gt;&lt;authors&gt;&lt;author&gt;Kishida, Kenneth T&lt;/author&gt;&lt;author&gt;Sandberg, Stefan G&lt;/author&gt;&lt;author&gt;Lohrenz, Terry&lt;/author&gt;&lt;author&gt;Comair, Youssef G&lt;/author&gt;&lt;author&gt;Sáez, Ignacio&lt;/author&gt;&lt;author&gt;Phillips, Paul EM&lt;/author&gt;&lt;author&gt;Montague, P Read&lt;/author&gt;&lt;/authors&gt;&lt;/contributors&gt;&lt;titles&gt;&lt;title&gt;Sub-second dopamine detection in human striatum&lt;/title&gt;&lt;secondary-title&gt;PloS one&lt;/secondary-title&gt;&lt;/titles&gt;&lt;periodical&gt;&lt;full-title&gt;PLoS One&lt;/full-title&gt;&lt;/periodical&gt;&lt;pages&gt;e23291&lt;/pages&gt;&lt;volume&gt;6&lt;/volume&gt;&lt;number&gt;8&lt;/number&gt;&lt;dates&gt;&lt;year&gt;2011&lt;/year&gt;&lt;/dates&gt;&lt;isbn&gt;1932-6203&lt;/isbn&gt;&lt;urls&gt;&lt;/urls&gt;&lt;/record&gt;&lt;/Cite&gt;&lt;/EndNote&gt;</w:instrText>
      </w:r>
      <w:r w:rsidRPr="00760063">
        <w:rPr>
          <w:rFonts w:cs="Times New Roman"/>
        </w:rPr>
        <w:fldChar w:fldCharType="separate"/>
      </w:r>
      <w:r w:rsidRPr="00760063">
        <w:rPr>
          <w:rFonts w:cs="Times New Roman"/>
          <w:noProof/>
        </w:rPr>
        <w:t>(Kishida, Sandberg et al. 2011)</w:t>
      </w:r>
      <w:r w:rsidRPr="00760063">
        <w:rPr>
          <w:rFonts w:cs="Times New Roman"/>
        </w:rPr>
        <w:fldChar w:fldCharType="end"/>
      </w:r>
      <w:r w:rsidRPr="00760063">
        <w:rPr>
          <w:rFonts w:cs="Times New Roman"/>
        </w:rPr>
        <w:t xml:space="preserve"> while the square root operation was performed to ensure positivity in concentration estimates.  </w:t>
      </w:r>
    </w:p>
    <w:p w14:paraId="2DC83A7C" w14:textId="77777777" w:rsidR="005E1067" w:rsidRPr="00760063" w:rsidRDefault="005E1067" w:rsidP="005E1067">
      <w:pPr>
        <w:jc w:val="both"/>
        <w:rPr>
          <w:rFonts w:cs="Times New Roman"/>
        </w:rPr>
      </w:pPr>
    </w:p>
    <w:p w14:paraId="75787AF7" w14:textId="77777777" w:rsidR="005E1067" w:rsidRPr="00760063" w:rsidRDefault="005E1067" w:rsidP="005E1067">
      <w:pPr>
        <w:jc w:val="both"/>
        <w:rPr>
          <w:rFonts w:cs="Times New Roman"/>
        </w:rPr>
      </w:pPr>
      <w:r w:rsidRPr="00760063">
        <w:rPr>
          <w:rFonts w:cs="Times New Roman"/>
        </w:rPr>
        <w:t>Using the estimates (</w:t>
      </w:r>
      <m:oMath>
        <m:acc>
          <m:accPr>
            <m:ctrlPr>
              <w:rPr>
                <w:rFonts w:ascii="Cambria Math" w:hAnsi="Cambria Math" w:cs="Times New Roman"/>
                <w:i/>
              </w:rPr>
            </m:ctrlPr>
          </m:accPr>
          <m:e>
            <m:r>
              <w:rPr>
                <w:rFonts w:ascii="Cambria Math" w:hAnsi="Cambria Math" w:cs="Times New Roman"/>
              </w:rPr>
              <m:t xml:space="preserve">β </m:t>
            </m:r>
          </m:e>
        </m:acc>
      </m:oMath>
      <w:r w:rsidRPr="00760063">
        <w:rPr>
          <w:rFonts w:cs="Times New Roman"/>
        </w:rPr>
        <w:t xml:space="preserve">) that produce the minimum mean square error over folds, we predicted concentrations in the training probe and the two unseen datasets from the two remaining probes (Figure 1B-D). We analyzed the cross-probe generalizability in terms of prediction accuracy on unseen data by randomly sampling 200 tests from each known concentration level 100 times (0 – 8 </w:t>
      </w:r>
      <w:r w:rsidRPr="00760063">
        <w:rPr>
          <w:rFonts w:cs="Times New Roman"/>
        </w:rPr>
        <w:sym w:font="Symbol" w:char="F06D"/>
      </w:r>
      <w:r w:rsidRPr="00760063">
        <w:rPr>
          <w:rFonts w:cs="Times New Roman"/>
        </w:rPr>
        <w:t xml:space="preserve">M at 100nM increments) and calculating the root mean squared error for both DA and 5-HT using the average prediction from each concentration level . Over the two chemicals, the R.M.S error in predictions was found to be on average 1.9 </w:t>
      </w:r>
      <w:r w:rsidRPr="00760063">
        <w:rPr>
          <w:rFonts w:cs="Times New Roman"/>
        </w:rPr>
        <w:sym w:font="Symbol" w:char="F06D"/>
      </w:r>
      <w:r w:rsidRPr="00760063">
        <w:rPr>
          <w:rFonts w:cs="Times New Roman"/>
        </w:rPr>
        <w:t xml:space="preserve">M, 2.3 </w:t>
      </w:r>
      <w:r w:rsidRPr="00760063">
        <w:rPr>
          <w:rFonts w:cs="Times New Roman"/>
        </w:rPr>
        <w:sym w:font="Symbol" w:char="F06D"/>
      </w:r>
      <w:r w:rsidRPr="00760063">
        <w:rPr>
          <w:rFonts w:cs="Times New Roman"/>
        </w:rPr>
        <w:t xml:space="preserve">M and 2.5 </w:t>
      </w:r>
      <w:r w:rsidRPr="00760063">
        <w:rPr>
          <w:rFonts w:cs="Times New Roman"/>
        </w:rPr>
        <w:sym w:font="Symbol" w:char="F06D"/>
      </w:r>
      <w:r w:rsidRPr="00760063">
        <w:rPr>
          <w:rFonts w:cs="Times New Roman"/>
        </w:rPr>
        <w:t xml:space="preserve">M for probes 1-3 respectively. Probe 1’s regression model was thus selected to apply to our patient recordings and is reported in Figure 1. </w:t>
      </w:r>
    </w:p>
    <w:p w14:paraId="2A12405B" w14:textId="77777777" w:rsidR="005E1067" w:rsidRPr="00760063" w:rsidRDefault="005E1067" w:rsidP="005E1067">
      <w:pPr>
        <w:jc w:val="both"/>
        <w:rPr>
          <w:rFonts w:cs="Times New Roman"/>
        </w:rPr>
      </w:pPr>
    </w:p>
    <w:p w14:paraId="193BA8D2" w14:textId="77777777" w:rsidR="005E1067" w:rsidRPr="00760063" w:rsidRDefault="005E1067" w:rsidP="005E1067">
      <w:pPr>
        <w:jc w:val="both"/>
        <w:rPr>
          <w:rFonts w:cs="Times New Roman"/>
        </w:rPr>
      </w:pPr>
      <w:r w:rsidRPr="00760063">
        <w:rPr>
          <w:rFonts w:cs="Times New Roman"/>
        </w:rPr>
        <w:t xml:space="preserve">While other analytes could undergo redox reaction at our scanning voltage in the real brain; in particular the 5-HT metabolite 5-H1AA, ascorbic acid, epinephrine and adenosine these signals are unlikely to systematically align with our regression coefficients given their distinct electrochemical </w:t>
      </w:r>
      <w:r w:rsidRPr="00760063">
        <w:rPr>
          <w:rFonts w:cs="Times New Roman"/>
        </w:rPr>
        <w:lastRenderedPageBreak/>
        <w:t xml:space="preserve">profiles. Studies have shown that 5-H1AA does not have a large effect on 5-HT measures </w:t>
      </w:r>
      <w:r w:rsidRPr="00760063">
        <w:rPr>
          <w:rFonts w:cs="Times New Roman"/>
        </w:rPr>
        <w:fldChar w:fldCharType="begin"/>
      </w:r>
      <w:r w:rsidRPr="00760063">
        <w:rPr>
          <w:rFonts w:cs="Times New Roman"/>
        </w:rPr>
        <w:instrText xml:space="preserve"> ADDIN EN.CITE &lt;EndNote&gt;&lt;Cite&gt;&lt;Author&gt;Broderick&lt;/Author&gt;&lt;Year&gt;1988&lt;/Year&gt;&lt;RecNum&gt;79&lt;/RecNum&gt;&lt;DisplayText&gt;(Broderick 1988)&lt;/DisplayText&gt;&lt;record&gt;&lt;rec-number&gt;79&lt;/rec-number&gt;&lt;foreign-keys&gt;&lt;key app="EN" db-id="pwd59zs5v2prpeea555vrdp6frsa2xe5rzdf" timestamp="1479643003"&gt;79&lt;/key&gt;&lt;/foreign-keys&gt;&lt;ref-type name="Journal Article"&gt;17&lt;/ref-type&gt;&lt;contributors&gt;&lt;authors&gt;&lt;author&gt;Broderick, Patricia A&lt;/author&gt;&lt;/authors&gt;&lt;/contributors&gt;&lt;titles&gt;&lt;title&gt;Distinguishing in vitro electrochemical signatures for norepinephrine and dopamine&lt;/title&gt;&lt;secondary-title&gt;Neuroscience letters&lt;/secondary-title&gt;&lt;/titles&gt;&lt;periodical&gt;&lt;full-title&gt;Neuroscience letters&lt;/full-title&gt;&lt;/periodical&gt;&lt;pages&gt;275-280&lt;/pages&gt;&lt;volume&gt;95&lt;/volume&gt;&lt;number&gt;1-3&lt;/number&gt;&lt;dates&gt;&lt;year&gt;1988&lt;/year&gt;&lt;/dates&gt;&lt;isbn&gt;0304-3940&lt;/isbn&gt;&lt;urls&gt;&lt;/urls&gt;&lt;/record&gt;&lt;/Cite&gt;&lt;/EndNote&gt;</w:instrText>
      </w:r>
      <w:r w:rsidRPr="00760063">
        <w:rPr>
          <w:rFonts w:cs="Times New Roman"/>
        </w:rPr>
        <w:fldChar w:fldCharType="separate"/>
      </w:r>
      <w:r w:rsidRPr="00760063">
        <w:rPr>
          <w:rFonts w:cs="Times New Roman"/>
          <w:noProof/>
        </w:rPr>
        <w:t>(Broderick 1988)</w:t>
      </w:r>
      <w:r w:rsidRPr="00760063">
        <w:rPr>
          <w:rFonts w:cs="Times New Roman"/>
        </w:rPr>
        <w:fldChar w:fldCharType="end"/>
      </w:r>
      <w:r w:rsidRPr="00760063">
        <w:rPr>
          <w:rFonts w:cs="Times New Roman"/>
        </w:rPr>
        <w:t xml:space="preserve"> in comparison to changing pH or changing temperatures and that epinephrine and ascorbic acid and adenosine can be distinguished from their peak oxidation potential alone </w:t>
      </w:r>
      <w:r w:rsidRPr="00760063">
        <w:rPr>
          <w:rFonts w:cs="Times New Roman"/>
        </w:rPr>
        <w:fldChar w:fldCharType="begin"/>
      </w:r>
      <w:r w:rsidRPr="00760063">
        <w:rPr>
          <w:rFonts w:cs="Times New Roman"/>
        </w:rPr>
        <w:instrText xml:space="preserve"> ADDIN EN.CITE &lt;EndNote&gt;&lt;Cite&gt;&lt;Author&gt;Fang&lt;/Author&gt;&lt;Year&gt;2013&lt;/Year&gt;&lt;RecNum&gt;81&lt;/RecNum&gt;&lt;DisplayText&gt;(Fang, Pajski et al. 2013, Shankar and Swamy 2014)&lt;/DisplayText&gt;&lt;record&gt;&lt;rec-number&gt;81&lt;/rec-number&gt;&lt;foreign-keys&gt;&lt;key app="EN" db-id="pwd59zs5v2prpeea555vrdp6frsa2xe5rzdf" timestamp="1479644714"&gt;81&lt;/key&gt;&lt;/foreign-keys&gt;&lt;ref-type name="Journal Article"&gt;17&lt;/ref-type&gt;&lt;contributors&gt;&lt;authors&gt;&lt;author&gt;Fang, Huaifang&lt;/author&gt;&lt;author&gt;Pajski, Megan L&lt;/author&gt;&lt;author&gt;Ross, Ashley E&lt;/author&gt;&lt;author&gt;Venton, B Jill&lt;/author&gt;&lt;/authors&gt;&lt;/contributors&gt;&lt;titles&gt;&lt;title&gt;Quantitation of dopamine, serotonin and adenosine content in a tissue punch from a brain slice using capillary electrophoresis with fast-scan cyclic voltammetry detection&lt;/title&gt;&lt;secondary-title&gt;Analytical Methods&lt;/secondary-title&gt;&lt;/titles&gt;&lt;periodical&gt;&lt;full-title&gt;Analytical Methods&lt;/full-title&gt;&lt;/periodical&gt;&lt;pages&gt;2704-2711&lt;/pages&gt;&lt;volume&gt;5&lt;/volume&gt;&lt;number&gt;11&lt;/number&gt;&lt;dates&gt;&lt;year&gt;2013&lt;/year&gt;&lt;/dates&gt;&lt;urls&gt;&lt;/urls&gt;&lt;/record&gt;&lt;/Cite&gt;&lt;Cite&gt;&lt;Author&gt;Shankar&lt;/Author&gt;&lt;Year&gt;2014&lt;/Year&gt;&lt;RecNum&gt;80&lt;/RecNum&gt;&lt;record&gt;&lt;rec-number&gt;80&lt;/rec-number&gt;&lt;foreign-keys&gt;&lt;key app="EN" db-id="pwd59zs5v2prpeea555vrdp6frsa2xe5rzdf" timestamp="1479643883"&gt;80&lt;/key&gt;&lt;/foreign-keys&gt;&lt;ref-type name="Journal Article"&gt;17&lt;/ref-type&gt;&lt;contributors&gt;&lt;authors&gt;&lt;author&gt;Shankar, S Sharath&lt;/author&gt;&lt;author&gt;Swamy, BE Kumara&lt;/author&gt;&lt;/authors&gt;&lt;/contributors&gt;&lt;titles&gt;&lt;title&gt;Detection of epinephrine in presence of serotonin and ascorbic acid by TTAB modified carbon paste electrode: a voltammetric study&lt;/title&gt;&lt;secondary-title&gt;Int J Electrochem Sci&lt;/secondary-title&gt;&lt;/titles&gt;&lt;periodical&gt;&lt;full-title&gt;Int J Electrochem Sci&lt;/full-title&gt;&lt;/periodical&gt;&lt;pages&gt;1321-1339&lt;/pages&gt;&lt;volume&gt;9&lt;/volume&gt;&lt;number&gt;3&lt;/number&gt;&lt;dates&gt;&lt;year&gt;2014&lt;/year&gt;&lt;/dates&gt;&lt;urls&gt;&lt;/urls&gt;&lt;/record&gt;&lt;/Cite&gt;&lt;/EndNote&gt;</w:instrText>
      </w:r>
      <w:r w:rsidRPr="00760063">
        <w:rPr>
          <w:rFonts w:cs="Times New Roman"/>
        </w:rPr>
        <w:fldChar w:fldCharType="separate"/>
      </w:r>
      <w:r w:rsidRPr="00760063">
        <w:rPr>
          <w:rFonts w:cs="Times New Roman"/>
          <w:noProof/>
        </w:rPr>
        <w:t>(Fang, Pajski et al. 2013, Shankar and Swamy 2014)</w:t>
      </w:r>
      <w:r w:rsidRPr="00760063">
        <w:rPr>
          <w:rFonts w:cs="Times New Roman"/>
        </w:rPr>
        <w:fldChar w:fldCharType="end"/>
      </w:r>
      <w:r w:rsidRPr="00760063">
        <w:rPr>
          <w:rFonts w:cs="Times New Roman"/>
        </w:rPr>
        <w:t>.</w:t>
      </w:r>
    </w:p>
    <w:p w14:paraId="774A9910" w14:textId="77777777" w:rsidR="000E5D31" w:rsidRPr="00760063" w:rsidRDefault="000E5D31" w:rsidP="00D21575">
      <w:pPr>
        <w:jc w:val="both"/>
      </w:pPr>
    </w:p>
    <w:p w14:paraId="69C159D9" w14:textId="77777777" w:rsidR="00A0479A" w:rsidRPr="00760063" w:rsidRDefault="00A0479A" w:rsidP="00A0479A">
      <w:pPr>
        <w:jc w:val="both"/>
        <w:rPr>
          <w:rFonts w:cs="Times New Roman"/>
        </w:rPr>
      </w:pPr>
    </w:p>
    <w:p w14:paraId="39A0C3EE" w14:textId="77777777" w:rsidR="00A0479A" w:rsidRPr="00760063" w:rsidRDefault="00A0479A" w:rsidP="00A0479A">
      <w:pPr>
        <w:jc w:val="both"/>
        <w:rPr>
          <w:rFonts w:cs="Times New Roman"/>
          <w:b/>
        </w:rPr>
      </w:pPr>
      <w:r w:rsidRPr="00760063">
        <w:rPr>
          <w:rFonts w:cs="Times New Roman"/>
          <w:b/>
        </w:rPr>
        <w:t xml:space="preserve">Computing Reward Prediction Errors </w:t>
      </w:r>
    </w:p>
    <w:p w14:paraId="67896317" w14:textId="77777777" w:rsidR="00A0479A" w:rsidRPr="00760063" w:rsidRDefault="00A0479A" w:rsidP="00A0479A">
      <w:pPr>
        <w:jc w:val="both"/>
        <w:rPr>
          <w:rFonts w:cs="Times New Roman"/>
        </w:rPr>
      </w:pPr>
      <w:r w:rsidRPr="00760063">
        <w:rPr>
          <w:rFonts w:cs="Times New Roman"/>
        </w:rPr>
        <w:t xml:space="preserve">In this game, stock markets rise and fall according to historic recorded prices and we calculate the return on each investment on each trial as a percentage change in market price for each reveal event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t</m:t>
            </m:r>
          </m:sup>
        </m:sSup>
        <m:r>
          <w:rPr>
            <w:rFonts w:ascii="Cambria Math" w:hAnsi="Cambria Math" w:cs="Times New Roman"/>
          </w:rPr>
          <m:t>=</m:t>
        </m:r>
        <m:f>
          <m:fPr>
            <m:type m:val="skw"/>
            <m:ctrlPr>
              <w:rPr>
                <w:rFonts w:ascii="Cambria Math" w:hAnsi="Cambria Math" w:cs="Times New Roman"/>
              </w:rPr>
            </m:ctrlPr>
          </m:fPr>
          <m:num>
            <m:r>
              <m:rPr>
                <m:sty m:val="p"/>
              </m:rPr>
              <w:rPr>
                <w:rFonts w:ascii="Cambria Math" w:hAnsi="Cambria Math" w:cs="Times New Roman"/>
              </w:rPr>
              <m:t xml:space="preserve"> ∆</m:t>
            </m:r>
            <m:sSup>
              <m:sSupPr>
                <m:ctrlPr>
                  <w:rPr>
                    <w:rFonts w:ascii="Cambria Math" w:hAnsi="Cambria Math" w:cs="Times New Roman"/>
                  </w:rPr>
                </m:ctrlPr>
              </m:sSupPr>
              <m:e>
                <m:r>
                  <w:rPr>
                    <w:rFonts w:ascii="Cambria Math" w:hAnsi="Cambria Math" w:cs="Times New Roman"/>
                  </w:rPr>
                  <m:t>p</m:t>
                </m:r>
              </m:e>
              <m:sup>
                <m:r>
                  <w:rPr>
                    <w:rFonts w:ascii="Cambria Math" w:hAnsi="Cambria Math" w:cs="Times New Roman"/>
                  </w:rPr>
                  <m:t>t</m:t>
                </m:r>
              </m:sup>
            </m:sSup>
          </m:num>
          <m:den>
            <m:sSup>
              <m:sSupPr>
                <m:ctrlPr>
                  <w:rPr>
                    <w:rFonts w:ascii="Cambria Math" w:hAnsi="Cambria Math" w:cs="Times New Roman"/>
                  </w:rPr>
                </m:ctrlPr>
              </m:sSupPr>
              <m:e>
                <m:r>
                  <w:rPr>
                    <w:rFonts w:ascii="Cambria Math" w:hAnsi="Cambria Math" w:cs="Times New Roman"/>
                  </w:rPr>
                  <m:t>p</m:t>
                </m:r>
              </m:e>
              <m:sup>
                <m:r>
                  <w:rPr>
                    <w:rFonts w:ascii="Cambria Math" w:hAnsi="Cambria Math" w:cs="Times New Roman"/>
                  </w:rPr>
                  <m:t>t-1</m:t>
                </m:r>
              </m:sup>
            </m:sSup>
          </m:den>
        </m:f>
      </m:oMath>
      <w:r w:rsidRPr="00760063">
        <w:rPr>
          <w:rFonts w:cs="Times New Roman"/>
        </w:rPr>
        <w:t xml:space="preserve">. In order to calculate the reward prediction error (RPE) on each trial we employed a running average RPE. For this we considered the bet submitted on that trial, </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t</m:t>
            </m:r>
          </m:sup>
        </m:sSup>
      </m:oMath>
      <w:r w:rsidRPr="00760063">
        <w:rPr>
          <w:rFonts w:cs="Times New Roman"/>
        </w:rPr>
        <w:t xml:space="preserve"> and the history of bets and returns over each of the six markets:</w:t>
      </w:r>
    </w:p>
    <w:p w14:paraId="1CAB5D32" w14:textId="77777777" w:rsidR="00A0479A" w:rsidRPr="00760063" w:rsidRDefault="00A0479A" w:rsidP="00A0479A">
      <w:pPr>
        <w:jc w:val="both"/>
        <w:rPr>
          <w:rFonts w:cs="Times New Roman"/>
        </w:rPr>
      </w:pPr>
    </w:p>
    <w:p w14:paraId="752319F5" w14:textId="77777777" w:rsidR="00A0479A" w:rsidRPr="00760063" w:rsidRDefault="00A0479A" w:rsidP="00A0479A">
      <w:pPr>
        <w:jc w:val="both"/>
        <w:rPr>
          <w:rFonts w:cs="Times New Roman"/>
        </w:rPr>
      </w:pPr>
      <m:oMath>
        <m:r>
          <w:rPr>
            <w:rFonts w:ascii="Cambria Math" w:hAnsi="Cambria Math" w:cs="Times New Roman"/>
          </w:rPr>
          <m:t>RPE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t</m:t>
                </m:r>
              </m:sup>
            </m:sSup>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t</m:t>
                </m:r>
              </m:sup>
            </m:sSup>
            <m:r>
              <w:rPr>
                <w:rFonts w:ascii="Cambria Math" w:hAnsi="Cambria Math" w:cs="Times New Roman"/>
              </w:rPr>
              <m:t>-E(</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t</m:t>
                </m:r>
              </m:sup>
            </m:sSup>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t</m:t>
                </m:r>
              </m:sup>
            </m:sSup>
            <m:r>
              <w:rPr>
                <w:rFonts w:ascii="Cambria Math" w:hAnsi="Cambria Math" w:cs="Times New Roman"/>
              </w:rPr>
              <m:t>)</m:t>
            </m:r>
          </m:num>
          <m:den>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t</m:t>
                </m:r>
              </m:sub>
            </m:sSub>
          </m:den>
        </m:f>
      </m:oMath>
      <w:r w:rsidRPr="00760063">
        <w:rPr>
          <w:rFonts w:cs="Times New Roman"/>
        </w:rPr>
        <w:t xml:space="preserve">  </w:t>
      </w:r>
      <w:r w:rsidRPr="00760063">
        <w:rPr>
          <w:rFonts w:cs="Times New Roman"/>
        </w:rPr>
        <w:tab/>
      </w:r>
      <w:r w:rsidRPr="00760063">
        <w:rPr>
          <w:rFonts w:cs="Times New Roman"/>
        </w:rPr>
        <w:tab/>
        <w:t>(Eqn. 1)</w:t>
      </w:r>
      <w:r w:rsidRPr="00760063">
        <w:rPr>
          <w:rFonts w:cs="Times New Roman"/>
        </w:rPr>
        <w:tab/>
      </w:r>
      <w:r w:rsidRPr="00760063">
        <w:rPr>
          <w:rFonts w:cs="Times New Roman"/>
        </w:rPr>
        <w:tab/>
      </w:r>
      <w:r w:rsidRPr="00760063">
        <w:rPr>
          <w:rFonts w:cs="Times New Roman"/>
        </w:rPr>
        <w:tab/>
      </w:r>
      <w:r w:rsidRPr="00760063">
        <w:rPr>
          <w:rFonts w:cs="Times New Roman"/>
        </w:rPr>
        <w:tab/>
        <w:t xml:space="preserve"> </w:t>
      </w:r>
    </w:p>
    <w:p w14:paraId="5EA7C131" w14:textId="77777777" w:rsidR="00A0479A" w:rsidRPr="00760063" w:rsidRDefault="00A0479A" w:rsidP="00A0479A">
      <w:pPr>
        <w:jc w:val="both"/>
        <w:rPr>
          <w:rFonts w:cs="Times New Roman"/>
          <w:b/>
        </w:rPr>
      </w:pPr>
    </w:p>
    <w:p w14:paraId="64AB51EF" w14:textId="77777777" w:rsidR="00A0479A" w:rsidRPr="00760063" w:rsidRDefault="00A0479A" w:rsidP="00A0479A">
      <w:pPr>
        <w:jc w:val="both"/>
        <w:rPr>
          <w:rFonts w:cs="Times New Roman"/>
        </w:rPr>
      </w:pPr>
      <w:r w:rsidRPr="00760063">
        <w:rPr>
          <w:rFonts w:cs="Times New Roman"/>
        </w:rPr>
        <w:t xml:space="preserve">With </w:t>
      </w:r>
      <m:oMath>
        <m:r>
          <w:rPr>
            <w:rFonts w:ascii="Cambria Math" w:hAnsi="Cambria Math" w:cs="Times New Roman"/>
          </w:rPr>
          <m:t>E</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t</m:t>
                </m:r>
              </m:sup>
            </m:sSup>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t</m:t>
                </m:r>
              </m:sup>
            </m:sSup>
          </m:e>
        </m:d>
      </m:oMath>
      <w:r w:rsidRPr="00760063">
        <w:rPr>
          <w:rFonts w:cs="Times New Roman"/>
        </w:rPr>
        <w:t xml:space="preserve">  the running average return on investment from trial t = 3 for each market and </w:t>
      </w:r>
      <m:oMath>
        <m:sSub>
          <m:sSubPr>
            <m:ctrlPr>
              <w:rPr>
                <w:rFonts w:ascii="Cambria Math" w:hAnsi="Cambria Math" w:cs="Times New Roman"/>
                <w:i/>
              </w:rPr>
            </m:ctrlPr>
          </m:sSubPr>
          <m:e>
            <m:r>
              <w:rPr>
                <w:rFonts w:ascii="Cambria Math" w:hAnsi="Cambria Math" w:cs="Times New Roman"/>
              </w:rPr>
              <m:t>σ</m:t>
            </m:r>
          </m:e>
          <m:sub>
            <m:r>
              <m:rPr>
                <m:sty m:val="p"/>
              </m:rPr>
              <w:rPr>
                <w:rFonts w:ascii="Cambria Math" w:hAnsi="Cambria Math" w:cs="Times New Roman"/>
              </w:rPr>
              <m:t>t</m:t>
            </m:r>
          </m:sub>
        </m:sSub>
      </m:oMath>
      <w:r w:rsidRPr="00760063">
        <w:rPr>
          <w:rFonts w:cs="Times New Roman"/>
        </w:rPr>
        <w:t xml:space="preserve"> its standard deviation. For trial t = 1 the RPE was set to </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1</m:t>
            </m:r>
          </m:sup>
        </m:sSup>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1</m:t>
            </m:r>
          </m:sup>
        </m:sSup>
      </m:oMath>
      <w:r w:rsidRPr="00760063">
        <w:rPr>
          <w:rFonts w:cs="Times New Roman"/>
        </w:rPr>
        <w:t xml:space="preserve">  and t = 2 was set to the difference: </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1</m:t>
            </m:r>
          </m:sup>
        </m:sSup>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1</m:t>
            </m:r>
          </m:sup>
        </m:sSup>
      </m:oMath>
      <w:r w:rsidRPr="00760063">
        <w:rPr>
          <w:rFonts w:cs="Times New Roman"/>
        </w:rPr>
        <w:t>. We used this computation of RPE to retain consistency with Kishida et al. 2016. Other computations e.g. including adaptive learning rates could also have been applied but there was no structure per se in the markets that were used in this task.</w:t>
      </w:r>
    </w:p>
    <w:p w14:paraId="1B733590" w14:textId="77777777" w:rsidR="00A0479A" w:rsidRPr="00760063" w:rsidRDefault="00A0479A" w:rsidP="00A0479A">
      <w:pPr>
        <w:jc w:val="both"/>
        <w:rPr>
          <w:rFonts w:asciiTheme="majorHAnsi" w:hAnsiTheme="majorHAnsi" w:cs="Times New Roman"/>
          <w:b/>
        </w:rPr>
      </w:pPr>
    </w:p>
    <w:p w14:paraId="08D5FD82" w14:textId="77777777" w:rsidR="00A0479A" w:rsidRPr="00760063" w:rsidRDefault="00A0479A" w:rsidP="00D21575">
      <w:pPr>
        <w:jc w:val="both"/>
      </w:pPr>
    </w:p>
    <w:p w14:paraId="65E03E4B" w14:textId="77777777" w:rsidR="00396ABB" w:rsidRPr="00760063" w:rsidRDefault="00396ABB" w:rsidP="00D21575">
      <w:pPr>
        <w:jc w:val="both"/>
      </w:pPr>
    </w:p>
    <w:p w14:paraId="430534AB" w14:textId="534023A2" w:rsidR="00D21575" w:rsidRPr="00760063" w:rsidRDefault="00CE759A" w:rsidP="00D21575">
      <w:pPr>
        <w:jc w:val="both"/>
        <w:rPr>
          <w:b/>
          <w:lang w:val="en-US"/>
        </w:rPr>
      </w:pPr>
      <w:r w:rsidRPr="00760063">
        <w:rPr>
          <w:b/>
          <w:lang w:val="en-US"/>
        </w:rPr>
        <w:t>S</w:t>
      </w:r>
      <w:r w:rsidR="00AD0260" w:rsidRPr="00760063">
        <w:rPr>
          <w:b/>
          <w:lang w:val="en-US"/>
        </w:rPr>
        <w:t>upplementary</w:t>
      </w:r>
      <w:r w:rsidR="00D21575" w:rsidRPr="00760063">
        <w:rPr>
          <w:b/>
          <w:lang w:val="en-US"/>
        </w:rPr>
        <w:t xml:space="preserve"> </w:t>
      </w:r>
      <w:r w:rsidR="00A0479A" w:rsidRPr="00760063">
        <w:rPr>
          <w:b/>
          <w:lang w:val="en-US"/>
        </w:rPr>
        <w:t>Figure</w:t>
      </w:r>
      <w:r w:rsidR="00396ABB" w:rsidRPr="00760063">
        <w:rPr>
          <w:b/>
          <w:lang w:val="en-US"/>
        </w:rPr>
        <w:t>s</w:t>
      </w:r>
    </w:p>
    <w:p w14:paraId="39C26022" w14:textId="77777777" w:rsidR="00D21575" w:rsidRPr="00760063" w:rsidRDefault="00D21575" w:rsidP="00D21575">
      <w:pPr>
        <w:jc w:val="both"/>
        <w:rPr>
          <w:b/>
          <w:lang w:val="en-US"/>
        </w:rPr>
      </w:pPr>
    </w:p>
    <w:p w14:paraId="70EED449" w14:textId="77777777" w:rsidR="001D352E" w:rsidRPr="00760063" w:rsidRDefault="0049411B" w:rsidP="00D21575">
      <w:pPr>
        <w:jc w:val="both"/>
        <w:rPr>
          <w:b/>
          <w:lang w:val="en-US"/>
        </w:rPr>
      </w:pPr>
      <w:r w:rsidRPr="00760063">
        <w:rPr>
          <w:b/>
          <w:noProof/>
        </w:rPr>
        <w:lastRenderedPageBreak/>
        <w:drawing>
          <wp:inline distT="0" distB="0" distL="0" distR="0" wp14:anchorId="3F884680" wp14:editId="6A0563D4">
            <wp:extent cx="5731510" cy="32099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09925"/>
                    </a:xfrm>
                    <a:prstGeom prst="rect">
                      <a:avLst/>
                    </a:prstGeom>
                  </pic:spPr>
                </pic:pic>
              </a:graphicData>
            </a:graphic>
          </wp:inline>
        </w:drawing>
      </w:r>
    </w:p>
    <w:p w14:paraId="1552EFDB" w14:textId="77777777" w:rsidR="001D352E" w:rsidRPr="00760063" w:rsidRDefault="001D352E" w:rsidP="00D21575">
      <w:pPr>
        <w:jc w:val="both"/>
        <w:rPr>
          <w:b/>
          <w:lang w:val="en-US"/>
        </w:rPr>
      </w:pPr>
    </w:p>
    <w:p w14:paraId="29C85770" w14:textId="77777777" w:rsidR="00D21575" w:rsidRPr="00760063" w:rsidRDefault="00D21575" w:rsidP="00D21575">
      <w:pPr>
        <w:jc w:val="both"/>
        <w:rPr>
          <w:lang w:val="en-US"/>
        </w:rPr>
      </w:pPr>
      <w:r w:rsidRPr="00760063">
        <w:rPr>
          <w:lang w:val="en-US"/>
        </w:rPr>
        <w:t xml:space="preserve">Supplement Figure </w:t>
      </w:r>
      <w:r w:rsidR="001D352E" w:rsidRPr="00760063">
        <w:rPr>
          <w:lang w:val="en-US"/>
        </w:rPr>
        <w:t>S</w:t>
      </w:r>
      <w:r w:rsidRPr="00760063">
        <w:rPr>
          <w:lang w:val="en-US"/>
        </w:rPr>
        <w:t>1.</w:t>
      </w:r>
      <w:r w:rsidR="0049411B" w:rsidRPr="00760063">
        <w:rPr>
          <w:lang w:val="en-US"/>
        </w:rPr>
        <w:t xml:space="preserve"> </w:t>
      </w:r>
      <w:r w:rsidR="0049411B" w:rsidRPr="00760063">
        <w:t xml:space="preserve">This flow-chart illustrates the supervised learning approach used to train a regression model which could predict concentration changes in serotonin and dopamine (Top panel). The Bottom panel illustrates how the model was tested </w:t>
      </w:r>
      <w:r w:rsidR="0049411B" w:rsidRPr="00760063">
        <w:rPr>
          <w:i/>
        </w:rPr>
        <w:t>in vitro</w:t>
      </w:r>
      <w:r w:rsidR="0049411B" w:rsidRPr="00760063">
        <w:t xml:space="preserve">; using substances with known amounts of each analyte and </w:t>
      </w:r>
      <w:r w:rsidR="0049411B" w:rsidRPr="00760063">
        <w:rPr>
          <w:i/>
        </w:rPr>
        <w:t>in vivo</w:t>
      </w:r>
      <w:r w:rsidR="0049411B" w:rsidRPr="00760063">
        <w:t>; using previously published fluctuations in dopamine.</w:t>
      </w:r>
      <w:r w:rsidR="0049411B" w:rsidRPr="00760063">
        <w:rPr>
          <w:lang w:val="en-US"/>
        </w:rPr>
        <w:t xml:space="preserve"> </w:t>
      </w:r>
    </w:p>
    <w:p w14:paraId="05CF23FB" w14:textId="77777777" w:rsidR="00D21575" w:rsidRPr="00760063" w:rsidRDefault="00D21575" w:rsidP="00D21575">
      <w:pPr>
        <w:jc w:val="both"/>
        <w:rPr>
          <w:b/>
          <w:lang w:val="en-US"/>
        </w:rPr>
      </w:pPr>
    </w:p>
    <w:p w14:paraId="76A401D0" w14:textId="5BE89495" w:rsidR="0049411B" w:rsidRPr="00760063" w:rsidRDefault="00EC38DC" w:rsidP="00D21575">
      <w:pPr>
        <w:jc w:val="both"/>
        <w:rPr>
          <w:b/>
          <w:lang w:val="en-US"/>
        </w:rPr>
      </w:pPr>
      <w:r w:rsidRPr="00760063">
        <w:rPr>
          <w:b/>
          <w:noProof/>
        </w:rPr>
        <w:lastRenderedPageBreak/>
        <w:drawing>
          <wp:inline distT="0" distB="0" distL="0" distR="0" wp14:anchorId="0498F15F" wp14:editId="5F3933E5">
            <wp:extent cx="5731510" cy="44342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pp2_new.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434205"/>
                    </a:xfrm>
                    <a:prstGeom prst="rect">
                      <a:avLst/>
                    </a:prstGeom>
                  </pic:spPr>
                </pic:pic>
              </a:graphicData>
            </a:graphic>
          </wp:inline>
        </w:drawing>
      </w:r>
    </w:p>
    <w:p w14:paraId="0CE67A28" w14:textId="5E508C2E" w:rsidR="00D21575" w:rsidRPr="00760063" w:rsidRDefault="0049411B" w:rsidP="00D21575">
      <w:pPr>
        <w:jc w:val="both"/>
        <w:rPr>
          <w:lang w:val="en-US"/>
        </w:rPr>
      </w:pPr>
      <w:r w:rsidRPr="00760063">
        <w:rPr>
          <w:lang w:val="en-US"/>
        </w:rPr>
        <w:t xml:space="preserve">Supplement Figure S2. </w:t>
      </w:r>
      <w:r w:rsidRPr="00760063">
        <w:t>(A) Using a test-set created out of low-concentration mixtures we tested whether our method could distinguish small fluctuations in 5-HT. We used mixtures with 20-100 nM of 5-HT, (in the presence of fluctuating dopamine) mixtures with 120 – 200 nM of 5-HT, mixtures with 220 – 300 nM of 5-HT and mixtures with 320 – 400 nM of 5-HT. We found that pooling within these concentration bands (x-axis) our method could correctly detect increases across each band (y-axis), with high confidence p &lt; 0.0005.</w:t>
      </w:r>
      <w:r w:rsidRPr="00760063">
        <w:rPr>
          <w:lang w:val="en-US"/>
        </w:rPr>
        <w:t xml:space="preserve"> (B) Serotonin predictions are not affected by pH levels in a flow cell using a LASSO regression model. </w:t>
      </w:r>
      <w:r w:rsidR="00D21575" w:rsidRPr="00760063">
        <w:rPr>
          <w:lang w:val="en-US"/>
        </w:rPr>
        <w:t>The flow cell predictions are illustrated for serotonin under varying levels of pH in the mixture. Serotonin was sampled at each level of concentration from 0.1 - 8µM in 0.1µM increments. For each of these 80 concentrations we computed the serotonin prediction over different levels of sample pH. Over this test grid we interpolated (using linear triangulation) across the acquired tests samples (denoted by an asterisk) to produce a 3-dimensional heat map of serotonin predictions.  This plot show that serotonin predictions do not vary systematically with alterations in pH but remain linear.</w:t>
      </w:r>
      <w:r w:rsidR="00EC38DC" w:rsidRPr="00760063">
        <w:rPr>
          <w:lang w:val="en-US"/>
        </w:rPr>
        <w:t xml:space="preserve"> (C)</w:t>
      </w:r>
      <w:r w:rsidR="00EC38DC" w:rsidRPr="00760063">
        <w:rPr>
          <w:rFonts w:cs="Arial"/>
          <w:bCs/>
        </w:rPr>
        <w:t xml:space="preserve">  Correlations among the predicted concentrations were calculated for the whole experiment (left) and at the 0-600 msec time period which is the focus of our analysis. We measured small but positive, correlations among these transmitter estimates which suggests that the RPE effects are not confused between the two transmitters (since they ae negatively correlated in terms of the direction of the expressed effects).</w:t>
      </w:r>
    </w:p>
    <w:p w14:paraId="00E91219" w14:textId="77777777" w:rsidR="0049411B" w:rsidRPr="00760063" w:rsidRDefault="0049411B" w:rsidP="00D21575">
      <w:pPr>
        <w:jc w:val="both"/>
        <w:rPr>
          <w:b/>
          <w:lang w:val="en-US"/>
        </w:rPr>
      </w:pPr>
    </w:p>
    <w:p w14:paraId="0867FA17" w14:textId="22B0C977" w:rsidR="0049411B" w:rsidRPr="00760063" w:rsidRDefault="003E1160" w:rsidP="00D21575">
      <w:pPr>
        <w:jc w:val="both"/>
        <w:rPr>
          <w:b/>
          <w:lang w:val="en-US"/>
        </w:rPr>
      </w:pPr>
      <w:r w:rsidRPr="00760063">
        <w:rPr>
          <w:b/>
          <w:noProof/>
        </w:rPr>
        <w:lastRenderedPageBreak/>
        <w:drawing>
          <wp:inline distT="0" distB="0" distL="0" distR="0" wp14:anchorId="732D8F47" wp14:editId="7F20E71A">
            <wp:extent cx="5731510" cy="31616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pp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161665"/>
                    </a:xfrm>
                    <a:prstGeom prst="rect">
                      <a:avLst/>
                    </a:prstGeom>
                  </pic:spPr>
                </pic:pic>
              </a:graphicData>
            </a:graphic>
          </wp:inline>
        </w:drawing>
      </w:r>
    </w:p>
    <w:p w14:paraId="17F1EFE5" w14:textId="40383DBF" w:rsidR="0049411B" w:rsidRPr="00760063" w:rsidRDefault="0049411B" w:rsidP="0049411B">
      <w:pPr>
        <w:jc w:val="both"/>
      </w:pPr>
      <w:bookmarkStart w:id="1" w:name="_Hlk494620329"/>
      <w:r w:rsidRPr="00760063">
        <w:rPr>
          <w:lang w:val="en-US"/>
        </w:rPr>
        <w:t xml:space="preserve">Supplement Figure S3. </w:t>
      </w:r>
      <w:r w:rsidRPr="00760063">
        <w:t xml:space="preserve"> (A)</w:t>
      </w:r>
      <w:r w:rsidR="0094236B" w:rsidRPr="00760063">
        <w:rPr>
          <w:rFonts w:cs="Times New Roman"/>
        </w:rPr>
        <w:t xml:space="preserve"> Here, instead of a pre-stimulus baseline as per (figure 4 main text), we tested a baseline at 0 msec and found a similar profile but reduced-magnitude response. Using a non-parametric approach we tested within each bet level band (high and low), the relative difference of serotonin responses to negative compared to positive reward prediction errors. With this baseline a significant </w:t>
      </w:r>
      <w:r w:rsidR="00E65630" w:rsidRPr="00760063">
        <w:rPr>
          <w:rFonts w:cs="Times New Roman"/>
        </w:rPr>
        <w:t xml:space="preserve">interaction </w:t>
      </w:r>
      <w:r w:rsidR="0094236B" w:rsidRPr="00760063">
        <w:rPr>
          <w:rFonts w:cs="Times New Roman"/>
        </w:rPr>
        <w:t xml:space="preserve">effect of bet on (negative – positive) prediction errors was found for 100 msec with a larger positive response at high compared to low bet levels (p =0.047), consistent with figure 4. However, this did not survive correction. </w:t>
      </w:r>
      <w:r w:rsidR="007E102F" w:rsidRPr="00760063">
        <w:rPr>
          <w:rFonts w:cs="Times New Roman"/>
        </w:rPr>
        <w:t>These baseline changes are worth further exploration and have been reported in basal ganglia structures previously for cued stopping and behavioural inhibition tasks in rodents (</w:t>
      </w:r>
      <w:r w:rsidR="00B51C15" w:rsidRPr="00760063">
        <w:rPr>
          <w:rFonts w:cs="Times New Roman"/>
        </w:rPr>
        <w:t>Schmidt et al. 2013</w:t>
      </w:r>
      <w:r w:rsidR="007E102F" w:rsidRPr="00760063">
        <w:rPr>
          <w:rFonts w:cs="Times New Roman"/>
        </w:rPr>
        <w:t>)</w:t>
      </w:r>
      <w:r w:rsidR="00B51C15" w:rsidRPr="00760063">
        <w:rPr>
          <w:rFonts w:cs="Times New Roman"/>
        </w:rPr>
        <w:t>.</w:t>
      </w:r>
      <w:r w:rsidR="007E102F" w:rsidRPr="00760063">
        <w:rPr>
          <w:rFonts w:cs="Times New Roman"/>
        </w:rPr>
        <w:t xml:space="preserve"> </w:t>
      </w:r>
      <w:bookmarkEnd w:id="1"/>
      <w:r w:rsidRPr="00760063">
        <w:t>(B) Using a random effects analysis we tested whether the RPE effect was significant across our population. Specifically, we employed a summary statistic approach – averaging four 5-HT responses (high, low bets and positive and negative RPEs) for each of the 16 records and then performed a two-sample two–sided t test for responses under high and low betting levels (df = 30). We observed a significant effect at high bets for positive compared to negative reward prediction errors</w:t>
      </w:r>
      <w:r w:rsidR="001D2DE0" w:rsidRPr="00760063">
        <w:t xml:space="preserve"> (*p &lt; 0.05, **p&lt; 0.05)</w:t>
      </w:r>
      <w:r w:rsidRPr="00760063">
        <w:t>. Using a one sample t test (df = 15), we tested which effects differed from zero and found this effect for positive reward prediction error responses following high bets</w:t>
      </w:r>
      <w:r w:rsidR="001D2DE0" w:rsidRPr="00760063">
        <w:t xml:space="preserve"> (^p &lt; 0.05, ^^p&lt; 0.001)</w:t>
      </w:r>
      <w:r w:rsidR="003E1160" w:rsidRPr="00760063">
        <w:t>.</w:t>
      </w:r>
    </w:p>
    <w:p w14:paraId="3504E23E" w14:textId="16275C35" w:rsidR="00590D1D" w:rsidRPr="00760063" w:rsidRDefault="00590D1D" w:rsidP="0049411B">
      <w:pPr>
        <w:jc w:val="both"/>
        <w:rPr>
          <w:b/>
        </w:rPr>
      </w:pPr>
      <w:r w:rsidRPr="00760063">
        <w:rPr>
          <w:b/>
          <w:noProof/>
        </w:rPr>
        <w:lastRenderedPageBreak/>
        <w:drawing>
          <wp:inline distT="0" distB="0" distL="0" distR="0" wp14:anchorId="7F092961" wp14:editId="770398F0">
            <wp:extent cx="2790825" cy="3356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pp4.png"/>
                    <pic:cNvPicPr/>
                  </pic:nvPicPr>
                  <pic:blipFill rotWithShape="1">
                    <a:blip r:embed="rId7" cstate="print">
                      <a:extLst>
                        <a:ext uri="{28A0092B-C50C-407E-A947-70E740481C1C}">
                          <a14:useLocalDpi xmlns:a14="http://schemas.microsoft.com/office/drawing/2010/main" val="0"/>
                        </a:ext>
                      </a:extLst>
                    </a:blip>
                    <a:srcRect r="55780"/>
                    <a:stretch/>
                  </pic:blipFill>
                  <pic:spPr bwMode="auto">
                    <a:xfrm>
                      <a:off x="0" y="0"/>
                      <a:ext cx="2795542" cy="3362033"/>
                    </a:xfrm>
                    <a:prstGeom prst="rect">
                      <a:avLst/>
                    </a:prstGeom>
                    <a:ln>
                      <a:noFill/>
                    </a:ln>
                    <a:extLst>
                      <a:ext uri="{53640926-AAD7-44D8-BBD7-CCE9431645EC}">
                        <a14:shadowObscured xmlns:a14="http://schemas.microsoft.com/office/drawing/2010/main"/>
                      </a:ext>
                    </a:extLst>
                  </pic:spPr>
                </pic:pic>
              </a:graphicData>
            </a:graphic>
          </wp:inline>
        </w:drawing>
      </w:r>
    </w:p>
    <w:p w14:paraId="378CD143" w14:textId="750F808F" w:rsidR="00D21575" w:rsidRPr="00760063" w:rsidRDefault="00590D1D" w:rsidP="006C3669">
      <w:pPr>
        <w:spacing w:line="240" w:lineRule="auto"/>
        <w:jc w:val="both"/>
        <w:rPr>
          <w:lang w:val="en-US"/>
        </w:rPr>
      </w:pPr>
      <w:r w:rsidRPr="00760063">
        <w:rPr>
          <w:b/>
          <w:lang w:val="en-US"/>
        </w:rPr>
        <w:t>Supplement Figure S4</w:t>
      </w:r>
      <w:r w:rsidRPr="00760063">
        <w:rPr>
          <w:lang w:val="en-US"/>
        </w:rPr>
        <w:t>. Parametric Investigations</w:t>
      </w:r>
    </w:p>
    <w:p w14:paraId="2A36CD9D" w14:textId="40329151" w:rsidR="00590D1D" w:rsidRPr="00760063" w:rsidRDefault="00EC38DC" w:rsidP="006C3669">
      <w:pPr>
        <w:spacing w:after="0" w:line="240" w:lineRule="auto"/>
        <w:rPr>
          <w:rFonts w:cs="Arial"/>
          <w:bCs/>
        </w:rPr>
      </w:pPr>
      <w:r w:rsidRPr="00760063">
        <w:t>(</w:t>
      </w:r>
      <w:r w:rsidR="00590D1D" w:rsidRPr="00760063">
        <w:t>A</w:t>
      </w:r>
      <w:r w:rsidRPr="00760063">
        <w:t>)</w:t>
      </w:r>
      <w:r w:rsidR="00590D1D" w:rsidRPr="00760063">
        <w:rPr>
          <w:b/>
        </w:rPr>
        <w:t xml:space="preserve">. </w:t>
      </w:r>
      <w:r w:rsidR="00590D1D" w:rsidRPr="00760063">
        <w:rPr>
          <w:rFonts w:cs="Arial"/>
          <w:bCs/>
        </w:rPr>
        <w:t>To examine for the subjective ‘flip’ in serotonin responses to actual or forgone gains and losses we split the data at different bet levels.  We did not see a consistent parametric effect but rather observed a large responses to positive gains at 10 and 20% betting levels and a large response to actual losses at 90%. The lack of a linear effect (e.g. from which we could calculate an indifference point) could be due to noise or a binary regret/relief cut off that differs for gains and losses.</w:t>
      </w:r>
      <w:r w:rsidR="00A766CC" w:rsidRPr="00760063">
        <w:rPr>
          <w:rFonts w:cs="Arial"/>
          <w:bCs/>
        </w:rPr>
        <w:t xml:space="preserve"> </w:t>
      </w:r>
    </w:p>
    <w:p w14:paraId="22A17769" w14:textId="1950AC46" w:rsidR="00B26024" w:rsidRPr="00760063" w:rsidRDefault="00B26024" w:rsidP="00D21575">
      <w:pPr>
        <w:jc w:val="both"/>
        <w:rPr>
          <w:b/>
        </w:rPr>
      </w:pPr>
    </w:p>
    <w:p w14:paraId="04B20F6D" w14:textId="77777777" w:rsidR="00B26024" w:rsidRPr="00760063" w:rsidRDefault="00B26024" w:rsidP="00D21575">
      <w:pPr>
        <w:jc w:val="both"/>
        <w:rPr>
          <w:b/>
          <w:lang w:val="en-US"/>
        </w:rPr>
      </w:pPr>
    </w:p>
    <w:p w14:paraId="4F9A06B1" w14:textId="77777777" w:rsidR="00E70511" w:rsidRPr="00760063" w:rsidRDefault="00E70511" w:rsidP="00D21575">
      <w:pPr>
        <w:jc w:val="both"/>
        <w:rPr>
          <w:b/>
          <w:lang w:val="en-US"/>
        </w:rPr>
      </w:pPr>
    </w:p>
    <w:p w14:paraId="62FF9CAD" w14:textId="77777777" w:rsidR="00E70511" w:rsidRPr="00760063" w:rsidRDefault="00E70511" w:rsidP="00D21575">
      <w:pPr>
        <w:jc w:val="both"/>
        <w:rPr>
          <w:b/>
          <w:lang w:val="en-US"/>
        </w:rPr>
      </w:pPr>
    </w:p>
    <w:p w14:paraId="032A73AA" w14:textId="77777777" w:rsidR="00E70511" w:rsidRPr="00760063" w:rsidRDefault="00E70511" w:rsidP="00D21575">
      <w:pPr>
        <w:jc w:val="both"/>
        <w:rPr>
          <w:b/>
          <w:lang w:val="en-US"/>
        </w:rPr>
      </w:pPr>
    </w:p>
    <w:p w14:paraId="59B3C385" w14:textId="77E4301B" w:rsidR="001D352E" w:rsidRPr="00760063" w:rsidRDefault="00B26024" w:rsidP="00D21575">
      <w:pPr>
        <w:jc w:val="both"/>
        <w:rPr>
          <w:b/>
          <w:lang w:val="en-US"/>
        </w:rPr>
      </w:pPr>
      <w:r w:rsidRPr="00760063">
        <w:rPr>
          <w:b/>
          <w:noProof/>
        </w:rPr>
        <w:drawing>
          <wp:inline distT="0" distB="0" distL="0" distR="0" wp14:anchorId="08168515" wp14:editId="327A8DDF">
            <wp:extent cx="5731510" cy="26244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s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624455"/>
                    </a:xfrm>
                    <a:prstGeom prst="rect">
                      <a:avLst/>
                    </a:prstGeom>
                  </pic:spPr>
                </pic:pic>
              </a:graphicData>
            </a:graphic>
          </wp:inline>
        </w:drawing>
      </w:r>
    </w:p>
    <w:p w14:paraId="1BC0C63A" w14:textId="74BDBF17" w:rsidR="00B26024" w:rsidRPr="00760063" w:rsidRDefault="006D1B62" w:rsidP="006C3669">
      <w:pPr>
        <w:spacing w:line="240" w:lineRule="auto"/>
        <w:jc w:val="both"/>
        <w:rPr>
          <w:rFonts w:cs="Arial"/>
          <w:bCs/>
        </w:rPr>
      </w:pPr>
      <w:r w:rsidRPr="00760063">
        <w:rPr>
          <w:lang w:val="en-US"/>
        </w:rPr>
        <w:lastRenderedPageBreak/>
        <w:t xml:space="preserve"> </w:t>
      </w:r>
    </w:p>
    <w:p w14:paraId="00BBA191" w14:textId="1D02C685" w:rsidR="006D1B62" w:rsidRPr="00760063" w:rsidRDefault="006D1B62" w:rsidP="006D1B62">
      <w:pPr>
        <w:rPr>
          <w:rFonts w:cs="Arial"/>
          <w:bCs/>
        </w:rPr>
      </w:pPr>
      <w:r w:rsidRPr="00D0297A">
        <w:rPr>
          <w:rFonts w:cs="Arial"/>
          <w:b/>
          <w:bCs/>
        </w:rPr>
        <w:t xml:space="preserve">Supplement Figure </w:t>
      </w:r>
      <w:r w:rsidR="00471CA2" w:rsidRPr="00D0297A">
        <w:rPr>
          <w:rFonts w:cs="Arial"/>
          <w:b/>
          <w:bCs/>
        </w:rPr>
        <w:t>S</w:t>
      </w:r>
      <w:r w:rsidRPr="00D0297A">
        <w:rPr>
          <w:rFonts w:cs="Arial"/>
          <w:b/>
          <w:bCs/>
        </w:rPr>
        <w:t>5.</w:t>
      </w:r>
      <w:r w:rsidRPr="00760063">
        <w:rPr>
          <w:rFonts w:cs="Arial"/>
          <w:bCs/>
        </w:rPr>
        <w:t xml:space="preserve"> Timing Effects on Decision Making </w:t>
      </w:r>
    </w:p>
    <w:p w14:paraId="4DDA01EA" w14:textId="3931FA23" w:rsidR="008008D1" w:rsidRDefault="006D1B62" w:rsidP="006D1B62">
      <w:pPr>
        <w:rPr>
          <w:rFonts w:cs="Arial"/>
          <w:bCs/>
        </w:rPr>
      </w:pPr>
      <w:r w:rsidRPr="00760063">
        <w:rPr>
          <w:rFonts w:cs="Arial"/>
          <w:bCs/>
        </w:rPr>
        <w:t>Timing effects were examined using a 2x3 analysis of variance with time to peak transient the dependent variables and low/high current betting levels and decisions to lower, hold or raise market investments as independent variables. While no significant effects were observed for the responses to negative reward prediction errors, positive reward prediction errors led to transients whose timing was associated with the next decision (main effect of decision, F = 5.59, p = 0.004). Faster transients were observed for hold compared to raise decisions (post-hoc t-test p = 0.022 bonferroni corrected for 6 comparisons; comparing lower and hold, lower and raise and raise and hold for positive and negative RPE outcomes). We also observed a significantly faster response for lower compared to raise decisions (post-hoc t-test p = 0.040 bonferroni corrected for 6 comparisons).</w:t>
      </w:r>
    </w:p>
    <w:p w14:paraId="358F7D8A" w14:textId="77777777" w:rsidR="00D0297A" w:rsidRDefault="00D0297A" w:rsidP="006D1B62">
      <w:pPr>
        <w:rPr>
          <w:rFonts w:cs="Arial"/>
          <w:bCs/>
        </w:rPr>
      </w:pPr>
    </w:p>
    <w:p w14:paraId="5CCFEC2D" w14:textId="77777777" w:rsidR="00D0297A" w:rsidRPr="00D0297A" w:rsidRDefault="00D0297A" w:rsidP="006D1B62">
      <w:pPr>
        <w:rPr>
          <w:rFonts w:cs="Arial"/>
          <w:b/>
          <w:bCs/>
        </w:rPr>
      </w:pPr>
    </w:p>
    <w:p w14:paraId="2FA45A68" w14:textId="10A66B7D" w:rsidR="00D0297A" w:rsidRPr="00D0297A" w:rsidRDefault="00D0297A" w:rsidP="006D1B62">
      <w:pPr>
        <w:rPr>
          <w:rFonts w:cs="Arial"/>
          <w:b/>
          <w:bCs/>
        </w:rPr>
      </w:pPr>
      <w:r w:rsidRPr="00D0297A">
        <w:rPr>
          <w:rFonts w:cs="Arial"/>
          <w:b/>
          <w:bCs/>
        </w:rPr>
        <w:t>Supplementary Tables</w:t>
      </w:r>
    </w:p>
    <w:p w14:paraId="167AF5F7" w14:textId="517833D3" w:rsidR="00D0297A" w:rsidRPr="00D0297A" w:rsidRDefault="00D0297A" w:rsidP="00D0297A">
      <w:pPr>
        <w:jc w:val="both"/>
        <w:rPr>
          <w:rFonts w:cs="Times New Roman"/>
          <w:b/>
        </w:rPr>
      </w:pPr>
      <w:r>
        <w:rPr>
          <w:rFonts w:cs="Arial"/>
          <w:bCs/>
        </w:rPr>
        <w:t xml:space="preserve"> </w:t>
      </w:r>
    </w:p>
    <w:p w14:paraId="65193E08" w14:textId="42D28ACE" w:rsidR="00D0297A" w:rsidRPr="00D0297A" w:rsidRDefault="00D0297A" w:rsidP="00D0297A">
      <w:pPr>
        <w:jc w:val="both"/>
        <w:rPr>
          <w:rFonts w:cs="Times New Roman"/>
        </w:rPr>
      </w:pPr>
      <w:r>
        <w:rPr>
          <w:rFonts w:cs="Times New Roman"/>
          <w:b/>
        </w:rPr>
        <w:t xml:space="preserve">Supplement </w:t>
      </w:r>
      <w:r w:rsidRPr="00D0297A">
        <w:rPr>
          <w:rFonts w:cs="Times New Roman"/>
          <w:b/>
        </w:rPr>
        <w:t xml:space="preserve">Table </w:t>
      </w:r>
      <w:r>
        <w:rPr>
          <w:rFonts w:cs="Times New Roman"/>
          <w:b/>
        </w:rPr>
        <w:t>S</w:t>
      </w:r>
      <w:r w:rsidRPr="00D0297A">
        <w:rPr>
          <w:rFonts w:cs="Times New Roman"/>
          <w:b/>
        </w:rPr>
        <w:t>1.</w:t>
      </w:r>
      <w:r>
        <w:rPr>
          <w:rFonts w:cs="Times New Roman"/>
          <w:b/>
        </w:rPr>
        <w:t xml:space="preserve"> </w:t>
      </w:r>
      <w:r w:rsidRPr="00D0297A">
        <w:rPr>
          <w:rFonts w:cs="Times New Roman"/>
        </w:rPr>
        <w:t>Patient Demographics and medical status (n = 14, hemispheres = 16) NaN: Unknown</w:t>
      </w:r>
    </w:p>
    <w:tbl>
      <w:tblPr>
        <w:tblStyle w:val="TableGrid"/>
        <w:tblW w:w="0" w:type="auto"/>
        <w:tblLayout w:type="fixed"/>
        <w:tblLook w:val="04A0" w:firstRow="1" w:lastRow="0" w:firstColumn="1" w:lastColumn="0" w:noHBand="0" w:noVBand="1"/>
      </w:tblPr>
      <w:tblGrid>
        <w:gridCol w:w="1075"/>
        <w:gridCol w:w="720"/>
        <w:gridCol w:w="810"/>
        <w:gridCol w:w="1530"/>
        <w:gridCol w:w="1012"/>
        <w:gridCol w:w="1931"/>
        <w:gridCol w:w="963"/>
        <w:gridCol w:w="975"/>
      </w:tblGrid>
      <w:tr w:rsidR="00D0297A" w:rsidRPr="007D6887" w14:paraId="43F1A097" w14:textId="77777777" w:rsidTr="0003624F">
        <w:trPr>
          <w:trHeight w:val="665"/>
        </w:trPr>
        <w:tc>
          <w:tcPr>
            <w:tcW w:w="1075" w:type="dxa"/>
            <w:noWrap/>
            <w:hideMark/>
          </w:tcPr>
          <w:p w14:paraId="4E5DD01F" w14:textId="77777777" w:rsidR="00D0297A" w:rsidRPr="007D6887" w:rsidRDefault="00D0297A" w:rsidP="0003624F">
            <w:pPr>
              <w:tabs>
                <w:tab w:val="left" w:pos="6120"/>
              </w:tabs>
              <w:spacing w:before="120" w:after="120"/>
              <w:rPr>
                <w:rFonts w:cs="Times New Roman"/>
                <w:b/>
                <w:bCs/>
                <w:sz w:val="16"/>
                <w:szCs w:val="16"/>
              </w:rPr>
            </w:pPr>
            <w:r w:rsidRPr="007D6887">
              <w:rPr>
                <w:rFonts w:cs="Times New Roman"/>
                <w:b/>
                <w:bCs/>
                <w:sz w:val="16"/>
                <w:szCs w:val="16"/>
              </w:rPr>
              <w:t>Patient Number</w:t>
            </w:r>
          </w:p>
        </w:tc>
        <w:tc>
          <w:tcPr>
            <w:tcW w:w="1530" w:type="dxa"/>
            <w:gridSpan w:val="2"/>
            <w:noWrap/>
            <w:hideMark/>
          </w:tcPr>
          <w:p w14:paraId="00061B8B" w14:textId="77777777" w:rsidR="00D0297A" w:rsidRPr="007D6887" w:rsidRDefault="00D0297A" w:rsidP="0003624F">
            <w:pPr>
              <w:tabs>
                <w:tab w:val="left" w:pos="6120"/>
              </w:tabs>
              <w:spacing w:before="120" w:after="120"/>
              <w:rPr>
                <w:rFonts w:cs="Times New Roman"/>
                <w:b/>
                <w:bCs/>
                <w:sz w:val="16"/>
                <w:szCs w:val="16"/>
              </w:rPr>
            </w:pPr>
            <w:r w:rsidRPr="007D6887">
              <w:rPr>
                <w:rFonts w:cs="Times New Roman"/>
                <w:b/>
                <w:bCs/>
                <w:sz w:val="16"/>
                <w:szCs w:val="16"/>
              </w:rPr>
              <w:t>Gender</w:t>
            </w:r>
          </w:p>
        </w:tc>
        <w:tc>
          <w:tcPr>
            <w:tcW w:w="1530" w:type="dxa"/>
            <w:noWrap/>
            <w:hideMark/>
          </w:tcPr>
          <w:p w14:paraId="055B54A7" w14:textId="77777777" w:rsidR="00D0297A" w:rsidRPr="007D6887" w:rsidRDefault="00D0297A" w:rsidP="0003624F">
            <w:pPr>
              <w:tabs>
                <w:tab w:val="left" w:pos="6120"/>
              </w:tabs>
              <w:spacing w:before="120" w:after="120"/>
              <w:rPr>
                <w:rFonts w:cs="Times New Roman"/>
                <w:b/>
                <w:bCs/>
                <w:sz w:val="16"/>
                <w:szCs w:val="16"/>
              </w:rPr>
            </w:pPr>
            <w:r w:rsidRPr="007D6887">
              <w:rPr>
                <w:rFonts w:cs="Times New Roman"/>
                <w:b/>
                <w:bCs/>
                <w:sz w:val="16"/>
                <w:szCs w:val="16"/>
              </w:rPr>
              <w:t xml:space="preserve">Age  </w:t>
            </w:r>
          </w:p>
        </w:tc>
        <w:tc>
          <w:tcPr>
            <w:tcW w:w="2943" w:type="dxa"/>
            <w:gridSpan w:val="2"/>
            <w:noWrap/>
            <w:hideMark/>
          </w:tcPr>
          <w:p w14:paraId="1BCB4424" w14:textId="77777777" w:rsidR="00D0297A" w:rsidRPr="007D6887" w:rsidRDefault="00D0297A" w:rsidP="0003624F">
            <w:pPr>
              <w:tabs>
                <w:tab w:val="left" w:pos="6120"/>
              </w:tabs>
              <w:spacing w:before="120" w:after="120"/>
              <w:rPr>
                <w:rFonts w:cs="Times New Roman"/>
                <w:b/>
                <w:bCs/>
                <w:sz w:val="16"/>
                <w:szCs w:val="16"/>
              </w:rPr>
            </w:pPr>
            <w:r w:rsidRPr="007D6887">
              <w:rPr>
                <w:rFonts w:cs="Times New Roman"/>
                <w:b/>
                <w:bCs/>
                <w:sz w:val="16"/>
                <w:szCs w:val="16"/>
              </w:rPr>
              <w:t>Disease Details</w:t>
            </w:r>
          </w:p>
        </w:tc>
        <w:tc>
          <w:tcPr>
            <w:tcW w:w="1938" w:type="dxa"/>
            <w:gridSpan w:val="2"/>
            <w:noWrap/>
            <w:hideMark/>
          </w:tcPr>
          <w:p w14:paraId="6001E66C" w14:textId="77777777" w:rsidR="00D0297A" w:rsidRPr="007D6887" w:rsidRDefault="00D0297A" w:rsidP="0003624F">
            <w:pPr>
              <w:tabs>
                <w:tab w:val="left" w:pos="6120"/>
              </w:tabs>
              <w:spacing w:before="120" w:after="120"/>
              <w:rPr>
                <w:rFonts w:cs="Times New Roman"/>
                <w:b/>
                <w:bCs/>
                <w:sz w:val="16"/>
                <w:szCs w:val="16"/>
              </w:rPr>
            </w:pPr>
            <w:r w:rsidRPr="007D6887">
              <w:rPr>
                <w:rFonts w:cs="Times New Roman"/>
                <w:b/>
                <w:bCs/>
                <w:sz w:val="16"/>
                <w:szCs w:val="16"/>
              </w:rPr>
              <w:t>Electrochemical Target</w:t>
            </w:r>
          </w:p>
        </w:tc>
      </w:tr>
      <w:tr w:rsidR="00D0297A" w:rsidRPr="007D6887" w14:paraId="2B258012" w14:textId="77777777" w:rsidTr="0003624F">
        <w:trPr>
          <w:trHeight w:val="320"/>
        </w:trPr>
        <w:tc>
          <w:tcPr>
            <w:tcW w:w="1075" w:type="dxa"/>
            <w:noWrap/>
            <w:hideMark/>
          </w:tcPr>
          <w:p w14:paraId="27AA9527" w14:textId="77777777" w:rsidR="00D0297A" w:rsidRPr="007D6887" w:rsidRDefault="00D0297A" w:rsidP="0003624F">
            <w:pPr>
              <w:tabs>
                <w:tab w:val="left" w:pos="6120"/>
              </w:tabs>
              <w:spacing w:before="120" w:after="120"/>
              <w:rPr>
                <w:rFonts w:cs="Times New Roman"/>
                <w:b/>
                <w:bCs/>
                <w:sz w:val="16"/>
                <w:szCs w:val="16"/>
              </w:rPr>
            </w:pPr>
          </w:p>
        </w:tc>
        <w:tc>
          <w:tcPr>
            <w:tcW w:w="720" w:type="dxa"/>
            <w:noWrap/>
            <w:hideMark/>
          </w:tcPr>
          <w:p w14:paraId="5628B9E8"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M</w:t>
            </w:r>
          </w:p>
        </w:tc>
        <w:tc>
          <w:tcPr>
            <w:tcW w:w="810" w:type="dxa"/>
            <w:noWrap/>
            <w:hideMark/>
          </w:tcPr>
          <w:p w14:paraId="7370D0B8"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F</w:t>
            </w:r>
          </w:p>
        </w:tc>
        <w:tc>
          <w:tcPr>
            <w:tcW w:w="1530" w:type="dxa"/>
            <w:hideMark/>
          </w:tcPr>
          <w:p w14:paraId="4A042212"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age_at_surgery</w:t>
            </w:r>
          </w:p>
        </w:tc>
        <w:tc>
          <w:tcPr>
            <w:tcW w:w="1012" w:type="dxa"/>
            <w:hideMark/>
          </w:tcPr>
          <w:p w14:paraId="1B9BF6DD"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dyskinesia</w:t>
            </w:r>
          </w:p>
        </w:tc>
        <w:tc>
          <w:tcPr>
            <w:tcW w:w="1931" w:type="dxa"/>
            <w:hideMark/>
          </w:tcPr>
          <w:p w14:paraId="495A4C75"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duration_of_disease</w:t>
            </w:r>
          </w:p>
        </w:tc>
        <w:tc>
          <w:tcPr>
            <w:tcW w:w="963" w:type="dxa"/>
            <w:hideMark/>
          </w:tcPr>
          <w:p w14:paraId="28340BFB"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caudate</w:t>
            </w:r>
          </w:p>
        </w:tc>
        <w:tc>
          <w:tcPr>
            <w:tcW w:w="975" w:type="dxa"/>
            <w:hideMark/>
          </w:tcPr>
          <w:p w14:paraId="6FBC701A"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putamen</w:t>
            </w:r>
          </w:p>
        </w:tc>
      </w:tr>
      <w:tr w:rsidR="00D0297A" w:rsidRPr="007D6887" w14:paraId="720BD39B" w14:textId="77777777" w:rsidTr="0003624F">
        <w:trPr>
          <w:trHeight w:val="320"/>
        </w:trPr>
        <w:tc>
          <w:tcPr>
            <w:tcW w:w="1075" w:type="dxa"/>
            <w:noWrap/>
            <w:hideMark/>
          </w:tcPr>
          <w:p w14:paraId="58AEF84C"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1</w:t>
            </w:r>
          </w:p>
        </w:tc>
        <w:tc>
          <w:tcPr>
            <w:tcW w:w="720" w:type="dxa"/>
            <w:noWrap/>
            <w:hideMark/>
          </w:tcPr>
          <w:p w14:paraId="4B785992"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1</w:t>
            </w:r>
          </w:p>
        </w:tc>
        <w:tc>
          <w:tcPr>
            <w:tcW w:w="810" w:type="dxa"/>
            <w:noWrap/>
            <w:hideMark/>
          </w:tcPr>
          <w:p w14:paraId="63110756"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0</w:t>
            </w:r>
          </w:p>
        </w:tc>
        <w:tc>
          <w:tcPr>
            <w:tcW w:w="1530" w:type="dxa"/>
            <w:noWrap/>
            <w:hideMark/>
          </w:tcPr>
          <w:p w14:paraId="1F534B28"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54</w:t>
            </w:r>
          </w:p>
        </w:tc>
        <w:tc>
          <w:tcPr>
            <w:tcW w:w="1012" w:type="dxa"/>
            <w:noWrap/>
            <w:hideMark/>
          </w:tcPr>
          <w:p w14:paraId="5976F9FF"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1</w:t>
            </w:r>
          </w:p>
        </w:tc>
        <w:tc>
          <w:tcPr>
            <w:tcW w:w="1931" w:type="dxa"/>
            <w:noWrap/>
            <w:hideMark/>
          </w:tcPr>
          <w:p w14:paraId="44619BE1"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8</w:t>
            </w:r>
          </w:p>
        </w:tc>
        <w:tc>
          <w:tcPr>
            <w:tcW w:w="963" w:type="dxa"/>
            <w:noWrap/>
            <w:hideMark/>
          </w:tcPr>
          <w:p w14:paraId="6FA5E452"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1</w:t>
            </w:r>
          </w:p>
        </w:tc>
        <w:tc>
          <w:tcPr>
            <w:tcW w:w="975" w:type="dxa"/>
            <w:noWrap/>
            <w:hideMark/>
          </w:tcPr>
          <w:p w14:paraId="4A3518F9"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0</w:t>
            </w:r>
          </w:p>
        </w:tc>
      </w:tr>
      <w:tr w:rsidR="00D0297A" w:rsidRPr="007D6887" w14:paraId="6C63C073" w14:textId="77777777" w:rsidTr="0003624F">
        <w:trPr>
          <w:trHeight w:val="320"/>
        </w:trPr>
        <w:tc>
          <w:tcPr>
            <w:tcW w:w="1075" w:type="dxa"/>
            <w:noWrap/>
            <w:hideMark/>
          </w:tcPr>
          <w:p w14:paraId="4AC1E8A1"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2</w:t>
            </w:r>
          </w:p>
        </w:tc>
        <w:tc>
          <w:tcPr>
            <w:tcW w:w="720" w:type="dxa"/>
            <w:noWrap/>
            <w:hideMark/>
          </w:tcPr>
          <w:p w14:paraId="0C064421"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1</w:t>
            </w:r>
          </w:p>
        </w:tc>
        <w:tc>
          <w:tcPr>
            <w:tcW w:w="810" w:type="dxa"/>
            <w:noWrap/>
            <w:hideMark/>
          </w:tcPr>
          <w:p w14:paraId="67705F15"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0</w:t>
            </w:r>
          </w:p>
        </w:tc>
        <w:tc>
          <w:tcPr>
            <w:tcW w:w="1530" w:type="dxa"/>
            <w:noWrap/>
            <w:hideMark/>
          </w:tcPr>
          <w:p w14:paraId="5CFC9234"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76</w:t>
            </w:r>
          </w:p>
        </w:tc>
        <w:tc>
          <w:tcPr>
            <w:tcW w:w="1012" w:type="dxa"/>
            <w:noWrap/>
            <w:hideMark/>
          </w:tcPr>
          <w:p w14:paraId="6081AC1B"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1</w:t>
            </w:r>
          </w:p>
        </w:tc>
        <w:tc>
          <w:tcPr>
            <w:tcW w:w="1931" w:type="dxa"/>
            <w:noWrap/>
            <w:hideMark/>
          </w:tcPr>
          <w:p w14:paraId="69B47221"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9</w:t>
            </w:r>
          </w:p>
        </w:tc>
        <w:tc>
          <w:tcPr>
            <w:tcW w:w="963" w:type="dxa"/>
            <w:noWrap/>
            <w:hideMark/>
          </w:tcPr>
          <w:p w14:paraId="4A8B5286"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1</w:t>
            </w:r>
          </w:p>
        </w:tc>
        <w:tc>
          <w:tcPr>
            <w:tcW w:w="975" w:type="dxa"/>
            <w:noWrap/>
            <w:hideMark/>
          </w:tcPr>
          <w:p w14:paraId="5DE9C627"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0</w:t>
            </w:r>
          </w:p>
        </w:tc>
      </w:tr>
      <w:tr w:rsidR="00D0297A" w:rsidRPr="007D6887" w14:paraId="17FBB23E" w14:textId="77777777" w:rsidTr="0003624F">
        <w:trPr>
          <w:trHeight w:val="320"/>
        </w:trPr>
        <w:tc>
          <w:tcPr>
            <w:tcW w:w="1075" w:type="dxa"/>
            <w:noWrap/>
            <w:hideMark/>
          </w:tcPr>
          <w:p w14:paraId="49DAE666"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3</w:t>
            </w:r>
          </w:p>
        </w:tc>
        <w:tc>
          <w:tcPr>
            <w:tcW w:w="720" w:type="dxa"/>
            <w:noWrap/>
            <w:hideMark/>
          </w:tcPr>
          <w:p w14:paraId="6DC5C32C"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1</w:t>
            </w:r>
          </w:p>
        </w:tc>
        <w:tc>
          <w:tcPr>
            <w:tcW w:w="810" w:type="dxa"/>
            <w:noWrap/>
            <w:hideMark/>
          </w:tcPr>
          <w:p w14:paraId="56DD734F"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0</w:t>
            </w:r>
          </w:p>
        </w:tc>
        <w:tc>
          <w:tcPr>
            <w:tcW w:w="1530" w:type="dxa"/>
            <w:noWrap/>
            <w:hideMark/>
          </w:tcPr>
          <w:p w14:paraId="089D6F26"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42</w:t>
            </w:r>
          </w:p>
        </w:tc>
        <w:tc>
          <w:tcPr>
            <w:tcW w:w="1012" w:type="dxa"/>
            <w:noWrap/>
            <w:hideMark/>
          </w:tcPr>
          <w:p w14:paraId="1ABDC94B"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1</w:t>
            </w:r>
          </w:p>
        </w:tc>
        <w:tc>
          <w:tcPr>
            <w:tcW w:w="1931" w:type="dxa"/>
            <w:noWrap/>
            <w:hideMark/>
          </w:tcPr>
          <w:p w14:paraId="7DDFF678"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15</w:t>
            </w:r>
          </w:p>
        </w:tc>
        <w:tc>
          <w:tcPr>
            <w:tcW w:w="963" w:type="dxa"/>
            <w:noWrap/>
            <w:hideMark/>
          </w:tcPr>
          <w:p w14:paraId="13FF4A97"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0</w:t>
            </w:r>
          </w:p>
        </w:tc>
        <w:tc>
          <w:tcPr>
            <w:tcW w:w="975" w:type="dxa"/>
            <w:noWrap/>
            <w:hideMark/>
          </w:tcPr>
          <w:p w14:paraId="43DD3309"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1</w:t>
            </w:r>
          </w:p>
        </w:tc>
      </w:tr>
      <w:tr w:rsidR="00D0297A" w:rsidRPr="007D6887" w14:paraId="7595F66D" w14:textId="77777777" w:rsidTr="0003624F">
        <w:trPr>
          <w:trHeight w:val="320"/>
        </w:trPr>
        <w:tc>
          <w:tcPr>
            <w:tcW w:w="1075" w:type="dxa"/>
            <w:noWrap/>
            <w:hideMark/>
          </w:tcPr>
          <w:p w14:paraId="2DF1C36D"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4</w:t>
            </w:r>
          </w:p>
        </w:tc>
        <w:tc>
          <w:tcPr>
            <w:tcW w:w="720" w:type="dxa"/>
            <w:noWrap/>
            <w:hideMark/>
          </w:tcPr>
          <w:p w14:paraId="2EE2EA57"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1</w:t>
            </w:r>
          </w:p>
        </w:tc>
        <w:tc>
          <w:tcPr>
            <w:tcW w:w="810" w:type="dxa"/>
            <w:noWrap/>
            <w:hideMark/>
          </w:tcPr>
          <w:p w14:paraId="5244D8DB"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0</w:t>
            </w:r>
          </w:p>
        </w:tc>
        <w:tc>
          <w:tcPr>
            <w:tcW w:w="1530" w:type="dxa"/>
            <w:noWrap/>
            <w:hideMark/>
          </w:tcPr>
          <w:p w14:paraId="36402DD0"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63</w:t>
            </w:r>
          </w:p>
        </w:tc>
        <w:tc>
          <w:tcPr>
            <w:tcW w:w="1012" w:type="dxa"/>
            <w:noWrap/>
            <w:hideMark/>
          </w:tcPr>
          <w:p w14:paraId="572A5FC0"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1</w:t>
            </w:r>
          </w:p>
        </w:tc>
        <w:tc>
          <w:tcPr>
            <w:tcW w:w="1931" w:type="dxa"/>
            <w:noWrap/>
            <w:hideMark/>
          </w:tcPr>
          <w:p w14:paraId="0FA824C4"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5</w:t>
            </w:r>
          </w:p>
        </w:tc>
        <w:tc>
          <w:tcPr>
            <w:tcW w:w="963" w:type="dxa"/>
            <w:noWrap/>
            <w:hideMark/>
          </w:tcPr>
          <w:p w14:paraId="409728C7"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1</w:t>
            </w:r>
          </w:p>
        </w:tc>
        <w:tc>
          <w:tcPr>
            <w:tcW w:w="975" w:type="dxa"/>
            <w:noWrap/>
            <w:hideMark/>
          </w:tcPr>
          <w:p w14:paraId="02042F44"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0</w:t>
            </w:r>
          </w:p>
        </w:tc>
      </w:tr>
      <w:tr w:rsidR="00D0297A" w:rsidRPr="007D6887" w14:paraId="4ADB65B3" w14:textId="77777777" w:rsidTr="0003624F">
        <w:trPr>
          <w:trHeight w:val="320"/>
        </w:trPr>
        <w:tc>
          <w:tcPr>
            <w:tcW w:w="1075" w:type="dxa"/>
            <w:noWrap/>
            <w:hideMark/>
          </w:tcPr>
          <w:p w14:paraId="151BB2AE"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5</w:t>
            </w:r>
          </w:p>
        </w:tc>
        <w:tc>
          <w:tcPr>
            <w:tcW w:w="720" w:type="dxa"/>
            <w:noWrap/>
            <w:hideMark/>
          </w:tcPr>
          <w:p w14:paraId="62A28A29"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1</w:t>
            </w:r>
          </w:p>
        </w:tc>
        <w:tc>
          <w:tcPr>
            <w:tcW w:w="810" w:type="dxa"/>
            <w:noWrap/>
            <w:hideMark/>
          </w:tcPr>
          <w:p w14:paraId="109B35A4"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0</w:t>
            </w:r>
          </w:p>
        </w:tc>
        <w:tc>
          <w:tcPr>
            <w:tcW w:w="1530" w:type="dxa"/>
            <w:noWrap/>
            <w:hideMark/>
          </w:tcPr>
          <w:p w14:paraId="2D6599E3"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70</w:t>
            </w:r>
          </w:p>
        </w:tc>
        <w:tc>
          <w:tcPr>
            <w:tcW w:w="1012" w:type="dxa"/>
            <w:noWrap/>
            <w:hideMark/>
          </w:tcPr>
          <w:p w14:paraId="2DCD73FB"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0</w:t>
            </w:r>
          </w:p>
        </w:tc>
        <w:tc>
          <w:tcPr>
            <w:tcW w:w="1931" w:type="dxa"/>
            <w:noWrap/>
            <w:hideMark/>
          </w:tcPr>
          <w:p w14:paraId="3DE727D8"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7</w:t>
            </w:r>
          </w:p>
        </w:tc>
        <w:tc>
          <w:tcPr>
            <w:tcW w:w="963" w:type="dxa"/>
            <w:noWrap/>
            <w:hideMark/>
          </w:tcPr>
          <w:p w14:paraId="67F06421"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1</w:t>
            </w:r>
          </w:p>
        </w:tc>
        <w:tc>
          <w:tcPr>
            <w:tcW w:w="975" w:type="dxa"/>
            <w:noWrap/>
            <w:hideMark/>
          </w:tcPr>
          <w:p w14:paraId="0C3E3DF4"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0</w:t>
            </w:r>
          </w:p>
        </w:tc>
      </w:tr>
      <w:tr w:rsidR="00D0297A" w:rsidRPr="007D6887" w14:paraId="233C9C2B" w14:textId="77777777" w:rsidTr="0003624F">
        <w:trPr>
          <w:trHeight w:val="320"/>
        </w:trPr>
        <w:tc>
          <w:tcPr>
            <w:tcW w:w="1075" w:type="dxa"/>
            <w:noWrap/>
            <w:hideMark/>
          </w:tcPr>
          <w:p w14:paraId="5DD9565F"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6</w:t>
            </w:r>
          </w:p>
        </w:tc>
        <w:tc>
          <w:tcPr>
            <w:tcW w:w="720" w:type="dxa"/>
            <w:noWrap/>
            <w:hideMark/>
          </w:tcPr>
          <w:p w14:paraId="75D36C40"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1</w:t>
            </w:r>
          </w:p>
        </w:tc>
        <w:tc>
          <w:tcPr>
            <w:tcW w:w="810" w:type="dxa"/>
            <w:noWrap/>
            <w:hideMark/>
          </w:tcPr>
          <w:p w14:paraId="4AECC91D"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0</w:t>
            </w:r>
          </w:p>
        </w:tc>
        <w:tc>
          <w:tcPr>
            <w:tcW w:w="1530" w:type="dxa"/>
            <w:noWrap/>
            <w:hideMark/>
          </w:tcPr>
          <w:p w14:paraId="78EC2CBB"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65</w:t>
            </w:r>
          </w:p>
        </w:tc>
        <w:tc>
          <w:tcPr>
            <w:tcW w:w="1012" w:type="dxa"/>
            <w:noWrap/>
            <w:hideMark/>
          </w:tcPr>
          <w:p w14:paraId="177D01EA"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0</w:t>
            </w:r>
          </w:p>
        </w:tc>
        <w:tc>
          <w:tcPr>
            <w:tcW w:w="1931" w:type="dxa"/>
            <w:noWrap/>
            <w:hideMark/>
          </w:tcPr>
          <w:p w14:paraId="31BF2AC7"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4</w:t>
            </w:r>
          </w:p>
        </w:tc>
        <w:tc>
          <w:tcPr>
            <w:tcW w:w="963" w:type="dxa"/>
            <w:noWrap/>
            <w:hideMark/>
          </w:tcPr>
          <w:p w14:paraId="0DD8D3B0"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1</w:t>
            </w:r>
          </w:p>
        </w:tc>
        <w:tc>
          <w:tcPr>
            <w:tcW w:w="975" w:type="dxa"/>
            <w:noWrap/>
            <w:hideMark/>
          </w:tcPr>
          <w:p w14:paraId="523DADAD"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0</w:t>
            </w:r>
          </w:p>
        </w:tc>
      </w:tr>
      <w:tr w:rsidR="00D0297A" w:rsidRPr="007D6887" w14:paraId="794DF6EB" w14:textId="77777777" w:rsidTr="0003624F">
        <w:trPr>
          <w:trHeight w:val="320"/>
        </w:trPr>
        <w:tc>
          <w:tcPr>
            <w:tcW w:w="1075" w:type="dxa"/>
            <w:noWrap/>
            <w:hideMark/>
          </w:tcPr>
          <w:p w14:paraId="673FDAB0"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7</w:t>
            </w:r>
          </w:p>
        </w:tc>
        <w:tc>
          <w:tcPr>
            <w:tcW w:w="720" w:type="dxa"/>
            <w:noWrap/>
            <w:hideMark/>
          </w:tcPr>
          <w:p w14:paraId="17B56D34"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1</w:t>
            </w:r>
          </w:p>
        </w:tc>
        <w:tc>
          <w:tcPr>
            <w:tcW w:w="810" w:type="dxa"/>
            <w:noWrap/>
            <w:hideMark/>
          </w:tcPr>
          <w:p w14:paraId="262B2082"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0</w:t>
            </w:r>
          </w:p>
        </w:tc>
        <w:tc>
          <w:tcPr>
            <w:tcW w:w="1530" w:type="dxa"/>
            <w:noWrap/>
            <w:hideMark/>
          </w:tcPr>
          <w:p w14:paraId="5F8AF30A"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56</w:t>
            </w:r>
          </w:p>
        </w:tc>
        <w:tc>
          <w:tcPr>
            <w:tcW w:w="1012" w:type="dxa"/>
            <w:noWrap/>
            <w:hideMark/>
          </w:tcPr>
          <w:p w14:paraId="709AC256"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1</w:t>
            </w:r>
          </w:p>
        </w:tc>
        <w:tc>
          <w:tcPr>
            <w:tcW w:w="1931" w:type="dxa"/>
            <w:noWrap/>
            <w:hideMark/>
          </w:tcPr>
          <w:p w14:paraId="7C1E592C"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13</w:t>
            </w:r>
          </w:p>
        </w:tc>
        <w:tc>
          <w:tcPr>
            <w:tcW w:w="963" w:type="dxa"/>
            <w:noWrap/>
            <w:hideMark/>
          </w:tcPr>
          <w:p w14:paraId="334FD79C"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1</w:t>
            </w:r>
          </w:p>
        </w:tc>
        <w:tc>
          <w:tcPr>
            <w:tcW w:w="975" w:type="dxa"/>
            <w:noWrap/>
            <w:hideMark/>
          </w:tcPr>
          <w:p w14:paraId="190F416F"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0</w:t>
            </w:r>
          </w:p>
        </w:tc>
      </w:tr>
      <w:tr w:rsidR="00D0297A" w:rsidRPr="007D6887" w14:paraId="5E2F35EB" w14:textId="77777777" w:rsidTr="0003624F">
        <w:trPr>
          <w:trHeight w:val="320"/>
        </w:trPr>
        <w:tc>
          <w:tcPr>
            <w:tcW w:w="1075" w:type="dxa"/>
            <w:noWrap/>
            <w:hideMark/>
          </w:tcPr>
          <w:p w14:paraId="3F068D08"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8</w:t>
            </w:r>
          </w:p>
        </w:tc>
        <w:tc>
          <w:tcPr>
            <w:tcW w:w="720" w:type="dxa"/>
            <w:noWrap/>
            <w:hideMark/>
          </w:tcPr>
          <w:p w14:paraId="795D48E4"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0</w:t>
            </w:r>
          </w:p>
        </w:tc>
        <w:tc>
          <w:tcPr>
            <w:tcW w:w="810" w:type="dxa"/>
            <w:noWrap/>
            <w:hideMark/>
          </w:tcPr>
          <w:p w14:paraId="0AC23CA1"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1</w:t>
            </w:r>
          </w:p>
        </w:tc>
        <w:tc>
          <w:tcPr>
            <w:tcW w:w="1530" w:type="dxa"/>
            <w:noWrap/>
            <w:hideMark/>
          </w:tcPr>
          <w:p w14:paraId="589CB23F"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71</w:t>
            </w:r>
          </w:p>
        </w:tc>
        <w:tc>
          <w:tcPr>
            <w:tcW w:w="1012" w:type="dxa"/>
            <w:noWrap/>
            <w:hideMark/>
          </w:tcPr>
          <w:p w14:paraId="0E6EF8DA"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1</w:t>
            </w:r>
          </w:p>
        </w:tc>
        <w:tc>
          <w:tcPr>
            <w:tcW w:w="1931" w:type="dxa"/>
            <w:noWrap/>
            <w:hideMark/>
          </w:tcPr>
          <w:p w14:paraId="524D6E21"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7</w:t>
            </w:r>
          </w:p>
        </w:tc>
        <w:tc>
          <w:tcPr>
            <w:tcW w:w="963" w:type="dxa"/>
            <w:noWrap/>
            <w:hideMark/>
          </w:tcPr>
          <w:p w14:paraId="7F86C4E5"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1</w:t>
            </w:r>
          </w:p>
        </w:tc>
        <w:tc>
          <w:tcPr>
            <w:tcW w:w="975" w:type="dxa"/>
            <w:noWrap/>
            <w:hideMark/>
          </w:tcPr>
          <w:p w14:paraId="703C8E62"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0</w:t>
            </w:r>
          </w:p>
        </w:tc>
      </w:tr>
      <w:tr w:rsidR="00D0297A" w:rsidRPr="007D6887" w14:paraId="499B3392" w14:textId="77777777" w:rsidTr="0003624F">
        <w:trPr>
          <w:trHeight w:val="320"/>
        </w:trPr>
        <w:tc>
          <w:tcPr>
            <w:tcW w:w="1075" w:type="dxa"/>
            <w:noWrap/>
            <w:hideMark/>
          </w:tcPr>
          <w:p w14:paraId="54345D00"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9</w:t>
            </w:r>
          </w:p>
        </w:tc>
        <w:tc>
          <w:tcPr>
            <w:tcW w:w="720" w:type="dxa"/>
            <w:noWrap/>
            <w:hideMark/>
          </w:tcPr>
          <w:p w14:paraId="77E0A0AA"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1</w:t>
            </w:r>
          </w:p>
        </w:tc>
        <w:tc>
          <w:tcPr>
            <w:tcW w:w="810" w:type="dxa"/>
            <w:noWrap/>
            <w:hideMark/>
          </w:tcPr>
          <w:p w14:paraId="7F808786"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0</w:t>
            </w:r>
          </w:p>
        </w:tc>
        <w:tc>
          <w:tcPr>
            <w:tcW w:w="1530" w:type="dxa"/>
            <w:noWrap/>
            <w:hideMark/>
          </w:tcPr>
          <w:p w14:paraId="00DC23EF"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64</w:t>
            </w:r>
          </w:p>
        </w:tc>
        <w:tc>
          <w:tcPr>
            <w:tcW w:w="1012" w:type="dxa"/>
            <w:noWrap/>
            <w:hideMark/>
          </w:tcPr>
          <w:p w14:paraId="185B2BDE"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0</w:t>
            </w:r>
          </w:p>
        </w:tc>
        <w:tc>
          <w:tcPr>
            <w:tcW w:w="1931" w:type="dxa"/>
            <w:noWrap/>
            <w:hideMark/>
          </w:tcPr>
          <w:p w14:paraId="7CAEA549"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4</w:t>
            </w:r>
          </w:p>
        </w:tc>
        <w:tc>
          <w:tcPr>
            <w:tcW w:w="963" w:type="dxa"/>
            <w:noWrap/>
            <w:hideMark/>
          </w:tcPr>
          <w:p w14:paraId="5307CB5B"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1</w:t>
            </w:r>
          </w:p>
        </w:tc>
        <w:tc>
          <w:tcPr>
            <w:tcW w:w="975" w:type="dxa"/>
            <w:noWrap/>
            <w:hideMark/>
          </w:tcPr>
          <w:p w14:paraId="6D113E98"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0</w:t>
            </w:r>
          </w:p>
        </w:tc>
      </w:tr>
      <w:tr w:rsidR="00D0297A" w:rsidRPr="007D6887" w14:paraId="23127DFE" w14:textId="77777777" w:rsidTr="0003624F">
        <w:trPr>
          <w:trHeight w:val="320"/>
        </w:trPr>
        <w:tc>
          <w:tcPr>
            <w:tcW w:w="1075" w:type="dxa"/>
            <w:noWrap/>
            <w:hideMark/>
          </w:tcPr>
          <w:p w14:paraId="621646AC"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10</w:t>
            </w:r>
          </w:p>
        </w:tc>
        <w:tc>
          <w:tcPr>
            <w:tcW w:w="720" w:type="dxa"/>
            <w:noWrap/>
            <w:hideMark/>
          </w:tcPr>
          <w:p w14:paraId="0BA21E23"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1</w:t>
            </w:r>
          </w:p>
        </w:tc>
        <w:tc>
          <w:tcPr>
            <w:tcW w:w="810" w:type="dxa"/>
            <w:noWrap/>
            <w:hideMark/>
          </w:tcPr>
          <w:p w14:paraId="656ADC89"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0</w:t>
            </w:r>
          </w:p>
        </w:tc>
        <w:tc>
          <w:tcPr>
            <w:tcW w:w="1530" w:type="dxa"/>
            <w:noWrap/>
            <w:hideMark/>
          </w:tcPr>
          <w:p w14:paraId="4F9B59F9"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52</w:t>
            </w:r>
          </w:p>
        </w:tc>
        <w:tc>
          <w:tcPr>
            <w:tcW w:w="1012" w:type="dxa"/>
            <w:noWrap/>
            <w:hideMark/>
          </w:tcPr>
          <w:p w14:paraId="15D77602"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0</w:t>
            </w:r>
          </w:p>
        </w:tc>
        <w:tc>
          <w:tcPr>
            <w:tcW w:w="1931" w:type="dxa"/>
            <w:noWrap/>
            <w:hideMark/>
          </w:tcPr>
          <w:p w14:paraId="05D6E852"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NaN</w:t>
            </w:r>
          </w:p>
        </w:tc>
        <w:tc>
          <w:tcPr>
            <w:tcW w:w="963" w:type="dxa"/>
            <w:noWrap/>
            <w:hideMark/>
          </w:tcPr>
          <w:p w14:paraId="209B511B"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1</w:t>
            </w:r>
          </w:p>
        </w:tc>
        <w:tc>
          <w:tcPr>
            <w:tcW w:w="975" w:type="dxa"/>
            <w:noWrap/>
            <w:hideMark/>
          </w:tcPr>
          <w:p w14:paraId="01833EF2"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0</w:t>
            </w:r>
          </w:p>
        </w:tc>
      </w:tr>
      <w:tr w:rsidR="00D0297A" w:rsidRPr="007D6887" w14:paraId="7FE26332" w14:textId="77777777" w:rsidTr="0003624F">
        <w:trPr>
          <w:trHeight w:val="320"/>
        </w:trPr>
        <w:tc>
          <w:tcPr>
            <w:tcW w:w="1075" w:type="dxa"/>
            <w:noWrap/>
            <w:hideMark/>
          </w:tcPr>
          <w:p w14:paraId="177835F8"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11</w:t>
            </w:r>
          </w:p>
        </w:tc>
        <w:tc>
          <w:tcPr>
            <w:tcW w:w="720" w:type="dxa"/>
            <w:noWrap/>
            <w:hideMark/>
          </w:tcPr>
          <w:p w14:paraId="79BB2F03"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1</w:t>
            </w:r>
          </w:p>
        </w:tc>
        <w:tc>
          <w:tcPr>
            <w:tcW w:w="810" w:type="dxa"/>
            <w:noWrap/>
            <w:hideMark/>
          </w:tcPr>
          <w:p w14:paraId="1D078C54"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0</w:t>
            </w:r>
          </w:p>
        </w:tc>
        <w:tc>
          <w:tcPr>
            <w:tcW w:w="1530" w:type="dxa"/>
            <w:noWrap/>
            <w:hideMark/>
          </w:tcPr>
          <w:p w14:paraId="459F228B"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51</w:t>
            </w:r>
          </w:p>
        </w:tc>
        <w:tc>
          <w:tcPr>
            <w:tcW w:w="1012" w:type="dxa"/>
            <w:noWrap/>
            <w:hideMark/>
          </w:tcPr>
          <w:p w14:paraId="04FD18E6"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0</w:t>
            </w:r>
          </w:p>
        </w:tc>
        <w:tc>
          <w:tcPr>
            <w:tcW w:w="1931" w:type="dxa"/>
            <w:noWrap/>
            <w:hideMark/>
          </w:tcPr>
          <w:p w14:paraId="7CB0E054"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7</w:t>
            </w:r>
          </w:p>
        </w:tc>
        <w:tc>
          <w:tcPr>
            <w:tcW w:w="963" w:type="dxa"/>
            <w:noWrap/>
            <w:hideMark/>
          </w:tcPr>
          <w:p w14:paraId="289B003C"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1</w:t>
            </w:r>
          </w:p>
        </w:tc>
        <w:tc>
          <w:tcPr>
            <w:tcW w:w="975" w:type="dxa"/>
            <w:noWrap/>
            <w:hideMark/>
          </w:tcPr>
          <w:p w14:paraId="5D64D23D"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0</w:t>
            </w:r>
          </w:p>
        </w:tc>
      </w:tr>
      <w:tr w:rsidR="00D0297A" w:rsidRPr="007D6887" w14:paraId="36161A2D" w14:textId="77777777" w:rsidTr="0003624F">
        <w:trPr>
          <w:trHeight w:val="320"/>
        </w:trPr>
        <w:tc>
          <w:tcPr>
            <w:tcW w:w="1075" w:type="dxa"/>
            <w:noWrap/>
            <w:hideMark/>
          </w:tcPr>
          <w:p w14:paraId="2B046ABA"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12</w:t>
            </w:r>
          </w:p>
        </w:tc>
        <w:tc>
          <w:tcPr>
            <w:tcW w:w="720" w:type="dxa"/>
            <w:noWrap/>
            <w:hideMark/>
          </w:tcPr>
          <w:p w14:paraId="637F3B42"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0</w:t>
            </w:r>
          </w:p>
        </w:tc>
        <w:tc>
          <w:tcPr>
            <w:tcW w:w="810" w:type="dxa"/>
            <w:noWrap/>
            <w:hideMark/>
          </w:tcPr>
          <w:p w14:paraId="23113D14"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1</w:t>
            </w:r>
          </w:p>
        </w:tc>
        <w:tc>
          <w:tcPr>
            <w:tcW w:w="1530" w:type="dxa"/>
            <w:noWrap/>
            <w:hideMark/>
          </w:tcPr>
          <w:p w14:paraId="6760E388"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74</w:t>
            </w:r>
          </w:p>
        </w:tc>
        <w:tc>
          <w:tcPr>
            <w:tcW w:w="1012" w:type="dxa"/>
            <w:noWrap/>
            <w:hideMark/>
          </w:tcPr>
          <w:p w14:paraId="0B05CC40"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1</w:t>
            </w:r>
          </w:p>
        </w:tc>
        <w:tc>
          <w:tcPr>
            <w:tcW w:w="1931" w:type="dxa"/>
            <w:noWrap/>
            <w:hideMark/>
          </w:tcPr>
          <w:p w14:paraId="78795FAE"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10</w:t>
            </w:r>
          </w:p>
        </w:tc>
        <w:tc>
          <w:tcPr>
            <w:tcW w:w="963" w:type="dxa"/>
            <w:noWrap/>
            <w:hideMark/>
          </w:tcPr>
          <w:p w14:paraId="63588B66"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0</w:t>
            </w:r>
          </w:p>
        </w:tc>
        <w:tc>
          <w:tcPr>
            <w:tcW w:w="975" w:type="dxa"/>
            <w:noWrap/>
            <w:hideMark/>
          </w:tcPr>
          <w:p w14:paraId="56E8A531"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1</w:t>
            </w:r>
          </w:p>
        </w:tc>
      </w:tr>
      <w:tr w:rsidR="00D0297A" w:rsidRPr="007D6887" w14:paraId="4D53DFB4" w14:textId="77777777" w:rsidTr="0003624F">
        <w:trPr>
          <w:trHeight w:val="320"/>
        </w:trPr>
        <w:tc>
          <w:tcPr>
            <w:tcW w:w="1075" w:type="dxa"/>
            <w:noWrap/>
            <w:hideMark/>
          </w:tcPr>
          <w:p w14:paraId="08F6EDDE"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13</w:t>
            </w:r>
          </w:p>
        </w:tc>
        <w:tc>
          <w:tcPr>
            <w:tcW w:w="720" w:type="dxa"/>
            <w:noWrap/>
            <w:hideMark/>
          </w:tcPr>
          <w:p w14:paraId="04101600"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1</w:t>
            </w:r>
          </w:p>
        </w:tc>
        <w:tc>
          <w:tcPr>
            <w:tcW w:w="810" w:type="dxa"/>
            <w:noWrap/>
            <w:hideMark/>
          </w:tcPr>
          <w:p w14:paraId="7828A1E3"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0</w:t>
            </w:r>
          </w:p>
        </w:tc>
        <w:tc>
          <w:tcPr>
            <w:tcW w:w="1530" w:type="dxa"/>
            <w:noWrap/>
            <w:hideMark/>
          </w:tcPr>
          <w:p w14:paraId="49D781E4"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64</w:t>
            </w:r>
          </w:p>
        </w:tc>
        <w:tc>
          <w:tcPr>
            <w:tcW w:w="1012" w:type="dxa"/>
            <w:noWrap/>
            <w:hideMark/>
          </w:tcPr>
          <w:p w14:paraId="6B9EEE8D"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0</w:t>
            </w:r>
          </w:p>
        </w:tc>
        <w:tc>
          <w:tcPr>
            <w:tcW w:w="1931" w:type="dxa"/>
            <w:noWrap/>
            <w:hideMark/>
          </w:tcPr>
          <w:p w14:paraId="4B32988C"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NaN</w:t>
            </w:r>
          </w:p>
        </w:tc>
        <w:tc>
          <w:tcPr>
            <w:tcW w:w="963" w:type="dxa"/>
            <w:noWrap/>
            <w:hideMark/>
          </w:tcPr>
          <w:p w14:paraId="6F13207A"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1</w:t>
            </w:r>
          </w:p>
        </w:tc>
        <w:tc>
          <w:tcPr>
            <w:tcW w:w="975" w:type="dxa"/>
            <w:noWrap/>
            <w:hideMark/>
          </w:tcPr>
          <w:p w14:paraId="4BD1DE8F"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0</w:t>
            </w:r>
          </w:p>
        </w:tc>
      </w:tr>
      <w:tr w:rsidR="00D0297A" w:rsidRPr="007D6887" w14:paraId="7FAE0E4C" w14:textId="77777777" w:rsidTr="0003624F">
        <w:trPr>
          <w:trHeight w:val="320"/>
        </w:trPr>
        <w:tc>
          <w:tcPr>
            <w:tcW w:w="1075" w:type="dxa"/>
            <w:noWrap/>
            <w:hideMark/>
          </w:tcPr>
          <w:p w14:paraId="25B9C85F"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14</w:t>
            </w:r>
          </w:p>
        </w:tc>
        <w:tc>
          <w:tcPr>
            <w:tcW w:w="720" w:type="dxa"/>
            <w:noWrap/>
            <w:hideMark/>
          </w:tcPr>
          <w:p w14:paraId="63489F07"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1</w:t>
            </w:r>
          </w:p>
        </w:tc>
        <w:tc>
          <w:tcPr>
            <w:tcW w:w="810" w:type="dxa"/>
            <w:noWrap/>
            <w:hideMark/>
          </w:tcPr>
          <w:p w14:paraId="7409CA6C"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0</w:t>
            </w:r>
          </w:p>
        </w:tc>
        <w:tc>
          <w:tcPr>
            <w:tcW w:w="1530" w:type="dxa"/>
            <w:noWrap/>
            <w:hideMark/>
          </w:tcPr>
          <w:p w14:paraId="36A78D3E"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63</w:t>
            </w:r>
          </w:p>
        </w:tc>
        <w:tc>
          <w:tcPr>
            <w:tcW w:w="1012" w:type="dxa"/>
            <w:noWrap/>
            <w:hideMark/>
          </w:tcPr>
          <w:p w14:paraId="54E24EAD"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0</w:t>
            </w:r>
          </w:p>
        </w:tc>
        <w:tc>
          <w:tcPr>
            <w:tcW w:w="1931" w:type="dxa"/>
            <w:noWrap/>
            <w:hideMark/>
          </w:tcPr>
          <w:p w14:paraId="08F123CF"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4</w:t>
            </w:r>
          </w:p>
        </w:tc>
        <w:tc>
          <w:tcPr>
            <w:tcW w:w="963" w:type="dxa"/>
            <w:noWrap/>
            <w:hideMark/>
          </w:tcPr>
          <w:p w14:paraId="25F77153"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1</w:t>
            </w:r>
          </w:p>
        </w:tc>
        <w:tc>
          <w:tcPr>
            <w:tcW w:w="975" w:type="dxa"/>
            <w:noWrap/>
            <w:hideMark/>
          </w:tcPr>
          <w:p w14:paraId="20C34EAD" w14:textId="77777777" w:rsidR="00D0297A" w:rsidRPr="007D6887" w:rsidRDefault="00D0297A" w:rsidP="0003624F">
            <w:pPr>
              <w:tabs>
                <w:tab w:val="left" w:pos="6120"/>
              </w:tabs>
              <w:spacing w:before="120" w:after="120"/>
              <w:rPr>
                <w:rFonts w:cs="Times New Roman"/>
                <w:sz w:val="16"/>
                <w:szCs w:val="16"/>
              </w:rPr>
            </w:pPr>
            <w:r w:rsidRPr="007D6887">
              <w:rPr>
                <w:rFonts w:cs="Times New Roman"/>
                <w:sz w:val="16"/>
                <w:szCs w:val="16"/>
              </w:rPr>
              <w:t>0</w:t>
            </w:r>
          </w:p>
        </w:tc>
      </w:tr>
    </w:tbl>
    <w:p w14:paraId="53677670" w14:textId="77777777" w:rsidR="00D0297A" w:rsidRPr="007D6887" w:rsidRDefault="00D0297A" w:rsidP="00D0297A">
      <w:pPr>
        <w:tabs>
          <w:tab w:val="left" w:pos="6120"/>
        </w:tabs>
        <w:spacing w:before="120" w:after="120"/>
        <w:rPr>
          <w:rFonts w:cs="Times New Roman"/>
          <w:sz w:val="16"/>
          <w:szCs w:val="16"/>
        </w:rPr>
      </w:pPr>
    </w:p>
    <w:tbl>
      <w:tblPr>
        <w:tblStyle w:val="TableGrid"/>
        <w:tblW w:w="0" w:type="auto"/>
        <w:tblLook w:val="04A0" w:firstRow="1" w:lastRow="0" w:firstColumn="1" w:lastColumn="0" w:noHBand="0" w:noVBand="1"/>
      </w:tblPr>
      <w:tblGrid>
        <w:gridCol w:w="988"/>
        <w:gridCol w:w="731"/>
        <w:gridCol w:w="664"/>
        <w:gridCol w:w="791"/>
        <w:gridCol w:w="762"/>
        <w:gridCol w:w="846"/>
        <w:gridCol w:w="1107"/>
        <w:gridCol w:w="1379"/>
        <w:gridCol w:w="1362"/>
      </w:tblGrid>
      <w:tr w:rsidR="00D0297A" w:rsidRPr="007D6887" w14:paraId="5824364F" w14:textId="77777777" w:rsidTr="0003624F">
        <w:trPr>
          <w:trHeight w:val="320"/>
        </w:trPr>
        <w:tc>
          <w:tcPr>
            <w:tcW w:w="988" w:type="dxa"/>
            <w:noWrap/>
            <w:hideMark/>
          </w:tcPr>
          <w:p w14:paraId="43379834" w14:textId="77777777" w:rsidR="00D0297A" w:rsidRPr="00600EF3" w:rsidRDefault="00D0297A" w:rsidP="0003624F">
            <w:pPr>
              <w:spacing w:before="120" w:after="120"/>
              <w:rPr>
                <w:rFonts w:cs="Times New Roman"/>
                <w:b/>
                <w:bCs/>
                <w:sz w:val="16"/>
                <w:szCs w:val="16"/>
              </w:rPr>
            </w:pPr>
            <w:r w:rsidRPr="00600EF3">
              <w:rPr>
                <w:rFonts w:cs="Times New Roman"/>
                <w:b/>
                <w:bCs/>
                <w:sz w:val="16"/>
                <w:szCs w:val="16"/>
              </w:rPr>
              <w:lastRenderedPageBreak/>
              <w:t>Patient Number</w:t>
            </w:r>
          </w:p>
        </w:tc>
        <w:tc>
          <w:tcPr>
            <w:tcW w:w="2948" w:type="dxa"/>
            <w:gridSpan w:val="4"/>
            <w:noWrap/>
            <w:hideMark/>
          </w:tcPr>
          <w:p w14:paraId="46D6E3D9" w14:textId="77777777" w:rsidR="00D0297A" w:rsidRPr="00600EF3" w:rsidRDefault="00D0297A" w:rsidP="0003624F">
            <w:pPr>
              <w:spacing w:before="120" w:after="120"/>
              <w:ind w:firstLine="210"/>
              <w:rPr>
                <w:rFonts w:cs="Times New Roman"/>
                <w:b/>
                <w:bCs/>
                <w:sz w:val="16"/>
                <w:szCs w:val="16"/>
              </w:rPr>
            </w:pPr>
            <w:r w:rsidRPr="00600EF3">
              <w:rPr>
                <w:rFonts w:cs="Times New Roman"/>
                <w:b/>
                <w:bCs/>
                <w:sz w:val="16"/>
                <w:szCs w:val="16"/>
              </w:rPr>
              <w:t>5-HT Medication</w:t>
            </w:r>
            <w:r>
              <w:rPr>
                <w:rFonts w:cs="Times New Roman"/>
                <w:b/>
                <w:bCs/>
                <w:sz w:val="16"/>
                <w:szCs w:val="16"/>
              </w:rPr>
              <w:t xml:space="preserve">  (On during task)</w:t>
            </w:r>
          </w:p>
        </w:tc>
        <w:tc>
          <w:tcPr>
            <w:tcW w:w="4694" w:type="dxa"/>
            <w:gridSpan w:val="4"/>
            <w:noWrap/>
            <w:hideMark/>
          </w:tcPr>
          <w:p w14:paraId="3CEFD752" w14:textId="77777777" w:rsidR="00D0297A" w:rsidRPr="00600EF3" w:rsidRDefault="00D0297A" w:rsidP="0003624F">
            <w:pPr>
              <w:spacing w:before="120" w:after="120"/>
              <w:ind w:firstLine="210"/>
              <w:rPr>
                <w:rFonts w:cs="Times New Roman"/>
                <w:b/>
                <w:bCs/>
                <w:sz w:val="16"/>
                <w:szCs w:val="16"/>
              </w:rPr>
            </w:pPr>
            <w:r w:rsidRPr="00600EF3">
              <w:rPr>
                <w:rFonts w:cs="Times New Roman"/>
                <w:b/>
                <w:bCs/>
                <w:sz w:val="16"/>
                <w:szCs w:val="16"/>
              </w:rPr>
              <w:t>Dopamine Medication</w:t>
            </w:r>
            <w:r>
              <w:rPr>
                <w:rFonts w:cs="Times New Roman"/>
                <w:b/>
                <w:bCs/>
                <w:sz w:val="16"/>
                <w:szCs w:val="16"/>
              </w:rPr>
              <w:t xml:space="preserve"> (Off during task)</w:t>
            </w:r>
          </w:p>
        </w:tc>
      </w:tr>
      <w:tr w:rsidR="00D0297A" w:rsidRPr="007D6887" w14:paraId="01D853DA" w14:textId="77777777" w:rsidTr="0003624F">
        <w:trPr>
          <w:trHeight w:val="960"/>
        </w:trPr>
        <w:tc>
          <w:tcPr>
            <w:tcW w:w="988" w:type="dxa"/>
            <w:noWrap/>
            <w:hideMark/>
          </w:tcPr>
          <w:p w14:paraId="00446685" w14:textId="77777777" w:rsidR="00D0297A" w:rsidRPr="007D6887" w:rsidRDefault="00D0297A" w:rsidP="0003624F">
            <w:pPr>
              <w:spacing w:before="120" w:after="120"/>
              <w:ind w:firstLine="210"/>
              <w:rPr>
                <w:rFonts w:asciiTheme="majorHAnsi" w:hAnsiTheme="majorHAnsi" w:cs="Times New Roman"/>
                <w:b/>
                <w:bCs/>
                <w:sz w:val="16"/>
                <w:szCs w:val="16"/>
              </w:rPr>
            </w:pPr>
          </w:p>
        </w:tc>
        <w:tc>
          <w:tcPr>
            <w:tcW w:w="731" w:type="dxa"/>
            <w:hideMark/>
          </w:tcPr>
          <w:p w14:paraId="5B1DAC6B" w14:textId="77777777" w:rsidR="00D0297A" w:rsidRPr="007D6887" w:rsidRDefault="00D0297A" w:rsidP="0003624F">
            <w:pPr>
              <w:spacing w:before="120" w:after="120"/>
              <w:ind w:firstLine="37"/>
              <w:rPr>
                <w:rFonts w:asciiTheme="majorHAnsi" w:hAnsiTheme="majorHAnsi" w:cs="Times New Roman"/>
                <w:sz w:val="16"/>
                <w:szCs w:val="16"/>
              </w:rPr>
            </w:pPr>
            <w:r>
              <w:rPr>
                <w:rFonts w:asciiTheme="majorHAnsi" w:hAnsiTheme="majorHAnsi" w:cs="Times New Roman"/>
                <w:sz w:val="16"/>
                <w:szCs w:val="16"/>
              </w:rPr>
              <w:t>SSRI</w:t>
            </w:r>
            <w:r w:rsidRPr="007D6887">
              <w:rPr>
                <w:rFonts w:asciiTheme="majorHAnsi" w:hAnsiTheme="majorHAnsi" w:cs="Times New Roman"/>
                <w:sz w:val="16"/>
                <w:szCs w:val="16"/>
              </w:rPr>
              <w:t>S</w:t>
            </w:r>
          </w:p>
        </w:tc>
        <w:tc>
          <w:tcPr>
            <w:tcW w:w="664" w:type="dxa"/>
            <w:hideMark/>
          </w:tcPr>
          <w:p w14:paraId="1C6C763E" w14:textId="77777777" w:rsidR="00D0297A" w:rsidRPr="007D6887" w:rsidRDefault="00D0297A" w:rsidP="0003624F">
            <w:pPr>
              <w:spacing w:before="120" w:after="120"/>
              <w:rPr>
                <w:rFonts w:asciiTheme="majorHAnsi" w:hAnsiTheme="majorHAnsi" w:cs="Times New Roman"/>
                <w:sz w:val="16"/>
                <w:szCs w:val="16"/>
              </w:rPr>
            </w:pPr>
            <w:r>
              <w:rPr>
                <w:rFonts w:asciiTheme="majorHAnsi" w:hAnsiTheme="majorHAnsi" w:cs="Times New Roman"/>
                <w:sz w:val="16"/>
                <w:szCs w:val="16"/>
              </w:rPr>
              <w:t>SNR</w:t>
            </w:r>
            <w:r w:rsidRPr="007D6887">
              <w:rPr>
                <w:rFonts w:asciiTheme="majorHAnsi" w:hAnsiTheme="majorHAnsi" w:cs="Times New Roman"/>
                <w:sz w:val="16"/>
                <w:szCs w:val="16"/>
              </w:rPr>
              <w:t>S</w:t>
            </w:r>
          </w:p>
        </w:tc>
        <w:tc>
          <w:tcPr>
            <w:tcW w:w="791" w:type="dxa"/>
            <w:hideMark/>
          </w:tcPr>
          <w:p w14:paraId="0800E392" w14:textId="77777777" w:rsidR="00D0297A" w:rsidRPr="007D6887" w:rsidRDefault="00D0297A" w:rsidP="0003624F">
            <w:pPr>
              <w:spacing w:before="120" w:after="120"/>
              <w:ind w:firstLine="210"/>
              <w:rPr>
                <w:rFonts w:asciiTheme="majorHAnsi" w:hAnsiTheme="majorHAnsi" w:cs="Times New Roman"/>
                <w:sz w:val="16"/>
                <w:szCs w:val="16"/>
              </w:rPr>
            </w:pPr>
            <w:r>
              <w:rPr>
                <w:rFonts w:asciiTheme="majorHAnsi" w:hAnsiTheme="majorHAnsi" w:cs="Times New Roman"/>
                <w:sz w:val="16"/>
                <w:szCs w:val="16"/>
              </w:rPr>
              <w:t>SARI</w:t>
            </w:r>
            <w:r w:rsidRPr="007D6887">
              <w:rPr>
                <w:rFonts w:asciiTheme="majorHAnsi" w:hAnsiTheme="majorHAnsi" w:cs="Times New Roman"/>
                <w:sz w:val="16"/>
                <w:szCs w:val="16"/>
              </w:rPr>
              <w:t>S</w:t>
            </w:r>
          </w:p>
        </w:tc>
        <w:tc>
          <w:tcPr>
            <w:tcW w:w="762" w:type="dxa"/>
            <w:hideMark/>
          </w:tcPr>
          <w:p w14:paraId="2527109D" w14:textId="77777777" w:rsidR="00D0297A" w:rsidRPr="007D6887" w:rsidRDefault="00D0297A" w:rsidP="0003624F">
            <w:pPr>
              <w:spacing w:before="120" w:after="120"/>
              <w:rPr>
                <w:rFonts w:asciiTheme="majorHAnsi" w:hAnsiTheme="majorHAnsi" w:cs="Times New Roman"/>
                <w:sz w:val="16"/>
                <w:szCs w:val="16"/>
              </w:rPr>
            </w:pPr>
            <w:r>
              <w:rPr>
                <w:rFonts w:asciiTheme="majorHAnsi" w:hAnsiTheme="majorHAnsi" w:cs="Times New Roman"/>
                <w:sz w:val="16"/>
                <w:szCs w:val="16"/>
              </w:rPr>
              <w:t>TCA</w:t>
            </w:r>
            <w:r w:rsidRPr="007D6887">
              <w:rPr>
                <w:rFonts w:asciiTheme="majorHAnsi" w:hAnsiTheme="majorHAnsi" w:cs="Times New Roman"/>
                <w:sz w:val="16"/>
                <w:szCs w:val="16"/>
              </w:rPr>
              <w:t>S</w:t>
            </w:r>
          </w:p>
        </w:tc>
        <w:tc>
          <w:tcPr>
            <w:tcW w:w="846" w:type="dxa"/>
            <w:hideMark/>
          </w:tcPr>
          <w:p w14:paraId="66B50FD4" w14:textId="77777777" w:rsidR="00D0297A" w:rsidRPr="007D6887" w:rsidRDefault="00D0297A" w:rsidP="0003624F">
            <w:pPr>
              <w:spacing w:before="120" w:after="120"/>
              <w:rPr>
                <w:rFonts w:asciiTheme="majorHAnsi" w:hAnsiTheme="majorHAnsi" w:cs="Times New Roman"/>
                <w:sz w:val="16"/>
                <w:szCs w:val="16"/>
              </w:rPr>
            </w:pPr>
            <w:r w:rsidRPr="007D6887">
              <w:rPr>
                <w:rFonts w:asciiTheme="majorHAnsi" w:hAnsiTheme="majorHAnsi" w:cs="Times New Roman"/>
                <w:sz w:val="16"/>
                <w:szCs w:val="16"/>
              </w:rPr>
              <w:t>NDRI_D</w:t>
            </w:r>
          </w:p>
        </w:tc>
        <w:tc>
          <w:tcPr>
            <w:tcW w:w="1107" w:type="dxa"/>
            <w:hideMark/>
          </w:tcPr>
          <w:p w14:paraId="4B2D2C14" w14:textId="77777777" w:rsidR="00D0297A" w:rsidRPr="007D6887" w:rsidRDefault="00D0297A" w:rsidP="0003624F">
            <w:pPr>
              <w:spacing w:before="120" w:after="120"/>
              <w:rPr>
                <w:rFonts w:asciiTheme="majorHAnsi" w:hAnsiTheme="majorHAnsi" w:cs="Times New Roman"/>
                <w:sz w:val="16"/>
                <w:szCs w:val="16"/>
              </w:rPr>
            </w:pPr>
            <w:r w:rsidRPr="007D6887">
              <w:rPr>
                <w:rFonts w:asciiTheme="majorHAnsi" w:hAnsiTheme="majorHAnsi" w:cs="Times New Roman"/>
                <w:sz w:val="16"/>
                <w:szCs w:val="16"/>
              </w:rPr>
              <w:t>DA_agonists</w:t>
            </w:r>
          </w:p>
        </w:tc>
        <w:tc>
          <w:tcPr>
            <w:tcW w:w="1379" w:type="dxa"/>
            <w:hideMark/>
          </w:tcPr>
          <w:p w14:paraId="1F00E2F8" w14:textId="77777777" w:rsidR="00D0297A" w:rsidRPr="007D6887" w:rsidRDefault="00D0297A" w:rsidP="0003624F">
            <w:pPr>
              <w:spacing w:before="120" w:after="120"/>
              <w:rPr>
                <w:rFonts w:asciiTheme="majorHAnsi" w:hAnsiTheme="majorHAnsi" w:cs="Times New Roman"/>
                <w:sz w:val="16"/>
                <w:szCs w:val="16"/>
              </w:rPr>
            </w:pPr>
            <w:r w:rsidRPr="007D6887">
              <w:rPr>
                <w:rFonts w:asciiTheme="majorHAnsi" w:hAnsiTheme="majorHAnsi" w:cs="Times New Roman"/>
                <w:sz w:val="16"/>
                <w:szCs w:val="16"/>
              </w:rPr>
              <w:t>MAOB_inhibitors</w:t>
            </w:r>
          </w:p>
        </w:tc>
        <w:tc>
          <w:tcPr>
            <w:tcW w:w="1362" w:type="dxa"/>
            <w:hideMark/>
          </w:tcPr>
          <w:p w14:paraId="0010068F" w14:textId="77777777" w:rsidR="00D0297A" w:rsidRPr="007D6887" w:rsidRDefault="00D0297A" w:rsidP="0003624F">
            <w:pPr>
              <w:spacing w:before="120" w:after="120"/>
              <w:rPr>
                <w:rFonts w:asciiTheme="majorHAnsi" w:hAnsiTheme="majorHAnsi" w:cs="Times New Roman"/>
                <w:sz w:val="16"/>
                <w:szCs w:val="16"/>
              </w:rPr>
            </w:pPr>
            <w:r w:rsidRPr="007D6887">
              <w:rPr>
                <w:rFonts w:asciiTheme="majorHAnsi" w:hAnsiTheme="majorHAnsi" w:cs="Times New Roman"/>
                <w:sz w:val="16"/>
                <w:szCs w:val="16"/>
              </w:rPr>
              <w:t>DA_replacement</w:t>
            </w:r>
          </w:p>
        </w:tc>
      </w:tr>
      <w:tr w:rsidR="00D0297A" w:rsidRPr="007D6887" w14:paraId="33AC8655" w14:textId="77777777" w:rsidTr="0003624F">
        <w:trPr>
          <w:trHeight w:val="320"/>
        </w:trPr>
        <w:tc>
          <w:tcPr>
            <w:tcW w:w="988" w:type="dxa"/>
            <w:noWrap/>
            <w:hideMark/>
          </w:tcPr>
          <w:p w14:paraId="631572A4"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1</w:t>
            </w:r>
          </w:p>
        </w:tc>
        <w:tc>
          <w:tcPr>
            <w:tcW w:w="731" w:type="dxa"/>
            <w:noWrap/>
            <w:hideMark/>
          </w:tcPr>
          <w:p w14:paraId="48DBD7A9"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664" w:type="dxa"/>
            <w:noWrap/>
            <w:hideMark/>
          </w:tcPr>
          <w:p w14:paraId="34ED4D1B"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791" w:type="dxa"/>
            <w:noWrap/>
            <w:hideMark/>
          </w:tcPr>
          <w:p w14:paraId="0EB3CF11"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762" w:type="dxa"/>
            <w:noWrap/>
            <w:hideMark/>
          </w:tcPr>
          <w:p w14:paraId="231B72E1"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846" w:type="dxa"/>
            <w:noWrap/>
            <w:hideMark/>
          </w:tcPr>
          <w:p w14:paraId="6F12E1F3"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1107" w:type="dxa"/>
            <w:noWrap/>
            <w:hideMark/>
          </w:tcPr>
          <w:p w14:paraId="42731AAB"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1379" w:type="dxa"/>
            <w:noWrap/>
            <w:hideMark/>
          </w:tcPr>
          <w:p w14:paraId="54D2E178"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1362" w:type="dxa"/>
            <w:noWrap/>
            <w:hideMark/>
          </w:tcPr>
          <w:p w14:paraId="3920A025"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1</w:t>
            </w:r>
          </w:p>
        </w:tc>
      </w:tr>
      <w:tr w:rsidR="00D0297A" w:rsidRPr="007D6887" w14:paraId="5B87D860" w14:textId="77777777" w:rsidTr="0003624F">
        <w:trPr>
          <w:trHeight w:val="320"/>
        </w:trPr>
        <w:tc>
          <w:tcPr>
            <w:tcW w:w="988" w:type="dxa"/>
            <w:noWrap/>
            <w:hideMark/>
          </w:tcPr>
          <w:p w14:paraId="7CAA2B04"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2</w:t>
            </w:r>
          </w:p>
        </w:tc>
        <w:tc>
          <w:tcPr>
            <w:tcW w:w="731" w:type="dxa"/>
            <w:noWrap/>
            <w:hideMark/>
          </w:tcPr>
          <w:p w14:paraId="274124E0"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664" w:type="dxa"/>
            <w:noWrap/>
            <w:hideMark/>
          </w:tcPr>
          <w:p w14:paraId="093078EC"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791" w:type="dxa"/>
            <w:noWrap/>
            <w:hideMark/>
          </w:tcPr>
          <w:p w14:paraId="239BBD85"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762" w:type="dxa"/>
            <w:noWrap/>
            <w:hideMark/>
          </w:tcPr>
          <w:p w14:paraId="28C24B3E"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846" w:type="dxa"/>
            <w:noWrap/>
            <w:hideMark/>
          </w:tcPr>
          <w:p w14:paraId="40CD5EA4"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1107" w:type="dxa"/>
            <w:noWrap/>
            <w:hideMark/>
          </w:tcPr>
          <w:p w14:paraId="21B4A09B"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1</w:t>
            </w:r>
          </w:p>
        </w:tc>
        <w:tc>
          <w:tcPr>
            <w:tcW w:w="1379" w:type="dxa"/>
            <w:noWrap/>
            <w:hideMark/>
          </w:tcPr>
          <w:p w14:paraId="29822AC9"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1362" w:type="dxa"/>
            <w:noWrap/>
            <w:hideMark/>
          </w:tcPr>
          <w:p w14:paraId="01B017A5"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1</w:t>
            </w:r>
          </w:p>
        </w:tc>
      </w:tr>
      <w:tr w:rsidR="00D0297A" w:rsidRPr="007D6887" w14:paraId="1C3AB1F8" w14:textId="77777777" w:rsidTr="0003624F">
        <w:trPr>
          <w:trHeight w:val="320"/>
        </w:trPr>
        <w:tc>
          <w:tcPr>
            <w:tcW w:w="988" w:type="dxa"/>
            <w:noWrap/>
            <w:hideMark/>
          </w:tcPr>
          <w:p w14:paraId="0584C701"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3</w:t>
            </w:r>
          </w:p>
        </w:tc>
        <w:tc>
          <w:tcPr>
            <w:tcW w:w="731" w:type="dxa"/>
            <w:noWrap/>
            <w:hideMark/>
          </w:tcPr>
          <w:p w14:paraId="51D31999"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664" w:type="dxa"/>
            <w:noWrap/>
            <w:hideMark/>
          </w:tcPr>
          <w:p w14:paraId="2A89F12E"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791" w:type="dxa"/>
            <w:noWrap/>
            <w:hideMark/>
          </w:tcPr>
          <w:p w14:paraId="08F62916"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762" w:type="dxa"/>
            <w:noWrap/>
            <w:hideMark/>
          </w:tcPr>
          <w:p w14:paraId="6692ED62"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846" w:type="dxa"/>
            <w:noWrap/>
            <w:hideMark/>
          </w:tcPr>
          <w:p w14:paraId="2DA9B1E1"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1107" w:type="dxa"/>
            <w:noWrap/>
            <w:hideMark/>
          </w:tcPr>
          <w:p w14:paraId="6219C014"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1379" w:type="dxa"/>
            <w:noWrap/>
            <w:hideMark/>
          </w:tcPr>
          <w:p w14:paraId="10EABA14"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1362" w:type="dxa"/>
            <w:noWrap/>
            <w:hideMark/>
          </w:tcPr>
          <w:p w14:paraId="17F13994"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1</w:t>
            </w:r>
          </w:p>
        </w:tc>
      </w:tr>
      <w:tr w:rsidR="00D0297A" w:rsidRPr="007D6887" w14:paraId="3277E8D9" w14:textId="77777777" w:rsidTr="0003624F">
        <w:trPr>
          <w:trHeight w:val="320"/>
        </w:trPr>
        <w:tc>
          <w:tcPr>
            <w:tcW w:w="988" w:type="dxa"/>
            <w:noWrap/>
            <w:hideMark/>
          </w:tcPr>
          <w:p w14:paraId="12CA2A59"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4</w:t>
            </w:r>
          </w:p>
        </w:tc>
        <w:tc>
          <w:tcPr>
            <w:tcW w:w="731" w:type="dxa"/>
            <w:noWrap/>
            <w:hideMark/>
          </w:tcPr>
          <w:p w14:paraId="70C75519"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664" w:type="dxa"/>
            <w:noWrap/>
            <w:hideMark/>
          </w:tcPr>
          <w:p w14:paraId="2A1885D6"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791" w:type="dxa"/>
            <w:noWrap/>
            <w:hideMark/>
          </w:tcPr>
          <w:p w14:paraId="09D32FFF"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762" w:type="dxa"/>
            <w:noWrap/>
            <w:hideMark/>
          </w:tcPr>
          <w:p w14:paraId="05E50788"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1</w:t>
            </w:r>
          </w:p>
        </w:tc>
        <w:tc>
          <w:tcPr>
            <w:tcW w:w="846" w:type="dxa"/>
            <w:noWrap/>
            <w:hideMark/>
          </w:tcPr>
          <w:p w14:paraId="3E5EA13B"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1107" w:type="dxa"/>
            <w:noWrap/>
            <w:hideMark/>
          </w:tcPr>
          <w:p w14:paraId="4F5C3072"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1</w:t>
            </w:r>
          </w:p>
        </w:tc>
        <w:tc>
          <w:tcPr>
            <w:tcW w:w="1379" w:type="dxa"/>
            <w:noWrap/>
            <w:hideMark/>
          </w:tcPr>
          <w:p w14:paraId="1EBB615A"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1</w:t>
            </w:r>
          </w:p>
        </w:tc>
        <w:tc>
          <w:tcPr>
            <w:tcW w:w="1362" w:type="dxa"/>
            <w:noWrap/>
            <w:hideMark/>
          </w:tcPr>
          <w:p w14:paraId="15928EAB"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1</w:t>
            </w:r>
          </w:p>
        </w:tc>
      </w:tr>
      <w:tr w:rsidR="00D0297A" w:rsidRPr="007D6887" w14:paraId="65DAAC0A" w14:textId="77777777" w:rsidTr="0003624F">
        <w:trPr>
          <w:trHeight w:val="320"/>
        </w:trPr>
        <w:tc>
          <w:tcPr>
            <w:tcW w:w="988" w:type="dxa"/>
            <w:noWrap/>
            <w:hideMark/>
          </w:tcPr>
          <w:p w14:paraId="3D2CA58C"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5</w:t>
            </w:r>
          </w:p>
        </w:tc>
        <w:tc>
          <w:tcPr>
            <w:tcW w:w="731" w:type="dxa"/>
            <w:noWrap/>
            <w:hideMark/>
          </w:tcPr>
          <w:p w14:paraId="74D7C818"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664" w:type="dxa"/>
            <w:noWrap/>
            <w:hideMark/>
          </w:tcPr>
          <w:p w14:paraId="15243190"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791" w:type="dxa"/>
            <w:noWrap/>
            <w:hideMark/>
          </w:tcPr>
          <w:p w14:paraId="288E2A12"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762" w:type="dxa"/>
            <w:noWrap/>
            <w:hideMark/>
          </w:tcPr>
          <w:p w14:paraId="70F0B653"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846" w:type="dxa"/>
            <w:noWrap/>
            <w:hideMark/>
          </w:tcPr>
          <w:p w14:paraId="5D8F7A6C"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1</w:t>
            </w:r>
          </w:p>
        </w:tc>
        <w:tc>
          <w:tcPr>
            <w:tcW w:w="1107" w:type="dxa"/>
            <w:noWrap/>
            <w:hideMark/>
          </w:tcPr>
          <w:p w14:paraId="64586D34"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1379" w:type="dxa"/>
            <w:noWrap/>
            <w:hideMark/>
          </w:tcPr>
          <w:p w14:paraId="2F625A47"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1362" w:type="dxa"/>
            <w:noWrap/>
            <w:hideMark/>
          </w:tcPr>
          <w:p w14:paraId="6B2E2F54"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1</w:t>
            </w:r>
          </w:p>
        </w:tc>
      </w:tr>
      <w:tr w:rsidR="00D0297A" w:rsidRPr="007D6887" w14:paraId="069BEF73" w14:textId="77777777" w:rsidTr="0003624F">
        <w:trPr>
          <w:trHeight w:val="320"/>
        </w:trPr>
        <w:tc>
          <w:tcPr>
            <w:tcW w:w="988" w:type="dxa"/>
            <w:noWrap/>
            <w:hideMark/>
          </w:tcPr>
          <w:p w14:paraId="1106E5A9"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6</w:t>
            </w:r>
          </w:p>
        </w:tc>
        <w:tc>
          <w:tcPr>
            <w:tcW w:w="731" w:type="dxa"/>
            <w:noWrap/>
            <w:hideMark/>
          </w:tcPr>
          <w:p w14:paraId="50A538B2"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1</w:t>
            </w:r>
          </w:p>
        </w:tc>
        <w:tc>
          <w:tcPr>
            <w:tcW w:w="664" w:type="dxa"/>
            <w:noWrap/>
            <w:hideMark/>
          </w:tcPr>
          <w:p w14:paraId="6D7CD642"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791" w:type="dxa"/>
            <w:noWrap/>
            <w:hideMark/>
          </w:tcPr>
          <w:p w14:paraId="69349AC2"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762" w:type="dxa"/>
            <w:noWrap/>
            <w:hideMark/>
          </w:tcPr>
          <w:p w14:paraId="2221FD30"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846" w:type="dxa"/>
            <w:noWrap/>
            <w:hideMark/>
          </w:tcPr>
          <w:p w14:paraId="0CFAE5D2"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1107" w:type="dxa"/>
            <w:noWrap/>
            <w:hideMark/>
          </w:tcPr>
          <w:p w14:paraId="104F526E"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1379" w:type="dxa"/>
            <w:noWrap/>
            <w:hideMark/>
          </w:tcPr>
          <w:p w14:paraId="4E19EEB9"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1362" w:type="dxa"/>
            <w:noWrap/>
            <w:hideMark/>
          </w:tcPr>
          <w:p w14:paraId="53E801DA"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r>
      <w:tr w:rsidR="00D0297A" w:rsidRPr="007D6887" w14:paraId="52D3E9E0" w14:textId="77777777" w:rsidTr="0003624F">
        <w:trPr>
          <w:trHeight w:val="320"/>
        </w:trPr>
        <w:tc>
          <w:tcPr>
            <w:tcW w:w="988" w:type="dxa"/>
            <w:noWrap/>
            <w:hideMark/>
          </w:tcPr>
          <w:p w14:paraId="273DCDCB"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7</w:t>
            </w:r>
          </w:p>
        </w:tc>
        <w:tc>
          <w:tcPr>
            <w:tcW w:w="731" w:type="dxa"/>
            <w:noWrap/>
            <w:hideMark/>
          </w:tcPr>
          <w:p w14:paraId="090CB55F"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664" w:type="dxa"/>
            <w:noWrap/>
            <w:hideMark/>
          </w:tcPr>
          <w:p w14:paraId="4796C212"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791" w:type="dxa"/>
            <w:noWrap/>
            <w:hideMark/>
          </w:tcPr>
          <w:p w14:paraId="7DA00E18"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762" w:type="dxa"/>
            <w:noWrap/>
            <w:hideMark/>
          </w:tcPr>
          <w:p w14:paraId="00499B98"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846" w:type="dxa"/>
            <w:noWrap/>
            <w:hideMark/>
          </w:tcPr>
          <w:p w14:paraId="22E2C6D9"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1107" w:type="dxa"/>
            <w:noWrap/>
            <w:hideMark/>
          </w:tcPr>
          <w:p w14:paraId="70F34840"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1</w:t>
            </w:r>
          </w:p>
        </w:tc>
        <w:tc>
          <w:tcPr>
            <w:tcW w:w="1379" w:type="dxa"/>
            <w:noWrap/>
            <w:hideMark/>
          </w:tcPr>
          <w:p w14:paraId="4027AA2C"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1</w:t>
            </w:r>
          </w:p>
        </w:tc>
        <w:tc>
          <w:tcPr>
            <w:tcW w:w="1362" w:type="dxa"/>
            <w:noWrap/>
            <w:hideMark/>
          </w:tcPr>
          <w:p w14:paraId="4CB83B9E"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1</w:t>
            </w:r>
          </w:p>
        </w:tc>
      </w:tr>
      <w:tr w:rsidR="00D0297A" w:rsidRPr="007D6887" w14:paraId="136ED2D9" w14:textId="77777777" w:rsidTr="0003624F">
        <w:trPr>
          <w:trHeight w:val="320"/>
        </w:trPr>
        <w:tc>
          <w:tcPr>
            <w:tcW w:w="988" w:type="dxa"/>
            <w:noWrap/>
            <w:hideMark/>
          </w:tcPr>
          <w:p w14:paraId="26C0092C"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8</w:t>
            </w:r>
          </w:p>
        </w:tc>
        <w:tc>
          <w:tcPr>
            <w:tcW w:w="731" w:type="dxa"/>
            <w:noWrap/>
            <w:hideMark/>
          </w:tcPr>
          <w:p w14:paraId="302CABCF"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664" w:type="dxa"/>
            <w:noWrap/>
            <w:hideMark/>
          </w:tcPr>
          <w:p w14:paraId="3CC80156"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791" w:type="dxa"/>
            <w:noWrap/>
            <w:hideMark/>
          </w:tcPr>
          <w:p w14:paraId="5FE8119D"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762" w:type="dxa"/>
            <w:noWrap/>
            <w:hideMark/>
          </w:tcPr>
          <w:p w14:paraId="64F897EA"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846" w:type="dxa"/>
            <w:noWrap/>
            <w:hideMark/>
          </w:tcPr>
          <w:p w14:paraId="2FE8CAB8"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1107" w:type="dxa"/>
            <w:noWrap/>
            <w:hideMark/>
          </w:tcPr>
          <w:p w14:paraId="10B5BF1A"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1</w:t>
            </w:r>
          </w:p>
        </w:tc>
        <w:tc>
          <w:tcPr>
            <w:tcW w:w="1379" w:type="dxa"/>
            <w:noWrap/>
            <w:hideMark/>
          </w:tcPr>
          <w:p w14:paraId="2770FC26"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1362" w:type="dxa"/>
            <w:noWrap/>
            <w:hideMark/>
          </w:tcPr>
          <w:p w14:paraId="3485FE05"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1</w:t>
            </w:r>
          </w:p>
        </w:tc>
      </w:tr>
      <w:tr w:rsidR="00D0297A" w:rsidRPr="007D6887" w14:paraId="1F7E9EA1" w14:textId="77777777" w:rsidTr="0003624F">
        <w:trPr>
          <w:trHeight w:val="320"/>
        </w:trPr>
        <w:tc>
          <w:tcPr>
            <w:tcW w:w="988" w:type="dxa"/>
            <w:noWrap/>
            <w:hideMark/>
          </w:tcPr>
          <w:p w14:paraId="1D9B77D2"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9</w:t>
            </w:r>
          </w:p>
        </w:tc>
        <w:tc>
          <w:tcPr>
            <w:tcW w:w="731" w:type="dxa"/>
            <w:noWrap/>
            <w:hideMark/>
          </w:tcPr>
          <w:p w14:paraId="70507479"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1</w:t>
            </w:r>
          </w:p>
        </w:tc>
        <w:tc>
          <w:tcPr>
            <w:tcW w:w="664" w:type="dxa"/>
            <w:noWrap/>
            <w:hideMark/>
          </w:tcPr>
          <w:p w14:paraId="59914735"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791" w:type="dxa"/>
            <w:noWrap/>
            <w:hideMark/>
          </w:tcPr>
          <w:p w14:paraId="3565A2D5"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762" w:type="dxa"/>
            <w:noWrap/>
            <w:hideMark/>
          </w:tcPr>
          <w:p w14:paraId="17249268"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846" w:type="dxa"/>
            <w:noWrap/>
            <w:hideMark/>
          </w:tcPr>
          <w:p w14:paraId="71116F21"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1107" w:type="dxa"/>
            <w:noWrap/>
            <w:hideMark/>
          </w:tcPr>
          <w:p w14:paraId="44E12C8A"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1</w:t>
            </w:r>
          </w:p>
        </w:tc>
        <w:tc>
          <w:tcPr>
            <w:tcW w:w="1379" w:type="dxa"/>
            <w:noWrap/>
            <w:hideMark/>
          </w:tcPr>
          <w:p w14:paraId="0D76852D"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1</w:t>
            </w:r>
          </w:p>
        </w:tc>
        <w:tc>
          <w:tcPr>
            <w:tcW w:w="1362" w:type="dxa"/>
            <w:noWrap/>
            <w:hideMark/>
          </w:tcPr>
          <w:p w14:paraId="16DFB710"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1</w:t>
            </w:r>
          </w:p>
        </w:tc>
      </w:tr>
      <w:tr w:rsidR="00D0297A" w:rsidRPr="007D6887" w14:paraId="5E7E09B0" w14:textId="77777777" w:rsidTr="0003624F">
        <w:trPr>
          <w:trHeight w:val="320"/>
        </w:trPr>
        <w:tc>
          <w:tcPr>
            <w:tcW w:w="988" w:type="dxa"/>
            <w:noWrap/>
            <w:hideMark/>
          </w:tcPr>
          <w:p w14:paraId="57985AB5"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10</w:t>
            </w:r>
          </w:p>
        </w:tc>
        <w:tc>
          <w:tcPr>
            <w:tcW w:w="731" w:type="dxa"/>
            <w:noWrap/>
            <w:hideMark/>
          </w:tcPr>
          <w:p w14:paraId="0ADCB1E4"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664" w:type="dxa"/>
            <w:noWrap/>
            <w:hideMark/>
          </w:tcPr>
          <w:p w14:paraId="4FA12D07"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791" w:type="dxa"/>
            <w:noWrap/>
            <w:hideMark/>
          </w:tcPr>
          <w:p w14:paraId="75493E08"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762" w:type="dxa"/>
            <w:noWrap/>
            <w:hideMark/>
          </w:tcPr>
          <w:p w14:paraId="15DDA69B"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846" w:type="dxa"/>
            <w:noWrap/>
            <w:hideMark/>
          </w:tcPr>
          <w:p w14:paraId="734D38C9"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1</w:t>
            </w:r>
          </w:p>
        </w:tc>
        <w:tc>
          <w:tcPr>
            <w:tcW w:w="1107" w:type="dxa"/>
            <w:noWrap/>
            <w:hideMark/>
          </w:tcPr>
          <w:p w14:paraId="748864DD"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1379" w:type="dxa"/>
            <w:noWrap/>
            <w:hideMark/>
          </w:tcPr>
          <w:p w14:paraId="2F925737"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1362" w:type="dxa"/>
            <w:noWrap/>
            <w:hideMark/>
          </w:tcPr>
          <w:p w14:paraId="1C28A63C"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1</w:t>
            </w:r>
          </w:p>
        </w:tc>
      </w:tr>
      <w:tr w:rsidR="00D0297A" w:rsidRPr="007D6887" w14:paraId="1DCB008D" w14:textId="77777777" w:rsidTr="0003624F">
        <w:trPr>
          <w:trHeight w:val="320"/>
        </w:trPr>
        <w:tc>
          <w:tcPr>
            <w:tcW w:w="988" w:type="dxa"/>
            <w:noWrap/>
            <w:hideMark/>
          </w:tcPr>
          <w:p w14:paraId="24468021"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11</w:t>
            </w:r>
          </w:p>
        </w:tc>
        <w:tc>
          <w:tcPr>
            <w:tcW w:w="731" w:type="dxa"/>
            <w:noWrap/>
            <w:hideMark/>
          </w:tcPr>
          <w:p w14:paraId="3FAE27A3"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664" w:type="dxa"/>
            <w:noWrap/>
            <w:hideMark/>
          </w:tcPr>
          <w:p w14:paraId="17337428"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791" w:type="dxa"/>
            <w:noWrap/>
            <w:hideMark/>
          </w:tcPr>
          <w:p w14:paraId="2BFBD123"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762" w:type="dxa"/>
            <w:noWrap/>
            <w:hideMark/>
          </w:tcPr>
          <w:p w14:paraId="769304CD"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846" w:type="dxa"/>
            <w:noWrap/>
            <w:hideMark/>
          </w:tcPr>
          <w:p w14:paraId="012C2B8E"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1107" w:type="dxa"/>
            <w:noWrap/>
            <w:hideMark/>
          </w:tcPr>
          <w:p w14:paraId="168F9C76"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1379" w:type="dxa"/>
            <w:noWrap/>
            <w:hideMark/>
          </w:tcPr>
          <w:p w14:paraId="1E722559"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1362" w:type="dxa"/>
            <w:noWrap/>
            <w:hideMark/>
          </w:tcPr>
          <w:p w14:paraId="1C0F9B71"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1</w:t>
            </w:r>
          </w:p>
        </w:tc>
      </w:tr>
      <w:tr w:rsidR="00D0297A" w:rsidRPr="007D6887" w14:paraId="128D1605" w14:textId="77777777" w:rsidTr="0003624F">
        <w:trPr>
          <w:trHeight w:val="320"/>
        </w:trPr>
        <w:tc>
          <w:tcPr>
            <w:tcW w:w="988" w:type="dxa"/>
            <w:noWrap/>
            <w:hideMark/>
          </w:tcPr>
          <w:p w14:paraId="0FE0EFCA"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12</w:t>
            </w:r>
          </w:p>
        </w:tc>
        <w:tc>
          <w:tcPr>
            <w:tcW w:w="731" w:type="dxa"/>
            <w:noWrap/>
            <w:hideMark/>
          </w:tcPr>
          <w:p w14:paraId="435BC9F3"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664" w:type="dxa"/>
            <w:noWrap/>
            <w:hideMark/>
          </w:tcPr>
          <w:p w14:paraId="335F3BE5"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791" w:type="dxa"/>
            <w:noWrap/>
            <w:hideMark/>
          </w:tcPr>
          <w:p w14:paraId="67897C6F"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762" w:type="dxa"/>
            <w:noWrap/>
            <w:hideMark/>
          </w:tcPr>
          <w:p w14:paraId="207789AA"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846" w:type="dxa"/>
            <w:noWrap/>
            <w:hideMark/>
          </w:tcPr>
          <w:p w14:paraId="24E90258"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1107" w:type="dxa"/>
            <w:noWrap/>
            <w:hideMark/>
          </w:tcPr>
          <w:p w14:paraId="1A0BBDAB"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1</w:t>
            </w:r>
          </w:p>
        </w:tc>
        <w:tc>
          <w:tcPr>
            <w:tcW w:w="1379" w:type="dxa"/>
            <w:noWrap/>
            <w:hideMark/>
          </w:tcPr>
          <w:p w14:paraId="4F77F87A"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1362" w:type="dxa"/>
            <w:noWrap/>
            <w:hideMark/>
          </w:tcPr>
          <w:p w14:paraId="4884325E"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1</w:t>
            </w:r>
          </w:p>
        </w:tc>
      </w:tr>
      <w:tr w:rsidR="00D0297A" w:rsidRPr="007D6887" w14:paraId="13C4AD49" w14:textId="77777777" w:rsidTr="0003624F">
        <w:trPr>
          <w:trHeight w:val="320"/>
        </w:trPr>
        <w:tc>
          <w:tcPr>
            <w:tcW w:w="988" w:type="dxa"/>
            <w:noWrap/>
            <w:hideMark/>
          </w:tcPr>
          <w:p w14:paraId="49927770"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13</w:t>
            </w:r>
          </w:p>
        </w:tc>
        <w:tc>
          <w:tcPr>
            <w:tcW w:w="731" w:type="dxa"/>
            <w:noWrap/>
            <w:hideMark/>
          </w:tcPr>
          <w:p w14:paraId="12FCD151"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664" w:type="dxa"/>
            <w:noWrap/>
            <w:hideMark/>
          </w:tcPr>
          <w:p w14:paraId="07F6CACC"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791" w:type="dxa"/>
            <w:noWrap/>
            <w:hideMark/>
          </w:tcPr>
          <w:p w14:paraId="21CEBAB2"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762" w:type="dxa"/>
            <w:noWrap/>
            <w:hideMark/>
          </w:tcPr>
          <w:p w14:paraId="12DCF630"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846" w:type="dxa"/>
            <w:noWrap/>
            <w:hideMark/>
          </w:tcPr>
          <w:p w14:paraId="41DD59C4"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1107" w:type="dxa"/>
            <w:noWrap/>
            <w:hideMark/>
          </w:tcPr>
          <w:p w14:paraId="63C9953C"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1</w:t>
            </w:r>
          </w:p>
        </w:tc>
        <w:tc>
          <w:tcPr>
            <w:tcW w:w="1379" w:type="dxa"/>
            <w:noWrap/>
            <w:hideMark/>
          </w:tcPr>
          <w:p w14:paraId="476F0141"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1362" w:type="dxa"/>
            <w:noWrap/>
            <w:hideMark/>
          </w:tcPr>
          <w:p w14:paraId="088FE805"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1</w:t>
            </w:r>
          </w:p>
        </w:tc>
      </w:tr>
      <w:tr w:rsidR="00D0297A" w:rsidRPr="007D6887" w14:paraId="7B41A34B" w14:textId="77777777" w:rsidTr="0003624F">
        <w:trPr>
          <w:trHeight w:val="320"/>
        </w:trPr>
        <w:tc>
          <w:tcPr>
            <w:tcW w:w="988" w:type="dxa"/>
            <w:noWrap/>
            <w:hideMark/>
          </w:tcPr>
          <w:p w14:paraId="7B387619"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14</w:t>
            </w:r>
          </w:p>
        </w:tc>
        <w:tc>
          <w:tcPr>
            <w:tcW w:w="731" w:type="dxa"/>
            <w:noWrap/>
            <w:hideMark/>
          </w:tcPr>
          <w:p w14:paraId="4017A035"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664" w:type="dxa"/>
            <w:noWrap/>
            <w:hideMark/>
          </w:tcPr>
          <w:p w14:paraId="6569E64C"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791" w:type="dxa"/>
            <w:noWrap/>
            <w:hideMark/>
          </w:tcPr>
          <w:p w14:paraId="2AB4D1AB"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762" w:type="dxa"/>
            <w:noWrap/>
            <w:hideMark/>
          </w:tcPr>
          <w:p w14:paraId="75DC61B6"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846" w:type="dxa"/>
            <w:noWrap/>
            <w:hideMark/>
          </w:tcPr>
          <w:p w14:paraId="229D8618"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0</w:t>
            </w:r>
          </w:p>
        </w:tc>
        <w:tc>
          <w:tcPr>
            <w:tcW w:w="1107" w:type="dxa"/>
            <w:noWrap/>
            <w:hideMark/>
          </w:tcPr>
          <w:p w14:paraId="102E0DAE"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1</w:t>
            </w:r>
          </w:p>
        </w:tc>
        <w:tc>
          <w:tcPr>
            <w:tcW w:w="1379" w:type="dxa"/>
            <w:noWrap/>
            <w:hideMark/>
          </w:tcPr>
          <w:p w14:paraId="51CF8036"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1</w:t>
            </w:r>
          </w:p>
        </w:tc>
        <w:tc>
          <w:tcPr>
            <w:tcW w:w="1362" w:type="dxa"/>
            <w:noWrap/>
            <w:hideMark/>
          </w:tcPr>
          <w:p w14:paraId="207673B5" w14:textId="77777777" w:rsidR="00D0297A" w:rsidRPr="007D6887" w:rsidRDefault="00D0297A" w:rsidP="0003624F">
            <w:pPr>
              <w:spacing w:before="120" w:after="120"/>
              <w:ind w:firstLine="210"/>
              <w:rPr>
                <w:rFonts w:asciiTheme="majorHAnsi" w:hAnsiTheme="majorHAnsi" w:cs="Times New Roman"/>
                <w:sz w:val="16"/>
                <w:szCs w:val="16"/>
              </w:rPr>
            </w:pPr>
            <w:r w:rsidRPr="007D6887">
              <w:rPr>
                <w:rFonts w:asciiTheme="majorHAnsi" w:hAnsiTheme="majorHAnsi" w:cs="Times New Roman"/>
                <w:sz w:val="16"/>
                <w:szCs w:val="16"/>
              </w:rPr>
              <w:t>1</w:t>
            </w:r>
          </w:p>
        </w:tc>
      </w:tr>
    </w:tbl>
    <w:p w14:paraId="20226B76" w14:textId="77777777" w:rsidR="00D0297A" w:rsidRDefault="00D0297A" w:rsidP="00D0297A">
      <w:pPr>
        <w:spacing w:before="120" w:after="120"/>
        <w:ind w:firstLine="210"/>
        <w:rPr>
          <w:rFonts w:asciiTheme="majorHAnsi" w:hAnsiTheme="majorHAnsi" w:cs="Times New Roman"/>
          <w:sz w:val="16"/>
          <w:szCs w:val="16"/>
        </w:rPr>
      </w:pPr>
    </w:p>
    <w:tbl>
      <w:tblPr>
        <w:tblStyle w:val="TableGrid"/>
        <w:tblW w:w="8642" w:type="dxa"/>
        <w:tblLook w:val="04A0" w:firstRow="1" w:lastRow="0" w:firstColumn="1" w:lastColumn="0" w:noHBand="0" w:noVBand="1"/>
      </w:tblPr>
      <w:tblGrid>
        <w:gridCol w:w="1075"/>
        <w:gridCol w:w="1745"/>
        <w:gridCol w:w="2160"/>
        <w:gridCol w:w="1360"/>
        <w:gridCol w:w="2302"/>
      </w:tblGrid>
      <w:tr w:rsidR="00D0297A" w:rsidRPr="00600EF3" w14:paraId="31170196" w14:textId="77777777" w:rsidTr="0003624F">
        <w:trPr>
          <w:trHeight w:val="320"/>
        </w:trPr>
        <w:tc>
          <w:tcPr>
            <w:tcW w:w="1075" w:type="dxa"/>
            <w:noWrap/>
            <w:hideMark/>
          </w:tcPr>
          <w:p w14:paraId="6381410B" w14:textId="77777777" w:rsidR="00D0297A" w:rsidRPr="00600EF3" w:rsidRDefault="00D0297A" w:rsidP="0003624F">
            <w:pPr>
              <w:spacing w:before="120" w:after="120"/>
              <w:rPr>
                <w:rFonts w:cs="Times New Roman"/>
                <w:b/>
                <w:bCs/>
                <w:sz w:val="16"/>
                <w:szCs w:val="16"/>
              </w:rPr>
            </w:pPr>
            <w:r w:rsidRPr="00600EF3">
              <w:rPr>
                <w:rFonts w:cs="Times New Roman"/>
                <w:b/>
                <w:bCs/>
                <w:sz w:val="16"/>
                <w:szCs w:val="16"/>
              </w:rPr>
              <w:t>Patient Number</w:t>
            </w:r>
          </w:p>
        </w:tc>
        <w:tc>
          <w:tcPr>
            <w:tcW w:w="5265" w:type="dxa"/>
            <w:gridSpan w:val="3"/>
            <w:noWrap/>
            <w:hideMark/>
          </w:tcPr>
          <w:p w14:paraId="70A91F28" w14:textId="77777777" w:rsidR="00D0297A" w:rsidRPr="00600EF3" w:rsidRDefault="00D0297A" w:rsidP="0003624F">
            <w:pPr>
              <w:spacing w:before="120" w:after="120"/>
              <w:ind w:firstLine="210"/>
              <w:rPr>
                <w:rFonts w:cs="Times New Roman"/>
                <w:b/>
                <w:bCs/>
                <w:sz w:val="16"/>
                <w:szCs w:val="16"/>
              </w:rPr>
            </w:pPr>
            <w:r w:rsidRPr="00600EF3">
              <w:rPr>
                <w:rFonts w:cs="Times New Roman"/>
                <w:b/>
                <w:bCs/>
                <w:sz w:val="16"/>
                <w:szCs w:val="16"/>
              </w:rPr>
              <w:t>Norepinephrine</w:t>
            </w:r>
            <w:r>
              <w:rPr>
                <w:rFonts w:cs="Times New Roman"/>
                <w:b/>
                <w:bCs/>
                <w:sz w:val="16"/>
                <w:szCs w:val="16"/>
              </w:rPr>
              <w:t xml:space="preserve"> (On during task)</w:t>
            </w:r>
          </w:p>
        </w:tc>
        <w:tc>
          <w:tcPr>
            <w:tcW w:w="2302" w:type="dxa"/>
            <w:noWrap/>
            <w:hideMark/>
          </w:tcPr>
          <w:p w14:paraId="231D2B68" w14:textId="77777777" w:rsidR="00D0297A" w:rsidRPr="00600EF3" w:rsidRDefault="00D0297A" w:rsidP="0003624F">
            <w:pPr>
              <w:spacing w:before="120" w:after="120"/>
              <w:ind w:firstLine="210"/>
              <w:rPr>
                <w:rFonts w:cs="Times New Roman"/>
                <w:b/>
                <w:bCs/>
                <w:sz w:val="16"/>
                <w:szCs w:val="16"/>
              </w:rPr>
            </w:pPr>
            <w:r w:rsidRPr="00600EF3">
              <w:rPr>
                <w:rFonts w:cs="Times New Roman"/>
                <w:b/>
                <w:bCs/>
                <w:sz w:val="16"/>
                <w:szCs w:val="16"/>
              </w:rPr>
              <w:t xml:space="preserve">GABA   </w:t>
            </w:r>
            <w:r>
              <w:rPr>
                <w:rFonts w:cs="Times New Roman"/>
                <w:b/>
                <w:bCs/>
                <w:sz w:val="16"/>
                <w:szCs w:val="16"/>
              </w:rPr>
              <w:t xml:space="preserve"> (On during task)</w:t>
            </w:r>
          </w:p>
        </w:tc>
      </w:tr>
      <w:tr w:rsidR="00D0297A" w:rsidRPr="00600EF3" w14:paraId="3401DEAE" w14:textId="77777777" w:rsidTr="0003624F">
        <w:trPr>
          <w:trHeight w:val="640"/>
        </w:trPr>
        <w:tc>
          <w:tcPr>
            <w:tcW w:w="1075" w:type="dxa"/>
            <w:noWrap/>
            <w:hideMark/>
          </w:tcPr>
          <w:p w14:paraId="5AA491EF" w14:textId="77777777" w:rsidR="00D0297A" w:rsidRPr="00600EF3" w:rsidRDefault="00D0297A" w:rsidP="0003624F">
            <w:pPr>
              <w:spacing w:before="120" w:after="120"/>
              <w:ind w:firstLine="210"/>
              <w:rPr>
                <w:rFonts w:asciiTheme="majorHAnsi" w:hAnsiTheme="majorHAnsi" w:cs="Times New Roman"/>
                <w:b/>
                <w:bCs/>
                <w:sz w:val="16"/>
                <w:szCs w:val="16"/>
              </w:rPr>
            </w:pPr>
          </w:p>
        </w:tc>
        <w:tc>
          <w:tcPr>
            <w:tcW w:w="1745" w:type="dxa"/>
            <w:hideMark/>
          </w:tcPr>
          <w:p w14:paraId="767F71BC"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NDRI_N</w:t>
            </w:r>
          </w:p>
        </w:tc>
        <w:tc>
          <w:tcPr>
            <w:tcW w:w="2160" w:type="dxa"/>
            <w:hideMark/>
          </w:tcPr>
          <w:p w14:paraId="123B396D"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TCA_N</w:t>
            </w:r>
          </w:p>
        </w:tc>
        <w:tc>
          <w:tcPr>
            <w:tcW w:w="1360" w:type="dxa"/>
            <w:hideMark/>
          </w:tcPr>
          <w:p w14:paraId="0516D574"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SNRI_N</w:t>
            </w:r>
          </w:p>
        </w:tc>
        <w:tc>
          <w:tcPr>
            <w:tcW w:w="2302" w:type="dxa"/>
            <w:hideMark/>
          </w:tcPr>
          <w:p w14:paraId="58078839"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GABA_analogues</w:t>
            </w:r>
          </w:p>
        </w:tc>
      </w:tr>
      <w:tr w:rsidR="00D0297A" w:rsidRPr="00600EF3" w14:paraId="648B674B" w14:textId="77777777" w:rsidTr="0003624F">
        <w:trPr>
          <w:trHeight w:val="320"/>
        </w:trPr>
        <w:tc>
          <w:tcPr>
            <w:tcW w:w="1075" w:type="dxa"/>
            <w:noWrap/>
            <w:hideMark/>
          </w:tcPr>
          <w:p w14:paraId="46C8893C"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1</w:t>
            </w:r>
          </w:p>
        </w:tc>
        <w:tc>
          <w:tcPr>
            <w:tcW w:w="1745" w:type="dxa"/>
            <w:noWrap/>
            <w:hideMark/>
          </w:tcPr>
          <w:p w14:paraId="16459C57"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2160" w:type="dxa"/>
            <w:noWrap/>
            <w:hideMark/>
          </w:tcPr>
          <w:p w14:paraId="078B6B68"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1360" w:type="dxa"/>
            <w:noWrap/>
            <w:hideMark/>
          </w:tcPr>
          <w:p w14:paraId="0AA4384C"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2302" w:type="dxa"/>
            <w:noWrap/>
            <w:hideMark/>
          </w:tcPr>
          <w:p w14:paraId="591061F9"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r>
      <w:tr w:rsidR="00D0297A" w:rsidRPr="00600EF3" w14:paraId="7BD9DED0" w14:textId="77777777" w:rsidTr="0003624F">
        <w:trPr>
          <w:trHeight w:val="320"/>
        </w:trPr>
        <w:tc>
          <w:tcPr>
            <w:tcW w:w="1075" w:type="dxa"/>
            <w:noWrap/>
            <w:hideMark/>
          </w:tcPr>
          <w:p w14:paraId="5306A048"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2</w:t>
            </w:r>
          </w:p>
        </w:tc>
        <w:tc>
          <w:tcPr>
            <w:tcW w:w="1745" w:type="dxa"/>
            <w:noWrap/>
            <w:hideMark/>
          </w:tcPr>
          <w:p w14:paraId="403FC38C"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2160" w:type="dxa"/>
            <w:noWrap/>
            <w:hideMark/>
          </w:tcPr>
          <w:p w14:paraId="693DA015"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1360" w:type="dxa"/>
            <w:noWrap/>
            <w:hideMark/>
          </w:tcPr>
          <w:p w14:paraId="7C3337BE"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2302" w:type="dxa"/>
            <w:noWrap/>
            <w:hideMark/>
          </w:tcPr>
          <w:p w14:paraId="53EE665D"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r>
      <w:tr w:rsidR="00D0297A" w:rsidRPr="00600EF3" w14:paraId="01C124B8" w14:textId="77777777" w:rsidTr="0003624F">
        <w:trPr>
          <w:trHeight w:val="320"/>
        </w:trPr>
        <w:tc>
          <w:tcPr>
            <w:tcW w:w="1075" w:type="dxa"/>
            <w:noWrap/>
            <w:hideMark/>
          </w:tcPr>
          <w:p w14:paraId="7045DA61"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3</w:t>
            </w:r>
          </w:p>
        </w:tc>
        <w:tc>
          <w:tcPr>
            <w:tcW w:w="1745" w:type="dxa"/>
            <w:noWrap/>
            <w:hideMark/>
          </w:tcPr>
          <w:p w14:paraId="42D7AF27"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2160" w:type="dxa"/>
            <w:noWrap/>
            <w:hideMark/>
          </w:tcPr>
          <w:p w14:paraId="67674501"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1360" w:type="dxa"/>
            <w:noWrap/>
            <w:hideMark/>
          </w:tcPr>
          <w:p w14:paraId="7FCF2F65"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2302" w:type="dxa"/>
            <w:noWrap/>
            <w:hideMark/>
          </w:tcPr>
          <w:p w14:paraId="4A5A3572"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r>
      <w:tr w:rsidR="00D0297A" w:rsidRPr="00600EF3" w14:paraId="16B3250F" w14:textId="77777777" w:rsidTr="0003624F">
        <w:trPr>
          <w:trHeight w:val="320"/>
        </w:trPr>
        <w:tc>
          <w:tcPr>
            <w:tcW w:w="1075" w:type="dxa"/>
            <w:noWrap/>
            <w:hideMark/>
          </w:tcPr>
          <w:p w14:paraId="69AA5333"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4</w:t>
            </w:r>
          </w:p>
        </w:tc>
        <w:tc>
          <w:tcPr>
            <w:tcW w:w="1745" w:type="dxa"/>
            <w:noWrap/>
            <w:hideMark/>
          </w:tcPr>
          <w:p w14:paraId="4646B9C0"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2160" w:type="dxa"/>
            <w:noWrap/>
            <w:hideMark/>
          </w:tcPr>
          <w:p w14:paraId="2250CCA6"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1</w:t>
            </w:r>
          </w:p>
        </w:tc>
        <w:tc>
          <w:tcPr>
            <w:tcW w:w="1360" w:type="dxa"/>
            <w:noWrap/>
            <w:hideMark/>
          </w:tcPr>
          <w:p w14:paraId="10C7C43D"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2302" w:type="dxa"/>
            <w:noWrap/>
            <w:hideMark/>
          </w:tcPr>
          <w:p w14:paraId="5AC01A05"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r>
      <w:tr w:rsidR="00D0297A" w:rsidRPr="00600EF3" w14:paraId="478A3703" w14:textId="77777777" w:rsidTr="0003624F">
        <w:trPr>
          <w:trHeight w:val="320"/>
        </w:trPr>
        <w:tc>
          <w:tcPr>
            <w:tcW w:w="1075" w:type="dxa"/>
            <w:noWrap/>
            <w:hideMark/>
          </w:tcPr>
          <w:p w14:paraId="71A171DC"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5</w:t>
            </w:r>
          </w:p>
        </w:tc>
        <w:tc>
          <w:tcPr>
            <w:tcW w:w="1745" w:type="dxa"/>
            <w:noWrap/>
            <w:hideMark/>
          </w:tcPr>
          <w:p w14:paraId="5999F4B7"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1</w:t>
            </w:r>
          </w:p>
        </w:tc>
        <w:tc>
          <w:tcPr>
            <w:tcW w:w="2160" w:type="dxa"/>
            <w:noWrap/>
            <w:hideMark/>
          </w:tcPr>
          <w:p w14:paraId="024DEAA0"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1360" w:type="dxa"/>
            <w:noWrap/>
            <w:hideMark/>
          </w:tcPr>
          <w:p w14:paraId="022E9CF3"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2302" w:type="dxa"/>
            <w:noWrap/>
            <w:hideMark/>
          </w:tcPr>
          <w:p w14:paraId="5147B8D2"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r>
      <w:tr w:rsidR="00D0297A" w:rsidRPr="00600EF3" w14:paraId="265D977B" w14:textId="77777777" w:rsidTr="0003624F">
        <w:trPr>
          <w:trHeight w:val="320"/>
        </w:trPr>
        <w:tc>
          <w:tcPr>
            <w:tcW w:w="1075" w:type="dxa"/>
            <w:noWrap/>
            <w:hideMark/>
          </w:tcPr>
          <w:p w14:paraId="1C6D416A"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6</w:t>
            </w:r>
          </w:p>
        </w:tc>
        <w:tc>
          <w:tcPr>
            <w:tcW w:w="1745" w:type="dxa"/>
            <w:noWrap/>
            <w:hideMark/>
          </w:tcPr>
          <w:p w14:paraId="26733263"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2160" w:type="dxa"/>
            <w:noWrap/>
            <w:hideMark/>
          </w:tcPr>
          <w:p w14:paraId="2C60C041"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1360" w:type="dxa"/>
            <w:noWrap/>
            <w:hideMark/>
          </w:tcPr>
          <w:p w14:paraId="16BC519C"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2302" w:type="dxa"/>
            <w:noWrap/>
            <w:hideMark/>
          </w:tcPr>
          <w:p w14:paraId="519398E6"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r>
      <w:tr w:rsidR="00D0297A" w:rsidRPr="00600EF3" w14:paraId="1CE05A3E" w14:textId="77777777" w:rsidTr="0003624F">
        <w:trPr>
          <w:trHeight w:val="320"/>
        </w:trPr>
        <w:tc>
          <w:tcPr>
            <w:tcW w:w="1075" w:type="dxa"/>
            <w:noWrap/>
            <w:hideMark/>
          </w:tcPr>
          <w:p w14:paraId="6F89210C"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7</w:t>
            </w:r>
          </w:p>
        </w:tc>
        <w:tc>
          <w:tcPr>
            <w:tcW w:w="1745" w:type="dxa"/>
            <w:noWrap/>
            <w:hideMark/>
          </w:tcPr>
          <w:p w14:paraId="7AC5C19E"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2160" w:type="dxa"/>
            <w:noWrap/>
            <w:hideMark/>
          </w:tcPr>
          <w:p w14:paraId="0FA1B8C5"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1360" w:type="dxa"/>
            <w:noWrap/>
            <w:hideMark/>
          </w:tcPr>
          <w:p w14:paraId="4A3A2679"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2302" w:type="dxa"/>
            <w:noWrap/>
            <w:hideMark/>
          </w:tcPr>
          <w:p w14:paraId="33E2BFAF"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r>
      <w:tr w:rsidR="00D0297A" w:rsidRPr="00600EF3" w14:paraId="148F5E65" w14:textId="77777777" w:rsidTr="0003624F">
        <w:trPr>
          <w:trHeight w:val="320"/>
        </w:trPr>
        <w:tc>
          <w:tcPr>
            <w:tcW w:w="1075" w:type="dxa"/>
            <w:noWrap/>
            <w:hideMark/>
          </w:tcPr>
          <w:p w14:paraId="65F2C2CE"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8</w:t>
            </w:r>
          </w:p>
        </w:tc>
        <w:tc>
          <w:tcPr>
            <w:tcW w:w="1745" w:type="dxa"/>
            <w:noWrap/>
            <w:hideMark/>
          </w:tcPr>
          <w:p w14:paraId="2D284136"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2160" w:type="dxa"/>
            <w:noWrap/>
            <w:hideMark/>
          </w:tcPr>
          <w:p w14:paraId="7C5A8F6D"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1360" w:type="dxa"/>
            <w:noWrap/>
            <w:hideMark/>
          </w:tcPr>
          <w:p w14:paraId="393D4E7F"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2302" w:type="dxa"/>
            <w:noWrap/>
            <w:hideMark/>
          </w:tcPr>
          <w:p w14:paraId="7FF92863"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1</w:t>
            </w:r>
          </w:p>
        </w:tc>
      </w:tr>
      <w:tr w:rsidR="00D0297A" w:rsidRPr="00600EF3" w14:paraId="5CB7F0B8" w14:textId="77777777" w:rsidTr="0003624F">
        <w:trPr>
          <w:trHeight w:val="320"/>
        </w:trPr>
        <w:tc>
          <w:tcPr>
            <w:tcW w:w="1075" w:type="dxa"/>
            <w:noWrap/>
            <w:hideMark/>
          </w:tcPr>
          <w:p w14:paraId="5B25090E"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9</w:t>
            </w:r>
          </w:p>
        </w:tc>
        <w:tc>
          <w:tcPr>
            <w:tcW w:w="1745" w:type="dxa"/>
            <w:noWrap/>
            <w:hideMark/>
          </w:tcPr>
          <w:p w14:paraId="36D9390D"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2160" w:type="dxa"/>
            <w:noWrap/>
            <w:hideMark/>
          </w:tcPr>
          <w:p w14:paraId="466E6ED4"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1360" w:type="dxa"/>
            <w:noWrap/>
            <w:hideMark/>
          </w:tcPr>
          <w:p w14:paraId="159EA352"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2302" w:type="dxa"/>
            <w:noWrap/>
            <w:hideMark/>
          </w:tcPr>
          <w:p w14:paraId="01EC2E46"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r>
      <w:tr w:rsidR="00D0297A" w:rsidRPr="00600EF3" w14:paraId="6A6DAF6A" w14:textId="77777777" w:rsidTr="0003624F">
        <w:trPr>
          <w:trHeight w:val="320"/>
        </w:trPr>
        <w:tc>
          <w:tcPr>
            <w:tcW w:w="1075" w:type="dxa"/>
            <w:noWrap/>
            <w:hideMark/>
          </w:tcPr>
          <w:p w14:paraId="179AB304"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lastRenderedPageBreak/>
              <w:t>10</w:t>
            </w:r>
          </w:p>
        </w:tc>
        <w:tc>
          <w:tcPr>
            <w:tcW w:w="1745" w:type="dxa"/>
            <w:noWrap/>
            <w:hideMark/>
          </w:tcPr>
          <w:p w14:paraId="24D267B6"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1</w:t>
            </w:r>
          </w:p>
        </w:tc>
        <w:tc>
          <w:tcPr>
            <w:tcW w:w="2160" w:type="dxa"/>
            <w:noWrap/>
            <w:hideMark/>
          </w:tcPr>
          <w:p w14:paraId="36E180FE"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1360" w:type="dxa"/>
            <w:noWrap/>
            <w:hideMark/>
          </w:tcPr>
          <w:p w14:paraId="041E5BE1"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2302" w:type="dxa"/>
            <w:noWrap/>
            <w:hideMark/>
          </w:tcPr>
          <w:p w14:paraId="1BB784C8"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r>
      <w:tr w:rsidR="00D0297A" w:rsidRPr="00600EF3" w14:paraId="00D66B14" w14:textId="77777777" w:rsidTr="0003624F">
        <w:trPr>
          <w:trHeight w:val="320"/>
        </w:trPr>
        <w:tc>
          <w:tcPr>
            <w:tcW w:w="1075" w:type="dxa"/>
            <w:noWrap/>
            <w:hideMark/>
          </w:tcPr>
          <w:p w14:paraId="0CEF6FA5"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11</w:t>
            </w:r>
          </w:p>
        </w:tc>
        <w:tc>
          <w:tcPr>
            <w:tcW w:w="1745" w:type="dxa"/>
            <w:noWrap/>
            <w:hideMark/>
          </w:tcPr>
          <w:p w14:paraId="589AC343"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2160" w:type="dxa"/>
            <w:noWrap/>
            <w:hideMark/>
          </w:tcPr>
          <w:p w14:paraId="4441D5A1"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1360" w:type="dxa"/>
            <w:noWrap/>
            <w:hideMark/>
          </w:tcPr>
          <w:p w14:paraId="2CAD57BB"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2302" w:type="dxa"/>
            <w:noWrap/>
            <w:hideMark/>
          </w:tcPr>
          <w:p w14:paraId="110B7D66"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1</w:t>
            </w:r>
          </w:p>
        </w:tc>
      </w:tr>
      <w:tr w:rsidR="00D0297A" w:rsidRPr="00600EF3" w14:paraId="1F84ECFB" w14:textId="77777777" w:rsidTr="0003624F">
        <w:trPr>
          <w:trHeight w:val="320"/>
        </w:trPr>
        <w:tc>
          <w:tcPr>
            <w:tcW w:w="1075" w:type="dxa"/>
            <w:noWrap/>
            <w:hideMark/>
          </w:tcPr>
          <w:p w14:paraId="3CD69A82"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12</w:t>
            </w:r>
          </w:p>
        </w:tc>
        <w:tc>
          <w:tcPr>
            <w:tcW w:w="1745" w:type="dxa"/>
            <w:noWrap/>
            <w:hideMark/>
          </w:tcPr>
          <w:p w14:paraId="0FF24892"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2160" w:type="dxa"/>
            <w:noWrap/>
            <w:hideMark/>
          </w:tcPr>
          <w:p w14:paraId="5CD6B1B9"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1360" w:type="dxa"/>
            <w:noWrap/>
            <w:hideMark/>
          </w:tcPr>
          <w:p w14:paraId="336CF840"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2302" w:type="dxa"/>
            <w:noWrap/>
            <w:hideMark/>
          </w:tcPr>
          <w:p w14:paraId="767C7442"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r>
      <w:tr w:rsidR="00D0297A" w:rsidRPr="00600EF3" w14:paraId="26362690" w14:textId="77777777" w:rsidTr="0003624F">
        <w:trPr>
          <w:trHeight w:val="320"/>
        </w:trPr>
        <w:tc>
          <w:tcPr>
            <w:tcW w:w="1075" w:type="dxa"/>
            <w:noWrap/>
            <w:hideMark/>
          </w:tcPr>
          <w:p w14:paraId="49842D54"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13</w:t>
            </w:r>
          </w:p>
        </w:tc>
        <w:tc>
          <w:tcPr>
            <w:tcW w:w="1745" w:type="dxa"/>
            <w:noWrap/>
            <w:hideMark/>
          </w:tcPr>
          <w:p w14:paraId="6ECBC8AE"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2160" w:type="dxa"/>
            <w:noWrap/>
            <w:hideMark/>
          </w:tcPr>
          <w:p w14:paraId="1ADE9AE6"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1360" w:type="dxa"/>
            <w:noWrap/>
            <w:hideMark/>
          </w:tcPr>
          <w:p w14:paraId="68E91B61"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2302" w:type="dxa"/>
            <w:noWrap/>
            <w:hideMark/>
          </w:tcPr>
          <w:p w14:paraId="51CC506C"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r>
      <w:tr w:rsidR="00D0297A" w:rsidRPr="00600EF3" w14:paraId="10F106E8" w14:textId="77777777" w:rsidTr="0003624F">
        <w:trPr>
          <w:trHeight w:val="320"/>
        </w:trPr>
        <w:tc>
          <w:tcPr>
            <w:tcW w:w="1075" w:type="dxa"/>
            <w:noWrap/>
            <w:hideMark/>
          </w:tcPr>
          <w:p w14:paraId="0672284D"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14</w:t>
            </w:r>
          </w:p>
        </w:tc>
        <w:tc>
          <w:tcPr>
            <w:tcW w:w="1745" w:type="dxa"/>
            <w:noWrap/>
            <w:hideMark/>
          </w:tcPr>
          <w:p w14:paraId="6480B81C"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2160" w:type="dxa"/>
            <w:noWrap/>
            <w:hideMark/>
          </w:tcPr>
          <w:p w14:paraId="3923F578"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1360" w:type="dxa"/>
            <w:noWrap/>
            <w:hideMark/>
          </w:tcPr>
          <w:p w14:paraId="338CDAA1"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2302" w:type="dxa"/>
            <w:noWrap/>
            <w:hideMark/>
          </w:tcPr>
          <w:p w14:paraId="3DAC2AC1"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r>
    </w:tbl>
    <w:p w14:paraId="09A2AF20" w14:textId="77777777" w:rsidR="00D0297A" w:rsidRDefault="00D0297A" w:rsidP="00D0297A">
      <w:pPr>
        <w:spacing w:before="120" w:after="120"/>
        <w:ind w:firstLine="210"/>
        <w:rPr>
          <w:rFonts w:asciiTheme="majorHAnsi" w:hAnsiTheme="majorHAnsi" w:cs="Times New Roman"/>
          <w:sz w:val="16"/>
          <w:szCs w:val="16"/>
        </w:rPr>
      </w:pPr>
    </w:p>
    <w:tbl>
      <w:tblPr>
        <w:tblStyle w:val="TableGrid"/>
        <w:tblW w:w="0" w:type="auto"/>
        <w:tblLook w:val="04A0" w:firstRow="1" w:lastRow="0" w:firstColumn="1" w:lastColumn="0" w:noHBand="0" w:noVBand="1"/>
      </w:tblPr>
      <w:tblGrid>
        <w:gridCol w:w="1032"/>
        <w:gridCol w:w="1914"/>
        <w:gridCol w:w="2281"/>
        <w:gridCol w:w="1465"/>
        <w:gridCol w:w="2039"/>
      </w:tblGrid>
      <w:tr w:rsidR="00D0297A" w:rsidRPr="00600EF3" w14:paraId="7497D934" w14:textId="77777777" w:rsidTr="0003624F">
        <w:trPr>
          <w:trHeight w:val="320"/>
        </w:trPr>
        <w:tc>
          <w:tcPr>
            <w:tcW w:w="1032" w:type="dxa"/>
            <w:noWrap/>
            <w:hideMark/>
          </w:tcPr>
          <w:p w14:paraId="412524FC" w14:textId="77777777" w:rsidR="00D0297A" w:rsidRPr="00600EF3" w:rsidRDefault="00D0297A" w:rsidP="0003624F">
            <w:pPr>
              <w:spacing w:before="120" w:after="120"/>
              <w:rPr>
                <w:rFonts w:cs="Times New Roman"/>
                <w:b/>
                <w:bCs/>
                <w:sz w:val="16"/>
                <w:szCs w:val="16"/>
              </w:rPr>
            </w:pPr>
            <w:r w:rsidRPr="00600EF3">
              <w:rPr>
                <w:rFonts w:cs="Times New Roman"/>
                <w:b/>
                <w:bCs/>
                <w:sz w:val="16"/>
                <w:szCs w:val="16"/>
              </w:rPr>
              <w:t>Patient Number</w:t>
            </w:r>
          </w:p>
        </w:tc>
        <w:tc>
          <w:tcPr>
            <w:tcW w:w="4175" w:type="dxa"/>
            <w:gridSpan w:val="2"/>
            <w:noWrap/>
            <w:hideMark/>
          </w:tcPr>
          <w:p w14:paraId="4908A087" w14:textId="77777777" w:rsidR="00D0297A" w:rsidRPr="00600EF3" w:rsidRDefault="00D0297A" w:rsidP="0003624F">
            <w:pPr>
              <w:spacing w:before="120" w:after="120"/>
              <w:ind w:firstLine="210"/>
              <w:rPr>
                <w:rFonts w:cs="Times New Roman"/>
                <w:b/>
                <w:bCs/>
                <w:sz w:val="16"/>
                <w:szCs w:val="16"/>
              </w:rPr>
            </w:pPr>
            <w:r w:rsidRPr="00600EF3">
              <w:rPr>
                <w:rFonts w:cs="Times New Roman"/>
                <w:b/>
                <w:bCs/>
                <w:sz w:val="16"/>
                <w:szCs w:val="16"/>
              </w:rPr>
              <w:t>Depression</w:t>
            </w:r>
          </w:p>
        </w:tc>
        <w:tc>
          <w:tcPr>
            <w:tcW w:w="3423" w:type="dxa"/>
            <w:gridSpan w:val="2"/>
            <w:noWrap/>
            <w:hideMark/>
          </w:tcPr>
          <w:p w14:paraId="6B0331BC" w14:textId="77777777" w:rsidR="00D0297A" w:rsidRPr="00600EF3" w:rsidRDefault="00D0297A" w:rsidP="0003624F">
            <w:pPr>
              <w:spacing w:before="120" w:after="120"/>
              <w:ind w:firstLine="210"/>
              <w:rPr>
                <w:rFonts w:cs="Times New Roman"/>
                <w:b/>
                <w:bCs/>
                <w:sz w:val="16"/>
                <w:szCs w:val="16"/>
              </w:rPr>
            </w:pPr>
            <w:r w:rsidRPr="00600EF3">
              <w:rPr>
                <w:rFonts w:cs="Times New Roman"/>
                <w:b/>
                <w:bCs/>
                <w:sz w:val="16"/>
                <w:szCs w:val="16"/>
              </w:rPr>
              <w:t>Anxiety</w:t>
            </w:r>
          </w:p>
        </w:tc>
      </w:tr>
      <w:tr w:rsidR="00D0297A" w:rsidRPr="00600EF3" w14:paraId="16D08892" w14:textId="77777777" w:rsidTr="0003624F">
        <w:trPr>
          <w:trHeight w:val="960"/>
        </w:trPr>
        <w:tc>
          <w:tcPr>
            <w:tcW w:w="1032" w:type="dxa"/>
            <w:noWrap/>
          </w:tcPr>
          <w:p w14:paraId="00748CEA" w14:textId="77777777" w:rsidR="00D0297A" w:rsidRPr="00600EF3" w:rsidRDefault="00D0297A" w:rsidP="0003624F">
            <w:pPr>
              <w:spacing w:before="120" w:after="120"/>
              <w:ind w:firstLine="210"/>
              <w:rPr>
                <w:rFonts w:asciiTheme="majorHAnsi" w:hAnsiTheme="majorHAnsi" w:cs="Times New Roman"/>
                <w:sz w:val="16"/>
                <w:szCs w:val="16"/>
              </w:rPr>
            </w:pPr>
          </w:p>
        </w:tc>
        <w:tc>
          <w:tcPr>
            <w:tcW w:w="1914" w:type="dxa"/>
            <w:hideMark/>
          </w:tcPr>
          <w:p w14:paraId="124EAB93" w14:textId="77777777" w:rsidR="00D0297A" w:rsidRPr="00600EF3" w:rsidRDefault="00D0297A" w:rsidP="0003624F">
            <w:pPr>
              <w:spacing w:before="120" w:after="120"/>
              <w:rPr>
                <w:rFonts w:asciiTheme="majorHAnsi" w:hAnsiTheme="majorHAnsi" w:cs="Times New Roman"/>
                <w:sz w:val="16"/>
                <w:szCs w:val="16"/>
              </w:rPr>
            </w:pPr>
            <w:r w:rsidRPr="00600EF3">
              <w:rPr>
                <w:rFonts w:asciiTheme="majorHAnsi" w:hAnsiTheme="majorHAnsi" w:cs="Times New Roman"/>
                <w:sz w:val="16"/>
                <w:szCs w:val="16"/>
              </w:rPr>
              <w:t>current_depression_dx</w:t>
            </w:r>
          </w:p>
        </w:tc>
        <w:tc>
          <w:tcPr>
            <w:tcW w:w="2261" w:type="dxa"/>
            <w:hideMark/>
          </w:tcPr>
          <w:p w14:paraId="6F18F394" w14:textId="77777777" w:rsidR="00D0297A" w:rsidRPr="00600EF3" w:rsidRDefault="00D0297A" w:rsidP="0003624F">
            <w:pPr>
              <w:spacing w:before="120" w:after="120"/>
              <w:rPr>
                <w:rFonts w:asciiTheme="majorHAnsi" w:hAnsiTheme="majorHAnsi" w:cs="Times New Roman"/>
                <w:sz w:val="16"/>
                <w:szCs w:val="16"/>
              </w:rPr>
            </w:pPr>
            <w:r w:rsidRPr="00600EF3">
              <w:rPr>
                <w:rFonts w:asciiTheme="majorHAnsi" w:hAnsiTheme="majorHAnsi" w:cs="Times New Roman"/>
                <w:sz w:val="16"/>
                <w:szCs w:val="16"/>
              </w:rPr>
              <w:t>past_or_unclear_depression_dx</w:t>
            </w:r>
          </w:p>
        </w:tc>
        <w:tc>
          <w:tcPr>
            <w:tcW w:w="1418" w:type="dxa"/>
            <w:hideMark/>
          </w:tcPr>
          <w:p w14:paraId="2B455D8E" w14:textId="77777777" w:rsidR="00D0297A" w:rsidRPr="00600EF3" w:rsidRDefault="00D0297A" w:rsidP="0003624F">
            <w:pPr>
              <w:spacing w:before="120" w:after="120"/>
              <w:rPr>
                <w:rFonts w:asciiTheme="majorHAnsi" w:hAnsiTheme="majorHAnsi" w:cs="Times New Roman"/>
                <w:sz w:val="16"/>
                <w:szCs w:val="16"/>
              </w:rPr>
            </w:pPr>
            <w:r w:rsidRPr="00600EF3">
              <w:rPr>
                <w:rFonts w:asciiTheme="majorHAnsi" w:hAnsiTheme="majorHAnsi" w:cs="Times New Roman"/>
                <w:sz w:val="16"/>
                <w:szCs w:val="16"/>
              </w:rPr>
              <w:t>current_anxiety_dx</w:t>
            </w:r>
          </w:p>
        </w:tc>
        <w:tc>
          <w:tcPr>
            <w:tcW w:w="2005" w:type="dxa"/>
            <w:hideMark/>
          </w:tcPr>
          <w:p w14:paraId="1F22D84B" w14:textId="77777777" w:rsidR="00D0297A" w:rsidRPr="00600EF3" w:rsidRDefault="00D0297A" w:rsidP="0003624F">
            <w:pPr>
              <w:spacing w:before="120" w:after="120"/>
              <w:rPr>
                <w:rFonts w:asciiTheme="majorHAnsi" w:hAnsiTheme="majorHAnsi" w:cs="Times New Roman"/>
                <w:sz w:val="16"/>
                <w:szCs w:val="16"/>
              </w:rPr>
            </w:pPr>
            <w:r w:rsidRPr="00600EF3">
              <w:rPr>
                <w:rFonts w:asciiTheme="majorHAnsi" w:hAnsiTheme="majorHAnsi" w:cs="Times New Roman"/>
                <w:sz w:val="16"/>
                <w:szCs w:val="16"/>
              </w:rPr>
              <w:t>past_or_unclear_anxiety_dx</w:t>
            </w:r>
          </w:p>
        </w:tc>
      </w:tr>
      <w:tr w:rsidR="00D0297A" w:rsidRPr="00600EF3" w14:paraId="5319FDD9" w14:textId="77777777" w:rsidTr="0003624F">
        <w:trPr>
          <w:trHeight w:val="320"/>
        </w:trPr>
        <w:tc>
          <w:tcPr>
            <w:tcW w:w="1032" w:type="dxa"/>
            <w:noWrap/>
          </w:tcPr>
          <w:p w14:paraId="5913FBEA"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1</w:t>
            </w:r>
          </w:p>
        </w:tc>
        <w:tc>
          <w:tcPr>
            <w:tcW w:w="1914" w:type="dxa"/>
            <w:noWrap/>
            <w:hideMark/>
          </w:tcPr>
          <w:p w14:paraId="6EB426A8"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2261" w:type="dxa"/>
            <w:noWrap/>
            <w:hideMark/>
          </w:tcPr>
          <w:p w14:paraId="103BF564"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1418" w:type="dxa"/>
            <w:noWrap/>
            <w:hideMark/>
          </w:tcPr>
          <w:p w14:paraId="6741C8A1"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2005" w:type="dxa"/>
            <w:noWrap/>
            <w:hideMark/>
          </w:tcPr>
          <w:p w14:paraId="61BAB761"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r>
      <w:tr w:rsidR="00D0297A" w:rsidRPr="00600EF3" w14:paraId="788C39AF" w14:textId="77777777" w:rsidTr="0003624F">
        <w:trPr>
          <w:trHeight w:val="320"/>
        </w:trPr>
        <w:tc>
          <w:tcPr>
            <w:tcW w:w="1032" w:type="dxa"/>
            <w:noWrap/>
          </w:tcPr>
          <w:p w14:paraId="272C401B"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2</w:t>
            </w:r>
          </w:p>
        </w:tc>
        <w:tc>
          <w:tcPr>
            <w:tcW w:w="1914" w:type="dxa"/>
            <w:noWrap/>
            <w:hideMark/>
          </w:tcPr>
          <w:p w14:paraId="67A41037"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2261" w:type="dxa"/>
            <w:noWrap/>
            <w:hideMark/>
          </w:tcPr>
          <w:p w14:paraId="1C0F07F7"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1418" w:type="dxa"/>
            <w:noWrap/>
            <w:hideMark/>
          </w:tcPr>
          <w:p w14:paraId="07B15D7C"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2005" w:type="dxa"/>
            <w:noWrap/>
            <w:hideMark/>
          </w:tcPr>
          <w:p w14:paraId="3A5C0DDA"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r>
      <w:tr w:rsidR="00D0297A" w:rsidRPr="00600EF3" w14:paraId="4472B1F3" w14:textId="77777777" w:rsidTr="0003624F">
        <w:trPr>
          <w:trHeight w:val="320"/>
        </w:trPr>
        <w:tc>
          <w:tcPr>
            <w:tcW w:w="1032" w:type="dxa"/>
            <w:noWrap/>
          </w:tcPr>
          <w:p w14:paraId="368DF871"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3</w:t>
            </w:r>
          </w:p>
        </w:tc>
        <w:tc>
          <w:tcPr>
            <w:tcW w:w="1914" w:type="dxa"/>
            <w:noWrap/>
            <w:hideMark/>
          </w:tcPr>
          <w:p w14:paraId="7F80E947"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2261" w:type="dxa"/>
            <w:noWrap/>
            <w:hideMark/>
          </w:tcPr>
          <w:p w14:paraId="0F824E05"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1418" w:type="dxa"/>
            <w:noWrap/>
            <w:hideMark/>
          </w:tcPr>
          <w:p w14:paraId="14F7C7CC"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2005" w:type="dxa"/>
            <w:noWrap/>
            <w:hideMark/>
          </w:tcPr>
          <w:p w14:paraId="00B89682"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r>
      <w:tr w:rsidR="00D0297A" w:rsidRPr="00600EF3" w14:paraId="4EAF27D5" w14:textId="77777777" w:rsidTr="0003624F">
        <w:trPr>
          <w:trHeight w:val="320"/>
        </w:trPr>
        <w:tc>
          <w:tcPr>
            <w:tcW w:w="1032" w:type="dxa"/>
            <w:noWrap/>
          </w:tcPr>
          <w:p w14:paraId="7F217E02"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4</w:t>
            </w:r>
          </w:p>
        </w:tc>
        <w:tc>
          <w:tcPr>
            <w:tcW w:w="1914" w:type="dxa"/>
            <w:noWrap/>
            <w:hideMark/>
          </w:tcPr>
          <w:p w14:paraId="42EC0A03"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2261" w:type="dxa"/>
            <w:noWrap/>
            <w:hideMark/>
          </w:tcPr>
          <w:p w14:paraId="7448F585"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1418" w:type="dxa"/>
            <w:noWrap/>
            <w:hideMark/>
          </w:tcPr>
          <w:p w14:paraId="2DFFE6C1"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2005" w:type="dxa"/>
            <w:noWrap/>
            <w:hideMark/>
          </w:tcPr>
          <w:p w14:paraId="4D444245"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r>
      <w:tr w:rsidR="00D0297A" w:rsidRPr="00600EF3" w14:paraId="2205B250" w14:textId="77777777" w:rsidTr="0003624F">
        <w:trPr>
          <w:trHeight w:val="320"/>
        </w:trPr>
        <w:tc>
          <w:tcPr>
            <w:tcW w:w="1032" w:type="dxa"/>
            <w:noWrap/>
          </w:tcPr>
          <w:p w14:paraId="3097FD42"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5</w:t>
            </w:r>
          </w:p>
        </w:tc>
        <w:tc>
          <w:tcPr>
            <w:tcW w:w="1914" w:type="dxa"/>
            <w:noWrap/>
            <w:hideMark/>
          </w:tcPr>
          <w:p w14:paraId="51DB8F83"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2261" w:type="dxa"/>
            <w:noWrap/>
            <w:hideMark/>
          </w:tcPr>
          <w:p w14:paraId="6F1D79D1"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1</w:t>
            </w:r>
          </w:p>
        </w:tc>
        <w:tc>
          <w:tcPr>
            <w:tcW w:w="1418" w:type="dxa"/>
            <w:noWrap/>
            <w:hideMark/>
          </w:tcPr>
          <w:p w14:paraId="58D72FF9"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2005" w:type="dxa"/>
            <w:noWrap/>
            <w:hideMark/>
          </w:tcPr>
          <w:p w14:paraId="525856C5"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r>
      <w:tr w:rsidR="00D0297A" w:rsidRPr="00600EF3" w14:paraId="58E9527F" w14:textId="77777777" w:rsidTr="0003624F">
        <w:trPr>
          <w:trHeight w:val="320"/>
        </w:trPr>
        <w:tc>
          <w:tcPr>
            <w:tcW w:w="1032" w:type="dxa"/>
            <w:noWrap/>
          </w:tcPr>
          <w:p w14:paraId="4F966C5F"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6</w:t>
            </w:r>
          </w:p>
        </w:tc>
        <w:tc>
          <w:tcPr>
            <w:tcW w:w="1914" w:type="dxa"/>
            <w:noWrap/>
            <w:hideMark/>
          </w:tcPr>
          <w:p w14:paraId="58C85306"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1</w:t>
            </w:r>
          </w:p>
        </w:tc>
        <w:tc>
          <w:tcPr>
            <w:tcW w:w="2261" w:type="dxa"/>
            <w:noWrap/>
            <w:hideMark/>
          </w:tcPr>
          <w:p w14:paraId="1825F735"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1</w:t>
            </w:r>
          </w:p>
        </w:tc>
        <w:tc>
          <w:tcPr>
            <w:tcW w:w="1418" w:type="dxa"/>
            <w:noWrap/>
            <w:hideMark/>
          </w:tcPr>
          <w:p w14:paraId="0389608F"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2005" w:type="dxa"/>
            <w:noWrap/>
            <w:hideMark/>
          </w:tcPr>
          <w:p w14:paraId="4849F92F"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r>
      <w:tr w:rsidR="00D0297A" w:rsidRPr="00600EF3" w14:paraId="777D0AB2" w14:textId="77777777" w:rsidTr="0003624F">
        <w:trPr>
          <w:trHeight w:val="320"/>
        </w:trPr>
        <w:tc>
          <w:tcPr>
            <w:tcW w:w="1032" w:type="dxa"/>
            <w:noWrap/>
          </w:tcPr>
          <w:p w14:paraId="0A0EA47D"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7</w:t>
            </w:r>
          </w:p>
        </w:tc>
        <w:tc>
          <w:tcPr>
            <w:tcW w:w="1914" w:type="dxa"/>
            <w:noWrap/>
            <w:hideMark/>
          </w:tcPr>
          <w:p w14:paraId="6EC8F46C"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2261" w:type="dxa"/>
            <w:noWrap/>
            <w:hideMark/>
          </w:tcPr>
          <w:p w14:paraId="2E55C919"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1418" w:type="dxa"/>
            <w:noWrap/>
            <w:hideMark/>
          </w:tcPr>
          <w:p w14:paraId="2C109348"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2005" w:type="dxa"/>
            <w:noWrap/>
            <w:hideMark/>
          </w:tcPr>
          <w:p w14:paraId="12EF0AC6"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r>
      <w:tr w:rsidR="00D0297A" w:rsidRPr="00600EF3" w14:paraId="0B1320F3" w14:textId="77777777" w:rsidTr="0003624F">
        <w:trPr>
          <w:trHeight w:val="320"/>
        </w:trPr>
        <w:tc>
          <w:tcPr>
            <w:tcW w:w="1032" w:type="dxa"/>
            <w:noWrap/>
          </w:tcPr>
          <w:p w14:paraId="1310346B"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8</w:t>
            </w:r>
          </w:p>
        </w:tc>
        <w:tc>
          <w:tcPr>
            <w:tcW w:w="1914" w:type="dxa"/>
            <w:noWrap/>
            <w:hideMark/>
          </w:tcPr>
          <w:p w14:paraId="6FB7BA1F"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2261" w:type="dxa"/>
            <w:noWrap/>
            <w:hideMark/>
          </w:tcPr>
          <w:p w14:paraId="766C1B83"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1418" w:type="dxa"/>
            <w:noWrap/>
            <w:hideMark/>
          </w:tcPr>
          <w:p w14:paraId="2C68724B"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2005" w:type="dxa"/>
            <w:noWrap/>
            <w:hideMark/>
          </w:tcPr>
          <w:p w14:paraId="3DF56AE8"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r>
      <w:tr w:rsidR="00D0297A" w:rsidRPr="00600EF3" w14:paraId="671006DC" w14:textId="77777777" w:rsidTr="0003624F">
        <w:trPr>
          <w:trHeight w:val="320"/>
        </w:trPr>
        <w:tc>
          <w:tcPr>
            <w:tcW w:w="1032" w:type="dxa"/>
            <w:noWrap/>
          </w:tcPr>
          <w:p w14:paraId="77E3B582"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9</w:t>
            </w:r>
          </w:p>
        </w:tc>
        <w:tc>
          <w:tcPr>
            <w:tcW w:w="1914" w:type="dxa"/>
            <w:noWrap/>
            <w:hideMark/>
          </w:tcPr>
          <w:p w14:paraId="75B73502"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1</w:t>
            </w:r>
          </w:p>
        </w:tc>
        <w:tc>
          <w:tcPr>
            <w:tcW w:w="2261" w:type="dxa"/>
            <w:noWrap/>
            <w:hideMark/>
          </w:tcPr>
          <w:p w14:paraId="10798670"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1418" w:type="dxa"/>
            <w:noWrap/>
            <w:hideMark/>
          </w:tcPr>
          <w:p w14:paraId="21274224"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2005" w:type="dxa"/>
            <w:noWrap/>
            <w:hideMark/>
          </w:tcPr>
          <w:p w14:paraId="7A21358B"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r>
      <w:tr w:rsidR="00D0297A" w:rsidRPr="00600EF3" w14:paraId="4E5F3B20" w14:textId="77777777" w:rsidTr="0003624F">
        <w:trPr>
          <w:trHeight w:val="320"/>
        </w:trPr>
        <w:tc>
          <w:tcPr>
            <w:tcW w:w="1032" w:type="dxa"/>
            <w:noWrap/>
          </w:tcPr>
          <w:p w14:paraId="6CE41F61"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10</w:t>
            </w:r>
          </w:p>
        </w:tc>
        <w:tc>
          <w:tcPr>
            <w:tcW w:w="1914" w:type="dxa"/>
            <w:noWrap/>
            <w:hideMark/>
          </w:tcPr>
          <w:p w14:paraId="0694B6F1"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2261" w:type="dxa"/>
            <w:noWrap/>
            <w:hideMark/>
          </w:tcPr>
          <w:p w14:paraId="123AE1D8"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1</w:t>
            </w:r>
          </w:p>
        </w:tc>
        <w:tc>
          <w:tcPr>
            <w:tcW w:w="1418" w:type="dxa"/>
            <w:noWrap/>
            <w:hideMark/>
          </w:tcPr>
          <w:p w14:paraId="77F6C7F9"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2005" w:type="dxa"/>
            <w:noWrap/>
            <w:hideMark/>
          </w:tcPr>
          <w:p w14:paraId="5162979D"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r>
      <w:tr w:rsidR="00D0297A" w:rsidRPr="00600EF3" w14:paraId="5CE6133A" w14:textId="77777777" w:rsidTr="0003624F">
        <w:trPr>
          <w:trHeight w:val="320"/>
        </w:trPr>
        <w:tc>
          <w:tcPr>
            <w:tcW w:w="1032" w:type="dxa"/>
            <w:noWrap/>
          </w:tcPr>
          <w:p w14:paraId="366C1357"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11</w:t>
            </w:r>
          </w:p>
        </w:tc>
        <w:tc>
          <w:tcPr>
            <w:tcW w:w="1914" w:type="dxa"/>
            <w:noWrap/>
            <w:hideMark/>
          </w:tcPr>
          <w:p w14:paraId="6B2ECCD7"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2261" w:type="dxa"/>
            <w:noWrap/>
            <w:hideMark/>
          </w:tcPr>
          <w:p w14:paraId="7D7544F2"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1</w:t>
            </w:r>
          </w:p>
        </w:tc>
        <w:tc>
          <w:tcPr>
            <w:tcW w:w="1418" w:type="dxa"/>
            <w:noWrap/>
            <w:hideMark/>
          </w:tcPr>
          <w:p w14:paraId="16E2E709"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2005" w:type="dxa"/>
            <w:noWrap/>
            <w:hideMark/>
          </w:tcPr>
          <w:p w14:paraId="19C60622"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r>
      <w:tr w:rsidR="00D0297A" w:rsidRPr="00600EF3" w14:paraId="701BA090" w14:textId="77777777" w:rsidTr="0003624F">
        <w:trPr>
          <w:trHeight w:val="320"/>
        </w:trPr>
        <w:tc>
          <w:tcPr>
            <w:tcW w:w="1032" w:type="dxa"/>
            <w:noWrap/>
          </w:tcPr>
          <w:p w14:paraId="017C7FDA"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12</w:t>
            </w:r>
          </w:p>
        </w:tc>
        <w:tc>
          <w:tcPr>
            <w:tcW w:w="1914" w:type="dxa"/>
            <w:noWrap/>
            <w:hideMark/>
          </w:tcPr>
          <w:p w14:paraId="20417144"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2261" w:type="dxa"/>
            <w:noWrap/>
            <w:hideMark/>
          </w:tcPr>
          <w:p w14:paraId="09A2F17C"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1418" w:type="dxa"/>
            <w:noWrap/>
            <w:hideMark/>
          </w:tcPr>
          <w:p w14:paraId="4B16CE5E"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2005" w:type="dxa"/>
            <w:noWrap/>
            <w:hideMark/>
          </w:tcPr>
          <w:p w14:paraId="44F7C3B4"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r>
      <w:tr w:rsidR="00D0297A" w:rsidRPr="00600EF3" w14:paraId="11F5EBA8" w14:textId="77777777" w:rsidTr="0003624F">
        <w:trPr>
          <w:trHeight w:val="320"/>
        </w:trPr>
        <w:tc>
          <w:tcPr>
            <w:tcW w:w="1032" w:type="dxa"/>
            <w:noWrap/>
          </w:tcPr>
          <w:p w14:paraId="6EEB9BC9"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13</w:t>
            </w:r>
          </w:p>
        </w:tc>
        <w:tc>
          <w:tcPr>
            <w:tcW w:w="1914" w:type="dxa"/>
            <w:noWrap/>
            <w:hideMark/>
          </w:tcPr>
          <w:p w14:paraId="5FC46860"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2261" w:type="dxa"/>
            <w:noWrap/>
            <w:hideMark/>
          </w:tcPr>
          <w:p w14:paraId="0CE51C8B"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1418" w:type="dxa"/>
            <w:noWrap/>
            <w:hideMark/>
          </w:tcPr>
          <w:p w14:paraId="4C84C907"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2005" w:type="dxa"/>
            <w:noWrap/>
            <w:hideMark/>
          </w:tcPr>
          <w:p w14:paraId="1D20E4CA"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r>
      <w:tr w:rsidR="00D0297A" w:rsidRPr="00600EF3" w14:paraId="7BE34949" w14:textId="77777777" w:rsidTr="0003624F">
        <w:trPr>
          <w:trHeight w:val="320"/>
        </w:trPr>
        <w:tc>
          <w:tcPr>
            <w:tcW w:w="1032" w:type="dxa"/>
            <w:noWrap/>
            <w:hideMark/>
          </w:tcPr>
          <w:p w14:paraId="225E5071"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14</w:t>
            </w:r>
          </w:p>
        </w:tc>
        <w:tc>
          <w:tcPr>
            <w:tcW w:w="1914" w:type="dxa"/>
            <w:noWrap/>
            <w:hideMark/>
          </w:tcPr>
          <w:p w14:paraId="1740D2AC"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2261" w:type="dxa"/>
            <w:noWrap/>
            <w:hideMark/>
          </w:tcPr>
          <w:p w14:paraId="2CDEDF3C"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0</w:t>
            </w:r>
          </w:p>
        </w:tc>
        <w:tc>
          <w:tcPr>
            <w:tcW w:w="1418" w:type="dxa"/>
            <w:noWrap/>
            <w:hideMark/>
          </w:tcPr>
          <w:p w14:paraId="7D26D6F6"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1</w:t>
            </w:r>
          </w:p>
        </w:tc>
        <w:tc>
          <w:tcPr>
            <w:tcW w:w="2005" w:type="dxa"/>
            <w:noWrap/>
            <w:hideMark/>
          </w:tcPr>
          <w:p w14:paraId="56119739" w14:textId="77777777" w:rsidR="00D0297A" w:rsidRPr="00600EF3" w:rsidRDefault="00D0297A" w:rsidP="0003624F">
            <w:pPr>
              <w:spacing w:before="120" w:after="120"/>
              <w:ind w:firstLine="210"/>
              <w:rPr>
                <w:rFonts w:asciiTheme="majorHAnsi" w:hAnsiTheme="majorHAnsi" w:cs="Times New Roman"/>
                <w:sz w:val="16"/>
                <w:szCs w:val="16"/>
              </w:rPr>
            </w:pPr>
            <w:r w:rsidRPr="00600EF3">
              <w:rPr>
                <w:rFonts w:asciiTheme="majorHAnsi" w:hAnsiTheme="majorHAnsi" w:cs="Times New Roman"/>
                <w:sz w:val="16"/>
                <w:szCs w:val="16"/>
              </w:rPr>
              <w:t>1</w:t>
            </w:r>
          </w:p>
        </w:tc>
      </w:tr>
    </w:tbl>
    <w:p w14:paraId="597F5EB8" w14:textId="77777777" w:rsidR="00D0297A" w:rsidRPr="00D10A93" w:rsidRDefault="00D0297A" w:rsidP="00D0297A">
      <w:pPr>
        <w:tabs>
          <w:tab w:val="left" w:pos="6120"/>
        </w:tabs>
        <w:rPr>
          <w:rFonts w:asciiTheme="majorHAnsi" w:hAnsiTheme="majorHAnsi" w:cs="Times New Roman"/>
          <w:b/>
          <w:szCs w:val="20"/>
        </w:rPr>
      </w:pPr>
    </w:p>
    <w:p w14:paraId="06619396" w14:textId="77777777" w:rsidR="00D0297A" w:rsidRPr="00D10A93" w:rsidRDefault="00D0297A" w:rsidP="00D0297A">
      <w:pPr>
        <w:rPr>
          <w:rFonts w:asciiTheme="majorHAnsi" w:hAnsiTheme="majorHAnsi" w:cs="Times New Roman"/>
          <w:b/>
        </w:rPr>
      </w:pPr>
    </w:p>
    <w:p w14:paraId="686793B1" w14:textId="77777777" w:rsidR="00D0297A" w:rsidRPr="00D10A93" w:rsidRDefault="00D0297A" w:rsidP="00D0297A">
      <w:pPr>
        <w:jc w:val="both"/>
        <w:rPr>
          <w:rFonts w:asciiTheme="majorHAnsi" w:hAnsiTheme="majorHAnsi" w:cs="Times New Roman"/>
          <w:b/>
        </w:rPr>
      </w:pPr>
    </w:p>
    <w:p w14:paraId="6899E1F6" w14:textId="77777777" w:rsidR="00D0297A" w:rsidRPr="00D10A93" w:rsidRDefault="00D0297A" w:rsidP="00D0297A">
      <w:pPr>
        <w:jc w:val="both"/>
        <w:rPr>
          <w:rFonts w:asciiTheme="majorHAnsi" w:hAnsiTheme="majorHAnsi" w:cs="Times New Roman"/>
          <w:b/>
        </w:rPr>
      </w:pPr>
    </w:p>
    <w:p w14:paraId="727E9373" w14:textId="77777777" w:rsidR="00D0297A" w:rsidRPr="00D10A93" w:rsidRDefault="00D0297A" w:rsidP="00D0297A">
      <w:pPr>
        <w:jc w:val="center"/>
        <w:rPr>
          <w:rFonts w:asciiTheme="majorHAnsi" w:hAnsiTheme="majorHAnsi" w:cs="Times New Roman"/>
          <w:sz w:val="36"/>
          <w:szCs w:val="36"/>
        </w:rPr>
      </w:pPr>
    </w:p>
    <w:p w14:paraId="7CEB90FE" w14:textId="77777777" w:rsidR="00D0297A" w:rsidRPr="00D10A93" w:rsidRDefault="00D0297A" w:rsidP="00D0297A">
      <w:pPr>
        <w:jc w:val="center"/>
        <w:rPr>
          <w:rFonts w:asciiTheme="majorHAnsi" w:hAnsiTheme="majorHAnsi" w:cs="Times New Roman"/>
          <w:sz w:val="36"/>
          <w:szCs w:val="36"/>
        </w:rPr>
      </w:pPr>
    </w:p>
    <w:p w14:paraId="4DBA9BAD" w14:textId="7219571F" w:rsidR="00D0297A" w:rsidRPr="00706BCC" w:rsidRDefault="00D0297A" w:rsidP="00D0297A">
      <w:pPr>
        <w:jc w:val="both"/>
        <w:rPr>
          <w:rFonts w:cs="Arial"/>
          <w:bCs/>
        </w:rPr>
      </w:pPr>
      <w:r>
        <w:rPr>
          <w:rFonts w:asciiTheme="majorHAnsi" w:hAnsiTheme="majorHAnsi" w:cs="Times New Roman"/>
          <w:b/>
        </w:rPr>
        <w:t xml:space="preserve">Supplement </w:t>
      </w:r>
      <w:r w:rsidRPr="00706BCC">
        <w:rPr>
          <w:rFonts w:asciiTheme="majorHAnsi" w:hAnsiTheme="majorHAnsi" w:cs="Times New Roman"/>
          <w:b/>
        </w:rPr>
        <w:t xml:space="preserve">Table </w:t>
      </w:r>
      <w:r>
        <w:rPr>
          <w:rFonts w:asciiTheme="majorHAnsi" w:hAnsiTheme="majorHAnsi" w:cs="Times New Roman"/>
          <w:b/>
        </w:rPr>
        <w:t>S</w:t>
      </w:r>
      <w:r w:rsidRPr="00706BCC">
        <w:rPr>
          <w:rFonts w:asciiTheme="majorHAnsi" w:hAnsiTheme="majorHAnsi" w:cs="Times New Roman"/>
          <w:b/>
        </w:rPr>
        <w:t>2.</w:t>
      </w:r>
      <w:r>
        <w:rPr>
          <w:rFonts w:asciiTheme="majorHAnsi" w:hAnsiTheme="majorHAnsi" w:cs="Times New Roman"/>
          <w:b/>
        </w:rPr>
        <w:t xml:space="preserve"> </w:t>
      </w:r>
      <w:r w:rsidRPr="00706BCC">
        <w:rPr>
          <w:rFonts w:cs="Arial"/>
          <w:bCs/>
        </w:rPr>
        <w:t>Predicting Action Selection</w:t>
      </w:r>
    </w:p>
    <w:tbl>
      <w:tblPr>
        <w:tblStyle w:val="TableGrid"/>
        <w:tblW w:w="0" w:type="auto"/>
        <w:tblLook w:val="04A0" w:firstRow="1" w:lastRow="0" w:firstColumn="1" w:lastColumn="0" w:noHBand="0" w:noVBand="1"/>
      </w:tblPr>
      <w:tblGrid>
        <w:gridCol w:w="1803"/>
        <w:gridCol w:w="1803"/>
        <w:gridCol w:w="1803"/>
        <w:gridCol w:w="1803"/>
        <w:gridCol w:w="1804"/>
      </w:tblGrid>
      <w:tr w:rsidR="00D0297A" w:rsidRPr="00706BCC" w14:paraId="6C8D4977" w14:textId="77777777" w:rsidTr="0003624F">
        <w:tc>
          <w:tcPr>
            <w:tcW w:w="1803" w:type="dxa"/>
          </w:tcPr>
          <w:p w14:paraId="0AF30C07" w14:textId="77777777" w:rsidR="00D0297A" w:rsidRPr="00706BCC" w:rsidRDefault="00D0297A" w:rsidP="0003624F">
            <w:pPr>
              <w:spacing w:before="120" w:after="120"/>
              <w:rPr>
                <w:rFonts w:cs="Arial"/>
                <w:bCs/>
              </w:rPr>
            </w:pPr>
            <w:r w:rsidRPr="00706BCC">
              <w:rPr>
                <w:rFonts w:cs="Arial"/>
                <w:bCs/>
              </w:rPr>
              <w:lastRenderedPageBreak/>
              <w:t xml:space="preserve">  </w:t>
            </w:r>
          </w:p>
        </w:tc>
        <w:tc>
          <w:tcPr>
            <w:tcW w:w="1803" w:type="dxa"/>
          </w:tcPr>
          <w:p w14:paraId="29210EC2" w14:textId="77777777" w:rsidR="00D0297A" w:rsidRPr="00706BCC" w:rsidRDefault="00D0297A" w:rsidP="0003624F">
            <w:pPr>
              <w:spacing w:before="120" w:after="120"/>
              <w:rPr>
                <w:rFonts w:cs="Arial"/>
                <w:bCs/>
              </w:rPr>
            </w:pPr>
            <w:r w:rsidRPr="00706BCC">
              <w:rPr>
                <w:rFonts w:cs="Arial"/>
                <w:bCs/>
              </w:rPr>
              <w:t xml:space="preserve">Estimate                  </w:t>
            </w:r>
          </w:p>
        </w:tc>
        <w:tc>
          <w:tcPr>
            <w:tcW w:w="1803" w:type="dxa"/>
          </w:tcPr>
          <w:p w14:paraId="743FF460" w14:textId="77777777" w:rsidR="00D0297A" w:rsidRPr="00706BCC" w:rsidRDefault="00D0297A" w:rsidP="0003624F">
            <w:pPr>
              <w:spacing w:before="120" w:after="120"/>
              <w:rPr>
                <w:rFonts w:cs="Arial"/>
                <w:bCs/>
              </w:rPr>
            </w:pPr>
            <w:r w:rsidRPr="00706BCC">
              <w:rPr>
                <w:rFonts w:cs="Arial"/>
                <w:bCs/>
              </w:rPr>
              <w:t>Standard Error</w:t>
            </w:r>
          </w:p>
        </w:tc>
        <w:tc>
          <w:tcPr>
            <w:tcW w:w="1803" w:type="dxa"/>
          </w:tcPr>
          <w:p w14:paraId="548F0727" w14:textId="77777777" w:rsidR="00D0297A" w:rsidRPr="00706BCC" w:rsidRDefault="00D0297A" w:rsidP="0003624F">
            <w:pPr>
              <w:spacing w:before="120" w:after="120"/>
              <w:rPr>
                <w:rFonts w:cs="Arial"/>
                <w:bCs/>
              </w:rPr>
            </w:pPr>
            <w:r w:rsidRPr="00706BCC">
              <w:rPr>
                <w:rFonts w:cs="Arial"/>
                <w:bCs/>
              </w:rPr>
              <w:t>T Statistic</w:t>
            </w:r>
          </w:p>
        </w:tc>
        <w:tc>
          <w:tcPr>
            <w:tcW w:w="1804" w:type="dxa"/>
          </w:tcPr>
          <w:p w14:paraId="0E123BD0" w14:textId="77777777" w:rsidR="00D0297A" w:rsidRPr="00706BCC" w:rsidRDefault="00D0297A" w:rsidP="0003624F">
            <w:pPr>
              <w:spacing w:before="120" w:after="120"/>
              <w:rPr>
                <w:rFonts w:cs="Arial"/>
                <w:bCs/>
              </w:rPr>
            </w:pPr>
            <w:r w:rsidRPr="00706BCC">
              <w:rPr>
                <w:rFonts w:cs="Arial"/>
                <w:bCs/>
              </w:rPr>
              <w:t>P Value</w:t>
            </w:r>
          </w:p>
        </w:tc>
      </w:tr>
      <w:tr w:rsidR="00D0297A" w:rsidRPr="00706BCC" w14:paraId="7B8FF069" w14:textId="77777777" w:rsidTr="0003624F">
        <w:tc>
          <w:tcPr>
            <w:tcW w:w="1803" w:type="dxa"/>
          </w:tcPr>
          <w:p w14:paraId="03484F33" w14:textId="77777777" w:rsidR="00D0297A" w:rsidRPr="00706BCC" w:rsidRDefault="00D0297A" w:rsidP="0003624F">
            <w:pPr>
              <w:spacing w:before="120" w:after="120"/>
              <w:rPr>
                <w:rFonts w:cs="Arial"/>
                <w:b/>
                <w:bCs/>
              </w:rPr>
            </w:pPr>
            <w:r w:rsidRPr="00706BCC">
              <w:rPr>
                <w:rFonts w:cs="Arial"/>
                <w:b/>
                <w:bCs/>
              </w:rPr>
              <w:t>Intercept</w:t>
            </w:r>
          </w:p>
        </w:tc>
        <w:tc>
          <w:tcPr>
            <w:tcW w:w="1803" w:type="dxa"/>
          </w:tcPr>
          <w:p w14:paraId="0812F979" w14:textId="77777777" w:rsidR="00D0297A" w:rsidRPr="00706BCC" w:rsidRDefault="00D0297A" w:rsidP="0003624F">
            <w:pPr>
              <w:spacing w:before="120" w:after="120"/>
              <w:rPr>
                <w:rFonts w:cs="Arial"/>
                <w:bCs/>
              </w:rPr>
            </w:pPr>
            <w:r w:rsidRPr="00706BCC">
              <w:rPr>
                <w:rFonts w:cs="Arial"/>
                <w:bCs/>
              </w:rPr>
              <w:t>0.12296</w:t>
            </w:r>
          </w:p>
        </w:tc>
        <w:tc>
          <w:tcPr>
            <w:tcW w:w="1803" w:type="dxa"/>
          </w:tcPr>
          <w:p w14:paraId="5AF9554C" w14:textId="77777777" w:rsidR="00D0297A" w:rsidRPr="00706BCC" w:rsidRDefault="00D0297A" w:rsidP="0003624F">
            <w:pPr>
              <w:spacing w:before="120" w:after="120"/>
              <w:rPr>
                <w:rFonts w:cs="Arial"/>
                <w:bCs/>
              </w:rPr>
            </w:pPr>
            <w:r w:rsidRPr="00706BCC">
              <w:t>0.010</w:t>
            </w:r>
          </w:p>
        </w:tc>
        <w:tc>
          <w:tcPr>
            <w:tcW w:w="1803" w:type="dxa"/>
          </w:tcPr>
          <w:p w14:paraId="2A4A3A3D" w14:textId="77777777" w:rsidR="00D0297A" w:rsidRPr="00706BCC" w:rsidRDefault="00D0297A" w:rsidP="0003624F">
            <w:pPr>
              <w:spacing w:before="120" w:after="120"/>
              <w:rPr>
                <w:rFonts w:cs="Arial"/>
                <w:bCs/>
              </w:rPr>
            </w:pPr>
            <w:r w:rsidRPr="00706BCC">
              <w:t>11.915</w:t>
            </w:r>
          </w:p>
        </w:tc>
        <w:tc>
          <w:tcPr>
            <w:tcW w:w="1804" w:type="dxa"/>
          </w:tcPr>
          <w:p w14:paraId="7CA90774" w14:textId="77777777" w:rsidR="00D0297A" w:rsidRPr="00706BCC" w:rsidRDefault="00D0297A" w:rsidP="0003624F">
            <w:pPr>
              <w:spacing w:before="120" w:after="120"/>
              <w:rPr>
                <w:rFonts w:cs="Arial"/>
                <w:bCs/>
              </w:rPr>
            </w:pPr>
            <w:r w:rsidRPr="00706BCC">
              <w:t>0</w:t>
            </w:r>
          </w:p>
        </w:tc>
      </w:tr>
      <w:tr w:rsidR="00D0297A" w:rsidRPr="00706BCC" w14:paraId="5967337C" w14:textId="77777777" w:rsidTr="0003624F">
        <w:tc>
          <w:tcPr>
            <w:tcW w:w="1803" w:type="dxa"/>
          </w:tcPr>
          <w:p w14:paraId="5C06F556" w14:textId="77777777" w:rsidR="00D0297A" w:rsidRPr="00706BCC" w:rsidRDefault="00D0297A" w:rsidP="0003624F">
            <w:pPr>
              <w:spacing w:before="120" w:after="120"/>
              <w:rPr>
                <w:rFonts w:cs="Arial"/>
                <w:b/>
                <w:bCs/>
              </w:rPr>
            </w:pPr>
            <w:r w:rsidRPr="00706BCC">
              <w:rPr>
                <w:rFonts w:cs="Arial"/>
                <w:b/>
                <w:bCs/>
              </w:rPr>
              <w:t>x</w:t>
            </w:r>
            <w:r w:rsidRPr="00706BCC">
              <w:rPr>
                <w:rFonts w:cs="Arial"/>
                <w:b/>
                <w:bCs/>
                <w:vertAlign w:val="subscript"/>
              </w:rPr>
              <w:t>1</w:t>
            </w:r>
          </w:p>
        </w:tc>
        <w:tc>
          <w:tcPr>
            <w:tcW w:w="1803" w:type="dxa"/>
          </w:tcPr>
          <w:p w14:paraId="11FED490" w14:textId="77777777" w:rsidR="00D0297A" w:rsidRPr="00706BCC" w:rsidRDefault="00D0297A" w:rsidP="0003624F">
            <w:pPr>
              <w:spacing w:before="120" w:after="120"/>
              <w:rPr>
                <w:rFonts w:cs="Arial"/>
                <w:bCs/>
              </w:rPr>
            </w:pPr>
            <w:r w:rsidRPr="00706BCC">
              <w:t>0.003</w:t>
            </w:r>
          </w:p>
        </w:tc>
        <w:tc>
          <w:tcPr>
            <w:tcW w:w="1803" w:type="dxa"/>
          </w:tcPr>
          <w:p w14:paraId="782D5680" w14:textId="77777777" w:rsidR="00D0297A" w:rsidRPr="00706BCC" w:rsidRDefault="00D0297A" w:rsidP="0003624F">
            <w:pPr>
              <w:spacing w:before="120" w:after="120"/>
              <w:rPr>
                <w:rFonts w:cs="Arial"/>
                <w:bCs/>
              </w:rPr>
            </w:pPr>
            <w:r w:rsidRPr="00706BCC">
              <w:t>0.002</w:t>
            </w:r>
          </w:p>
        </w:tc>
        <w:tc>
          <w:tcPr>
            <w:tcW w:w="1803" w:type="dxa"/>
          </w:tcPr>
          <w:p w14:paraId="7E5C638F" w14:textId="77777777" w:rsidR="00D0297A" w:rsidRPr="00706BCC" w:rsidRDefault="00D0297A" w:rsidP="0003624F">
            <w:pPr>
              <w:spacing w:before="120" w:after="120"/>
              <w:rPr>
                <w:rFonts w:cs="Arial"/>
                <w:bCs/>
              </w:rPr>
            </w:pPr>
            <w:r w:rsidRPr="00706BCC">
              <w:t>1.245</w:t>
            </w:r>
          </w:p>
        </w:tc>
        <w:tc>
          <w:tcPr>
            <w:tcW w:w="1804" w:type="dxa"/>
          </w:tcPr>
          <w:p w14:paraId="396456EA" w14:textId="77777777" w:rsidR="00D0297A" w:rsidRPr="00706BCC" w:rsidRDefault="00D0297A" w:rsidP="0003624F">
            <w:pPr>
              <w:spacing w:before="120" w:after="120"/>
              <w:rPr>
                <w:rFonts w:cs="Arial"/>
                <w:bCs/>
              </w:rPr>
            </w:pPr>
            <w:r w:rsidRPr="00706BCC">
              <w:t>0.213</w:t>
            </w:r>
          </w:p>
        </w:tc>
      </w:tr>
      <w:tr w:rsidR="00D0297A" w:rsidRPr="00706BCC" w14:paraId="2255EB5F" w14:textId="77777777" w:rsidTr="0003624F">
        <w:tc>
          <w:tcPr>
            <w:tcW w:w="1803" w:type="dxa"/>
          </w:tcPr>
          <w:p w14:paraId="672F0C23" w14:textId="77777777" w:rsidR="00D0297A" w:rsidRPr="00706BCC" w:rsidRDefault="00D0297A" w:rsidP="0003624F">
            <w:pPr>
              <w:spacing w:before="120" w:after="120"/>
              <w:rPr>
                <w:rFonts w:cs="Arial"/>
                <w:b/>
                <w:bCs/>
              </w:rPr>
            </w:pPr>
            <w:r w:rsidRPr="00706BCC">
              <w:rPr>
                <w:rFonts w:cs="Arial"/>
                <w:b/>
                <w:bCs/>
              </w:rPr>
              <w:t>x</w:t>
            </w:r>
            <w:r w:rsidRPr="00706BCC">
              <w:rPr>
                <w:rFonts w:cs="Arial"/>
                <w:b/>
                <w:bCs/>
                <w:vertAlign w:val="subscript"/>
              </w:rPr>
              <w:t>2</w:t>
            </w:r>
          </w:p>
        </w:tc>
        <w:tc>
          <w:tcPr>
            <w:tcW w:w="1803" w:type="dxa"/>
          </w:tcPr>
          <w:p w14:paraId="12F190BB" w14:textId="77777777" w:rsidR="00D0297A" w:rsidRPr="00706BCC" w:rsidRDefault="00D0297A" w:rsidP="0003624F">
            <w:pPr>
              <w:spacing w:before="120" w:after="120"/>
              <w:rPr>
                <w:rFonts w:cs="Arial"/>
                <w:bCs/>
              </w:rPr>
            </w:pPr>
            <w:r w:rsidRPr="00706BCC">
              <w:t>-0.191</w:t>
            </w:r>
          </w:p>
        </w:tc>
        <w:tc>
          <w:tcPr>
            <w:tcW w:w="1803" w:type="dxa"/>
          </w:tcPr>
          <w:p w14:paraId="584A0CA1" w14:textId="77777777" w:rsidR="00D0297A" w:rsidRPr="00706BCC" w:rsidRDefault="00D0297A" w:rsidP="0003624F">
            <w:pPr>
              <w:spacing w:before="120" w:after="120"/>
              <w:rPr>
                <w:rFonts w:cs="Arial"/>
                <w:bCs/>
              </w:rPr>
            </w:pPr>
            <w:r w:rsidRPr="00706BCC">
              <w:t>0.0148</w:t>
            </w:r>
          </w:p>
        </w:tc>
        <w:tc>
          <w:tcPr>
            <w:tcW w:w="1803" w:type="dxa"/>
          </w:tcPr>
          <w:p w14:paraId="2BD36D42" w14:textId="77777777" w:rsidR="00D0297A" w:rsidRPr="00706BCC" w:rsidRDefault="00D0297A" w:rsidP="0003624F">
            <w:pPr>
              <w:spacing w:before="120" w:after="120"/>
              <w:rPr>
                <w:rFonts w:cs="Arial"/>
                <w:bCs/>
              </w:rPr>
            </w:pPr>
            <w:r w:rsidRPr="00706BCC">
              <w:t>-12.927</w:t>
            </w:r>
          </w:p>
        </w:tc>
        <w:tc>
          <w:tcPr>
            <w:tcW w:w="1804" w:type="dxa"/>
          </w:tcPr>
          <w:p w14:paraId="69133E9D" w14:textId="77777777" w:rsidR="00D0297A" w:rsidRPr="00706BCC" w:rsidRDefault="00D0297A" w:rsidP="0003624F">
            <w:pPr>
              <w:spacing w:before="120" w:after="120"/>
              <w:rPr>
                <w:rFonts w:cs="Arial"/>
                <w:b/>
                <w:bCs/>
                <w:u w:val="single"/>
              </w:rPr>
            </w:pPr>
            <w:r w:rsidRPr="00706BCC">
              <w:t>0</w:t>
            </w:r>
          </w:p>
        </w:tc>
      </w:tr>
      <w:tr w:rsidR="00D0297A" w:rsidRPr="00706BCC" w14:paraId="1D099D64" w14:textId="77777777" w:rsidTr="0003624F">
        <w:tc>
          <w:tcPr>
            <w:tcW w:w="1803" w:type="dxa"/>
          </w:tcPr>
          <w:p w14:paraId="55336949" w14:textId="77777777" w:rsidR="00D0297A" w:rsidRPr="00706BCC" w:rsidRDefault="00D0297A" w:rsidP="0003624F">
            <w:pPr>
              <w:spacing w:before="120" w:after="120"/>
              <w:rPr>
                <w:rFonts w:cs="Arial"/>
                <w:b/>
                <w:bCs/>
              </w:rPr>
            </w:pPr>
            <w:r w:rsidRPr="00706BCC">
              <w:rPr>
                <w:rFonts w:cs="Arial"/>
                <w:b/>
                <w:bCs/>
              </w:rPr>
              <w:t>x</w:t>
            </w:r>
            <w:r w:rsidRPr="00706BCC">
              <w:rPr>
                <w:rFonts w:cs="Arial"/>
                <w:b/>
                <w:bCs/>
                <w:vertAlign w:val="subscript"/>
              </w:rPr>
              <w:t>3</w:t>
            </w:r>
          </w:p>
        </w:tc>
        <w:tc>
          <w:tcPr>
            <w:tcW w:w="1803" w:type="dxa"/>
          </w:tcPr>
          <w:p w14:paraId="305B0431" w14:textId="77777777" w:rsidR="00D0297A" w:rsidRPr="00706BCC" w:rsidRDefault="00D0297A" w:rsidP="0003624F">
            <w:pPr>
              <w:spacing w:before="120" w:after="120"/>
              <w:rPr>
                <w:rFonts w:cs="Arial"/>
                <w:bCs/>
              </w:rPr>
            </w:pPr>
            <w:r w:rsidRPr="00706BCC">
              <w:t>-0.0089</w:t>
            </w:r>
          </w:p>
        </w:tc>
        <w:tc>
          <w:tcPr>
            <w:tcW w:w="1803" w:type="dxa"/>
          </w:tcPr>
          <w:p w14:paraId="2EBC8A24" w14:textId="77777777" w:rsidR="00D0297A" w:rsidRPr="00706BCC" w:rsidRDefault="00D0297A" w:rsidP="0003624F">
            <w:pPr>
              <w:spacing w:before="120" w:after="120"/>
              <w:rPr>
                <w:rFonts w:cs="Arial"/>
                <w:bCs/>
              </w:rPr>
            </w:pPr>
            <w:r w:rsidRPr="00706BCC">
              <w:t>0.0106</w:t>
            </w:r>
          </w:p>
        </w:tc>
        <w:tc>
          <w:tcPr>
            <w:tcW w:w="1803" w:type="dxa"/>
          </w:tcPr>
          <w:p w14:paraId="120C65B7" w14:textId="77777777" w:rsidR="00D0297A" w:rsidRPr="00706BCC" w:rsidRDefault="00D0297A" w:rsidP="0003624F">
            <w:pPr>
              <w:spacing w:before="120" w:after="120"/>
              <w:rPr>
                <w:rFonts w:cs="Arial"/>
                <w:bCs/>
              </w:rPr>
            </w:pPr>
            <w:r w:rsidRPr="00706BCC">
              <w:t>-0.836</w:t>
            </w:r>
          </w:p>
        </w:tc>
        <w:tc>
          <w:tcPr>
            <w:tcW w:w="1804" w:type="dxa"/>
          </w:tcPr>
          <w:p w14:paraId="00A6E0C5" w14:textId="77777777" w:rsidR="00D0297A" w:rsidRPr="00706BCC" w:rsidRDefault="00D0297A" w:rsidP="0003624F">
            <w:pPr>
              <w:spacing w:before="120" w:after="120"/>
              <w:rPr>
                <w:rFonts w:cs="Arial"/>
                <w:b/>
                <w:bCs/>
                <w:u w:val="single"/>
              </w:rPr>
            </w:pPr>
            <w:r w:rsidRPr="00706BCC">
              <w:t>0.403</w:t>
            </w:r>
          </w:p>
        </w:tc>
      </w:tr>
      <w:tr w:rsidR="00D0297A" w:rsidRPr="00706BCC" w14:paraId="70F9065A" w14:textId="77777777" w:rsidTr="0003624F">
        <w:tc>
          <w:tcPr>
            <w:tcW w:w="1803" w:type="dxa"/>
          </w:tcPr>
          <w:p w14:paraId="14E7C52C" w14:textId="77777777" w:rsidR="00D0297A" w:rsidRPr="00706BCC" w:rsidRDefault="00D0297A" w:rsidP="0003624F">
            <w:pPr>
              <w:spacing w:before="120" w:after="120"/>
              <w:rPr>
                <w:rFonts w:cs="Arial"/>
                <w:b/>
                <w:bCs/>
                <w:u w:val="single"/>
              </w:rPr>
            </w:pPr>
            <w:r w:rsidRPr="00706BCC">
              <w:rPr>
                <w:rFonts w:cs="Arial"/>
                <w:b/>
                <w:bCs/>
                <w:u w:val="single"/>
              </w:rPr>
              <w:t>x</w:t>
            </w:r>
            <w:r w:rsidRPr="00706BCC">
              <w:rPr>
                <w:rFonts w:cs="Arial"/>
                <w:b/>
                <w:bCs/>
                <w:u w:val="single"/>
                <w:vertAlign w:val="subscript"/>
              </w:rPr>
              <w:t>1</w:t>
            </w:r>
            <w:r w:rsidRPr="00706BCC">
              <w:rPr>
                <w:rFonts w:cs="Arial"/>
                <w:b/>
                <w:bCs/>
                <w:u w:val="single"/>
              </w:rPr>
              <w:t>*x</w:t>
            </w:r>
            <w:r w:rsidRPr="00706BCC">
              <w:rPr>
                <w:rFonts w:cs="Arial"/>
                <w:b/>
                <w:bCs/>
                <w:u w:val="single"/>
                <w:vertAlign w:val="subscript"/>
              </w:rPr>
              <w:t>2</w:t>
            </w:r>
          </w:p>
        </w:tc>
        <w:tc>
          <w:tcPr>
            <w:tcW w:w="1803" w:type="dxa"/>
          </w:tcPr>
          <w:p w14:paraId="1A83DEAC" w14:textId="77777777" w:rsidR="00D0297A" w:rsidRPr="00706BCC" w:rsidRDefault="00D0297A" w:rsidP="0003624F">
            <w:pPr>
              <w:spacing w:before="120" w:after="120"/>
              <w:rPr>
                <w:rFonts w:cs="Arial"/>
                <w:bCs/>
              </w:rPr>
            </w:pPr>
            <w:r w:rsidRPr="00706BCC">
              <w:t>-0.007</w:t>
            </w:r>
          </w:p>
        </w:tc>
        <w:tc>
          <w:tcPr>
            <w:tcW w:w="1803" w:type="dxa"/>
          </w:tcPr>
          <w:p w14:paraId="500238B9" w14:textId="77777777" w:rsidR="00D0297A" w:rsidRPr="00706BCC" w:rsidRDefault="00D0297A" w:rsidP="0003624F">
            <w:pPr>
              <w:spacing w:before="120" w:after="120"/>
              <w:rPr>
                <w:rFonts w:cs="Arial"/>
                <w:bCs/>
              </w:rPr>
            </w:pPr>
            <w:r w:rsidRPr="00706BCC">
              <w:t>0.0035</w:t>
            </w:r>
          </w:p>
        </w:tc>
        <w:tc>
          <w:tcPr>
            <w:tcW w:w="1803" w:type="dxa"/>
          </w:tcPr>
          <w:p w14:paraId="0046F74D" w14:textId="77777777" w:rsidR="00D0297A" w:rsidRPr="00706BCC" w:rsidRDefault="00D0297A" w:rsidP="0003624F">
            <w:pPr>
              <w:spacing w:before="120" w:after="120"/>
              <w:rPr>
                <w:rFonts w:cs="Arial"/>
                <w:bCs/>
              </w:rPr>
            </w:pPr>
            <w:r w:rsidRPr="00706BCC">
              <w:t>-2.012</w:t>
            </w:r>
          </w:p>
        </w:tc>
        <w:tc>
          <w:tcPr>
            <w:tcW w:w="1804" w:type="dxa"/>
          </w:tcPr>
          <w:p w14:paraId="3D89F7ED" w14:textId="77777777" w:rsidR="00D0297A" w:rsidRPr="00706BCC" w:rsidRDefault="00D0297A" w:rsidP="0003624F">
            <w:pPr>
              <w:spacing w:before="120" w:after="120"/>
              <w:rPr>
                <w:rFonts w:cs="Arial"/>
                <w:b/>
                <w:bCs/>
                <w:u w:val="single"/>
              </w:rPr>
            </w:pPr>
            <w:r w:rsidRPr="00706BCC">
              <w:rPr>
                <w:b/>
                <w:u w:val="single"/>
              </w:rPr>
              <w:t>0.044</w:t>
            </w:r>
          </w:p>
        </w:tc>
      </w:tr>
      <w:tr w:rsidR="00D0297A" w:rsidRPr="00706BCC" w14:paraId="6AF60E05" w14:textId="77777777" w:rsidTr="0003624F">
        <w:tc>
          <w:tcPr>
            <w:tcW w:w="1803" w:type="dxa"/>
          </w:tcPr>
          <w:p w14:paraId="1C75AF52" w14:textId="77777777" w:rsidR="00D0297A" w:rsidRPr="00706BCC" w:rsidRDefault="00D0297A" w:rsidP="0003624F">
            <w:pPr>
              <w:spacing w:before="120" w:after="120"/>
              <w:rPr>
                <w:rFonts w:cs="Arial"/>
                <w:b/>
                <w:bCs/>
              </w:rPr>
            </w:pPr>
            <w:r w:rsidRPr="00706BCC">
              <w:rPr>
                <w:rFonts w:cs="Arial"/>
                <w:b/>
                <w:bCs/>
              </w:rPr>
              <w:t>x</w:t>
            </w:r>
            <w:r w:rsidRPr="00706BCC">
              <w:rPr>
                <w:rFonts w:cs="Arial"/>
                <w:b/>
                <w:bCs/>
                <w:vertAlign w:val="subscript"/>
              </w:rPr>
              <w:t>1</w:t>
            </w:r>
            <w:r w:rsidRPr="00706BCC">
              <w:rPr>
                <w:rFonts w:cs="Arial"/>
                <w:b/>
                <w:bCs/>
              </w:rPr>
              <w:t>*x</w:t>
            </w:r>
            <w:r w:rsidRPr="00706BCC">
              <w:rPr>
                <w:rFonts w:cs="Arial"/>
                <w:b/>
                <w:bCs/>
                <w:vertAlign w:val="subscript"/>
              </w:rPr>
              <w:t>3</w:t>
            </w:r>
          </w:p>
        </w:tc>
        <w:tc>
          <w:tcPr>
            <w:tcW w:w="1803" w:type="dxa"/>
          </w:tcPr>
          <w:p w14:paraId="69D3A3BE" w14:textId="77777777" w:rsidR="00D0297A" w:rsidRPr="00706BCC" w:rsidRDefault="00D0297A" w:rsidP="0003624F">
            <w:pPr>
              <w:spacing w:before="120" w:after="120"/>
              <w:rPr>
                <w:rFonts w:cs="Arial"/>
                <w:bCs/>
              </w:rPr>
            </w:pPr>
            <w:r w:rsidRPr="00706BCC">
              <w:t>-0.002</w:t>
            </w:r>
          </w:p>
        </w:tc>
        <w:tc>
          <w:tcPr>
            <w:tcW w:w="1803" w:type="dxa"/>
          </w:tcPr>
          <w:p w14:paraId="773DB0BF" w14:textId="77777777" w:rsidR="00D0297A" w:rsidRPr="00706BCC" w:rsidRDefault="00D0297A" w:rsidP="0003624F">
            <w:pPr>
              <w:spacing w:before="120" w:after="120"/>
              <w:rPr>
                <w:rFonts w:cs="Arial"/>
                <w:bCs/>
              </w:rPr>
            </w:pPr>
            <w:r w:rsidRPr="00706BCC">
              <w:t>0.0026</w:t>
            </w:r>
          </w:p>
        </w:tc>
        <w:tc>
          <w:tcPr>
            <w:tcW w:w="1803" w:type="dxa"/>
          </w:tcPr>
          <w:p w14:paraId="14B291D7" w14:textId="77777777" w:rsidR="00D0297A" w:rsidRPr="00706BCC" w:rsidRDefault="00D0297A" w:rsidP="0003624F">
            <w:pPr>
              <w:spacing w:before="120" w:after="120"/>
              <w:rPr>
                <w:rFonts w:cs="Arial"/>
                <w:bCs/>
              </w:rPr>
            </w:pPr>
            <w:r w:rsidRPr="00706BCC">
              <w:t>-0.770</w:t>
            </w:r>
          </w:p>
        </w:tc>
        <w:tc>
          <w:tcPr>
            <w:tcW w:w="1804" w:type="dxa"/>
          </w:tcPr>
          <w:p w14:paraId="2191A1BA" w14:textId="77777777" w:rsidR="00D0297A" w:rsidRPr="00706BCC" w:rsidRDefault="00D0297A" w:rsidP="0003624F">
            <w:pPr>
              <w:spacing w:before="120" w:after="120"/>
              <w:rPr>
                <w:rFonts w:cs="Arial"/>
                <w:b/>
                <w:bCs/>
                <w:u w:val="single"/>
              </w:rPr>
            </w:pPr>
            <w:r w:rsidRPr="00706BCC">
              <w:t>0.441</w:t>
            </w:r>
          </w:p>
        </w:tc>
      </w:tr>
      <w:tr w:rsidR="00D0297A" w:rsidRPr="00706BCC" w14:paraId="7FDD3CD1" w14:textId="77777777" w:rsidTr="0003624F">
        <w:tc>
          <w:tcPr>
            <w:tcW w:w="1803" w:type="dxa"/>
          </w:tcPr>
          <w:p w14:paraId="7C84D185" w14:textId="77777777" w:rsidR="00D0297A" w:rsidRPr="00706BCC" w:rsidRDefault="00D0297A" w:rsidP="0003624F">
            <w:pPr>
              <w:spacing w:before="120" w:after="120"/>
              <w:rPr>
                <w:rFonts w:cs="Arial"/>
                <w:b/>
                <w:bCs/>
              </w:rPr>
            </w:pPr>
            <w:r w:rsidRPr="00706BCC">
              <w:rPr>
                <w:rFonts w:cs="Arial"/>
                <w:b/>
                <w:bCs/>
              </w:rPr>
              <w:t>x</w:t>
            </w:r>
            <w:r w:rsidRPr="00706BCC">
              <w:rPr>
                <w:rFonts w:cs="Arial"/>
                <w:b/>
                <w:bCs/>
                <w:vertAlign w:val="subscript"/>
              </w:rPr>
              <w:t>2</w:t>
            </w:r>
            <w:r w:rsidRPr="00706BCC">
              <w:rPr>
                <w:rFonts w:cs="Arial"/>
                <w:b/>
                <w:bCs/>
              </w:rPr>
              <w:t>*x</w:t>
            </w:r>
            <w:r w:rsidRPr="00706BCC">
              <w:rPr>
                <w:rFonts w:cs="Arial"/>
                <w:b/>
                <w:bCs/>
                <w:vertAlign w:val="subscript"/>
              </w:rPr>
              <w:t>3</w:t>
            </w:r>
          </w:p>
        </w:tc>
        <w:tc>
          <w:tcPr>
            <w:tcW w:w="1803" w:type="dxa"/>
          </w:tcPr>
          <w:p w14:paraId="0E66D753" w14:textId="77777777" w:rsidR="00D0297A" w:rsidRPr="00706BCC" w:rsidRDefault="00D0297A" w:rsidP="0003624F">
            <w:pPr>
              <w:spacing w:before="120" w:after="120"/>
              <w:rPr>
                <w:rFonts w:cs="Arial"/>
                <w:bCs/>
              </w:rPr>
            </w:pPr>
            <w:r w:rsidRPr="00706BCC">
              <w:t>0.054</w:t>
            </w:r>
          </w:p>
        </w:tc>
        <w:tc>
          <w:tcPr>
            <w:tcW w:w="1803" w:type="dxa"/>
          </w:tcPr>
          <w:p w14:paraId="1A5F564F" w14:textId="77777777" w:rsidR="00D0297A" w:rsidRPr="00706BCC" w:rsidRDefault="00D0297A" w:rsidP="0003624F">
            <w:pPr>
              <w:spacing w:before="120" w:after="120"/>
              <w:rPr>
                <w:rFonts w:cs="Arial"/>
                <w:bCs/>
              </w:rPr>
            </w:pPr>
            <w:r w:rsidRPr="00706BCC">
              <w:t>0.015</w:t>
            </w:r>
          </w:p>
        </w:tc>
        <w:tc>
          <w:tcPr>
            <w:tcW w:w="1803" w:type="dxa"/>
          </w:tcPr>
          <w:p w14:paraId="567ECF4B" w14:textId="77777777" w:rsidR="00D0297A" w:rsidRPr="00706BCC" w:rsidRDefault="00D0297A" w:rsidP="0003624F">
            <w:pPr>
              <w:spacing w:before="120" w:after="120"/>
              <w:rPr>
                <w:rFonts w:cs="Arial"/>
                <w:bCs/>
              </w:rPr>
            </w:pPr>
            <w:r w:rsidRPr="00706BCC">
              <w:t>3.547</w:t>
            </w:r>
          </w:p>
        </w:tc>
        <w:tc>
          <w:tcPr>
            <w:tcW w:w="1804" w:type="dxa"/>
          </w:tcPr>
          <w:p w14:paraId="59E34BBB" w14:textId="77777777" w:rsidR="00D0297A" w:rsidRPr="00706BCC" w:rsidRDefault="00D0297A" w:rsidP="0003624F">
            <w:pPr>
              <w:spacing w:before="120" w:after="120"/>
              <w:rPr>
                <w:rFonts w:cs="Arial"/>
                <w:b/>
                <w:bCs/>
                <w:u w:val="single"/>
              </w:rPr>
            </w:pPr>
            <w:r w:rsidRPr="00706BCC">
              <w:t>0.0003</w:t>
            </w:r>
          </w:p>
        </w:tc>
      </w:tr>
      <w:tr w:rsidR="00D0297A" w:rsidRPr="00706BCC" w14:paraId="686BBEE3" w14:textId="77777777" w:rsidTr="0003624F">
        <w:tc>
          <w:tcPr>
            <w:tcW w:w="1803" w:type="dxa"/>
          </w:tcPr>
          <w:p w14:paraId="65730FBD" w14:textId="77777777" w:rsidR="00D0297A" w:rsidRPr="00706BCC" w:rsidRDefault="00D0297A" w:rsidP="0003624F">
            <w:pPr>
              <w:spacing w:before="120" w:after="120"/>
              <w:rPr>
                <w:rFonts w:cs="Arial"/>
                <w:b/>
                <w:bCs/>
              </w:rPr>
            </w:pPr>
            <w:r w:rsidRPr="00706BCC">
              <w:rPr>
                <w:rFonts w:cs="Arial"/>
                <w:b/>
                <w:bCs/>
              </w:rPr>
              <w:t xml:space="preserve"> x</w:t>
            </w:r>
            <w:r w:rsidRPr="00706BCC">
              <w:rPr>
                <w:rFonts w:cs="Arial"/>
                <w:b/>
                <w:bCs/>
                <w:vertAlign w:val="subscript"/>
              </w:rPr>
              <w:t>1</w:t>
            </w:r>
            <w:r w:rsidRPr="00706BCC">
              <w:rPr>
                <w:rFonts w:cs="Arial"/>
                <w:b/>
                <w:bCs/>
              </w:rPr>
              <w:t>*x</w:t>
            </w:r>
            <w:r w:rsidRPr="00706BCC">
              <w:rPr>
                <w:rFonts w:cs="Arial"/>
                <w:b/>
                <w:bCs/>
                <w:vertAlign w:val="subscript"/>
              </w:rPr>
              <w:t>2</w:t>
            </w:r>
            <w:r w:rsidRPr="00706BCC">
              <w:rPr>
                <w:rFonts w:cs="Arial"/>
                <w:b/>
                <w:bCs/>
              </w:rPr>
              <w:t>*x</w:t>
            </w:r>
            <w:r w:rsidRPr="00706BCC">
              <w:rPr>
                <w:rFonts w:cs="Arial"/>
                <w:b/>
                <w:bCs/>
                <w:vertAlign w:val="subscript"/>
              </w:rPr>
              <w:t>3</w:t>
            </w:r>
          </w:p>
        </w:tc>
        <w:tc>
          <w:tcPr>
            <w:tcW w:w="1803" w:type="dxa"/>
          </w:tcPr>
          <w:p w14:paraId="0A2FC292" w14:textId="77777777" w:rsidR="00D0297A" w:rsidRPr="00706BCC" w:rsidRDefault="00D0297A" w:rsidP="0003624F">
            <w:pPr>
              <w:spacing w:before="120" w:after="120"/>
              <w:rPr>
                <w:rFonts w:cs="Arial"/>
                <w:bCs/>
              </w:rPr>
            </w:pPr>
            <w:r w:rsidRPr="00706BCC">
              <w:t>0.0055</w:t>
            </w:r>
          </w:p>
        </w:tc>
        <w:tc>
          <w:tcPr>
            <w:tcW w:w="1803" w:type="dxa"/>
          </w:tcPr>
          <w:p w14:paraId="654806A5" w14:textId="77777777" w:rsidR="00D0297A" w:rsidRPr="00706BCC" w:rsidRDefault="00D0297A" w:rsidP="0003624F">
            <w:pPr>
              <w:spacing w:before="120" w:after="120"/>
              <w:rPr>
                <w:rFonts w:cs="Arial"/>
                <w:bCs/>
              </w:rPr>
            </w:pPr>
            <w:r w:rsidRPr="00706BCC">
              <w:t>0.0037</w:t>
            </w:r>
          </w:p>
        </w:tc>
        <w:tc>
          <w:tcPr>
            <w:tcW w:w="1803" w:type="dxa"/>
          </w:tcPr>
          <w:p w14:paraId="1733DD35" w14:textId="77777777" w:rsidR="00D0297A" w:rsidRPr="00706BCC" w:rsidRDefault="00D0297A" w:rsidP="0003624F">
            <w:pPr>
              <w:spacing w:before="120" w:after="120"/>
              <w:rPr>
                <w:rFonts w:cs="Arial"/>
                <w:bCs/>
              </w:rPr>
            </w:pPr>
            <w:r w:rsidRPr="00706BCC">
              <w:t>1.50</w:t>
            </w:r>
          </w:p>
        </w:tc>
        <w:tc>
          <w:tcPr>
            <w:tcW w:w="1804" w:type="dxa"/>
          </w:tcPr>
          <w:p w14:paraId="3BB9F7FF" w14:textId="77777777" w:rsidR="00D0297A" w:rsidRPr="00706BCC" w:rsidRDefault="00D0297A" w:rsidP="0003624F">
            <w:pPr>
              <w:spacing w:before="120" w:after="120"/>
              <w:rPr>
                <w:rFonts w:cs="Arial"/>
                <w:b/>
                <w:bCs/>
                <w:u w:val="single"/>
              </w:rPr>
            </w:pPr>
            <w:r w:rsidRPr="00706BCC">
              <w:t>0.133</w:t>
            </w:r>
          </w:p>
        </w:tc>
      </w:tr>
    </w:tbl>
    <w:p w14:paraId="0886EEB9" w14:textId="77777777" w:rsidR="00D0297A" w:rsidRPr="00706BCC" w:rsidRDefault="00D0297A" w:rsidP="00D0297A">
      <w:pPr>
        <w:spacing w:before="120" w:after="120"/>
        <w:rPr>
          <w:rFonts w:cs="Arial"/>
          <w:bCs/>
        </w:rPr>
      </w:pPr>
    </w:p>
    <w:p w14:paraId="5AB8E2EB" w14:textId="77777777" w:rsidR="00D0297A" w:rsidRPr="00D0297A" w:rsidRDefault="00D0297A" w:rsidP="00D0297A">
      <w:pPr>
        <w:spacing w:before="120" w:after="120"/>
        <w:rPr>
          <w:rFonts w:cstheme="majorHAnsi"/>
          <w:bCs/>
        </w:rPr>
      </w:pPr>
      <w:bookmarkStart w:id="2" w:name="_Hlk494623931"/>
      <w:r w:rsidRPr="00D0297A">
        <w:rPr>
          <w:rFonts w:cstheme="majorHAnsi"/>
          <w:bCs/>
        </w:rPr>
        <w:t>Results of our regression analysis show that together the serotonin response (x</w:t>
      </w:r>
      <w:r w:rsidRPr="00D0297A">
        <w:rPr>
          <w:rFonts w:cstheme="majorHAnsi"/>
          <w:bCs/>
          <w:vertAlign w:val="subscript"/>
        </w:rPr>
        <w:t>1</w:t>
      </w:r>
      <w:r w:rsidRPr="00D0297A">
        <w:rPr>
          <w:rFonts w:cstheme="majorHAnsi"/>
          <w:bCs/>
        </w:rPr>
        <w:t>), current bet level (x</w:t>
      </w:r>
      <w:r w:rsidRPr="00D0297A">
        <w:rPr>
          <w:rFonts w:cstheme="majorHAnsi"/>
          <w:bCs/>
          <w:vertAlign w:val="subscript"/>
        </w:rPr>
        <w:t>2</w:t>
      </w:r>
      <w:r w:rsidRPr="00D0297A">
        <w:rPr>
          <w:rFonts w:cstheme="majorHAnsi"/>
          <w:bCs/>
        </w:rPr>
        <w:t>) and sign of the reward prediction error (x</w:t>
      </w:r>
      <w:r w:rsidRPr="00D0297A">
        <w:rPr>
          <w:rFonts w:cstheme="majorHAnsi"/>
          <w:bCs/>
          <w:vertAlign w:val="subscript"/>
        </w:rPr>
        <w:t>3</w:t>
      </w:r>
      <w:r w:rsidRPr="00D0297A">
        <w:rPr>
          <w:rFonts w:cstheme="majorHAnsi"/>
          <w:bCs/>
        </w:rPr>
        <w:t>) on trial (t), as well as their two-way (x</w:t>
      </w:r>
      <w:r w:rsidRPr="00D0297A">
        <w:rPr>
          <w:rFonts w:cstheme="majorHAnsi"/>
          <w:bCs/>
          <w:vertAlign w:val="subscript"/>
        </w:rPr>
        <w:t>1</w:t>
      </w:r>
      <w:r w:rsidRPr="00D0297A">
        <w:rPr>
          <w:rFonts w:cstheme="majorHAnsi"/>
          <w:bCs/>
        </w:rPr>
        <w:t>*x</w:t>
      </w:r>
      <w:r w:rsidRPr="00D0297A">
        <w:rPr>
          <w:rFonts w:cstheme="majorHAnsi"/>
          <w:bCs/>
          <w:vertAlign w:val="subscript"/>
        </w:rPr>
        <w:t>2,</w:t>
      </w:r>
      <w:r w:rsidRPr="00D0297A">
        <w:rPr>
          <w:rFonts w:cstheme="majorHAnsi"/>
          <w:bCs/>
          <w:u w:val="single"/>
          <w:vertAlign w:val="subscript"/>
        </w:rPr>
        <w:t xml:space="preserve">   </w:t>
      </w:r>
      <w:r w:rsidRPr="00D0297A">
        <w:rPr>
          <w:rFonts w:cstheme="majorHAnsi"/>
          <w:bCs/>
        </w:rPr>
        <w:t>x</w:t>
      </w:r>
      <w:r w:rsidRPr="00D0297A">
        <w:rPr>
          <w:rFonts w:cstheme="majorHAnsi"/>
          <w:bCs/>
          <w:vertAlign w:val="subscript"/>
        </w:rPr>
        <w:t>1</w:t>
      </w:r>
      <w:r w:rsidRPr="00D0297A">
        <w:rPr>
          <w:rFonts w:cstheme="majorHAnsi"/>
          <w:bCs/>
        </w:rPr>
        <w:t>*x</w:t>
      </w:r>
      <w:r w:rsidRPr="00D0297A">
        <w:rPr>
          <w:rFonts w:cstheme="majorHAnsi"/>
          <w:bCs/>
          <w:vertAlign w:val="subscript"/>
        </w:rPr>
        <w:t xml:space="preserve">3,   </w:t>
      </w:r>
      <w:r w:rsidRPr="00D0297A">
        <w:rPr>
          <w:rFonts w:cstheme="majorHAnsi"/>
          <w:bCs/>
        </w:rPr>
        <w:t>x</w:t>
      </w:r>
      <w:r w:rsidRPr="00D0297A">
        <w:rPr>
          <w:rFonts w:cstheme="majorHAnsi"/>
          <w:bCs/>
          <w:vertAlign w:val="subscript"/>
        </w:rPr>
        <w:t>2</w:t>
      </w:r>
      <w:r w:rsidRPr="00D0297A">
        <w:rPr>
          <w:rFonts w:cstheme="majorHAnsi"/>
          <w:bCs/>
        </w:rPr>
        <w:t>*x</w:t>
      </w:r>
      <w:r w:rsidRPr="00D0297A">
        <w:rPr>
          <w:rFonts w:cstheme="majorHAnsi"/>
          <w:bCs/>
          <w:vertAlign w:val="subscript"/>
        </w:rPr>
        <w:t>3</w:t>
      </w:r>
      <w:r w:rsidRPr="00D0297A">
        <w:rPr>
          <w:rFonts w:cstheme="majorHAnsi"/>
          <w:bCs/>
        </w:rPr>
        <w:t>) and three-way interactions (x</w:t>
      </w:r>
      <w:r w:rsidRPr="00D0297A">
        <w:rPr>
          <w:rFonts w:cstheme="majorHAnsi"/>
          <w:bCs/>
          <w:vertAlign w:val="subscript"/>
        </w:rPr>
        <w:t>1</w:t>
      </w:r>
      <w:r w:rsidRPr="00D0297A">
        <w:rPr>
          <w:rFonts w:cstheme="majorHAnsi"/>
          <w:bCs/>
        </w:rPr>
        <w:t>*x</w:t>
      </w:r>
      <w:r w:rsidRPr="00D0297A">
        <w:rPr>
          <w:rFonts w:cstheme="majorHAnsi"/>
          <w:bCs/>
          <w:vertAlign w:val="subscript"/>
        </w:rPr>
        <w:t>2</w:t>
      </w:r>
      <w:r w:rsidRPr="00D0297A">
        <w:rPr>
          <w:rFonts w:cstheme="majorHAnsi"/>
          <w:bCs/>
        </w:rPr>
        <w:t>*x</w:t>
      </w:r>
      <w:r w:rsidRPr="00D0297A">
        <w:rPr>
          <w:rFonts w:cstheme="majorHAnsi"/>
          <w:bCs/>
          <w:vertAlign w:val="subscript"/>
        </w:rPr>
        <w:t>3</w:t>
      </w:r>
      <w:r w:rsidRPr="00D0297A">
        <w:rPr>
          <w:rFonts w:cstheme="majorHAnsi"/>
          <w:bCs/>
        </w:rPr>
        <w:t xml:space="preserve">), predict the change in investment on trial (t+1):  </w:t>
      </w:r>
      <w:bookmarkEnd w:id="2"/>
      <w:r w:rsidRPr="00D0297A">
        <w:rPr>
          <w:rFonts w:cstheme="majorHAnsi"/>
          <w:bCs/>
        </w:rPr>
        <w:t>F-statistic vs. constant model: 32.4, p-value &lt; 0.00001.  Individually, the current betting level is a significant predictor of change in bet (At low betting levels participants tended to increase their bets and at high betting levels participants tended to decrease their bets). Importantly the interaction of serotonin responses and current bet levels (</w:t>
      </w:r>
      <w:r w:rsidRPr="00D0297A">
        <w:rPr>
          <w:rFonts w:cstheme="majorHAnsi"/>
          <w:b/>
          <w:bCs/>
          <w:u w:val="single"/>
        </w:rPr>
        <w:t>x</w:t>
      </w:r>
      <w:r w:rsidRPr="00D0297A">
        <w:rPr>
          <w:rFonts w:cstheme="majorHAnsi"/>
          <w:b/>
          <w:bCs/>
          <w:u w:val="single"/>
          <w:vertAlign w:val="subscript"/>
        </w:rPr>
        <w:t>1</w:t>
      </w:r>
      <w:r w:rsidRPr="00D0297A">
        <w:rPr>
          <w:rFonts w:cstheme="majorHAnsi"/>
          <w:b/>
          <w:bCs/>
          <w:u w:val="single"/>
        </w:rPr>
        <w:t>*x</w:t>
      </w:r>
      <w:r w:rsidRPr="00D0297A">
        <w:rPr>
          <w:rFonts w:cstheme="majorHAnsi"/>
          <w:b/>
          <w:bCs/>
          <w:u w:val="single"/>
          <w:vertAlign w:val="subscript"/>
        </w:rPr>
        <w:t>2</w:t>
      </w:r>
      <w:r w:rsidRPr="00D0297A">
        <w:rPr>
          <w:rFonts w:cstheme="majorHAnsi"/>
          <w:bCs/>
        </w:rPr>
        <w:t>) is also a significant predictor of change in bet. In other words, for large serotonin responses and large bets, participants tended to decrease their bet and vice versa. We also found a trend-level significant three-way interaction of serotonin, bet level and RPE sign in predicting the next response. Figures 5 and 6 investigate these interaction effects in more detail.</w:t>
      </w:r>
    </w:p>
    <w:p w14:paraId="67822D83" w14:textId="77777777" w:rsidR="00D0297A" w:rsidRDefault="00D0297A" w:rsidP="006D1B62">
      <w:pPr>
        <w:rPr>
          <w:rFonts w:cs="Arial"/>
          <w:bCs/>
        </w:rPr>
      </w:pPr>
    </w:p>
    <w:p w14:paraId="05C6E12F" w14:textId="77777777" w:rsidR="00D0297A" w:rsidRDefault="00D0297A" w:rsidP="006D1B62">
      <w:pPr>
        <w:rPr>
          <w:rFonts w:cs="Arial"/>
          <w:bCs/>
        </w:rPr>
      </w:pPr>
    </w:p>
    <w:p w14:paraId="39B97389" w14:textId="77777777" w:rsidR="00D0297A" w:rsidRDefault="00D0297A" w:rsidP="006D1B62">
      <w:pPr>
        <w:rPr>
          <w:rFonts w:cs="Arial"/>
          <w:bCs/>
        </w:rPr>
      </w:pPr>
    </w:p>
    <w:p w14:paraId="1A920FBC" w14:textId="77777777" w:rsidR="00D0297A" w:rsidRPr="00760063" w:rsidRDefault="00D0297A" w:rsidP="006D1B62">
      <w:pPr>
        <w:rPr>
          <w:lang w:val="en-US"/>
        </w:rPr>
      </w:pPr>
    </w:p>
    <w:sectPr w:rsidR="00D0297A" w:rsidRPr="007600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575"/>
    <w:rsid w:val="000021CE"/>
    <w:rsid w:val="000E5D31"/>
    <w:rsid w:val="001D2DE0"/>
    <w:rsid w:val="001D352E"/>
    <w:rsid w:val="002003CE"/>
    <w:rsid w:val="002F26AC"/>
    <w:rsid w:val="00396ABB"/>
    <w:rsid w:val="003E1160"/>
    <w:rsid w:val="003E239A"/>
    <w:rsid w:val="00471CA2"/>
    <w:rsid w:val="00471F0E"/>
    <w:rsid w:val="0049411B"/>
    <w:rsid w:val="004A0E7C"/>
    <w:rsid w:val="00590D1D"/>
    <w:rsid w:val="005E1067"/>
    <w:rsid w:val="00630708"/>
    <w:rsid w:val="006C3669"/>
    <w:rsid w:val="006D1B62"/>
    <w:rsid w:val="00760063"/>
    <w:rsid w:val="007E102F"/>
    <w:rsid w:val="007F4DFF"/>
    <w:rsid w:val="008B5434"/>
    <w:rsid w:val="0094236B"/>
    <w:rsid w:val="00A02EB3"/>
    <w:rsid w:val="00A0479A"/>
    <w:rsid w:val="00A41587"/>
    <w:rsid w:val="00A766CC"/>
    <w:rsid w:val="00AD0260"/>
    <w:rsid w:val="00B26024"/>
    <w:rsid w:val="00B51C15"/>
    <w:rsid w:val="00CE700C"/>
    <w:rsid w:val="00CE759A"/>
    <w:rsid w:val="00D0297A"/>
    <w:rsid w:val="00D21575"/>
    <w:rsid w:val="00D90D17"/>
    <w:rsid w:val="00DD53AE"/>
    <w:rsid w:val="00E65630"/>
    <w:rsid w:val="00E70511"/>
    <w:rsid w:val="00E73098"/>
    <w:rsid w:val="00EB2D5D"/>
    <w:rsid w:val="00EC38DC"/>
    <w:rsid w:val="00ED1CDF"/>
    <w:rsid w:val="00F1508A"/>
    <w:rsid w:val="00F85B2F"/>
    <w:rsid w:val="00FB291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BBEB8"/>
  <w15:chartTrackingRefBased/>
  <w15:docId w15:val="{7C76F93A-5DDA-4D3E-811E-2DAFA7FB8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297A"/>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3187</Words>
  <Characters>18170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21315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Rosalyn Moran</dc:creator>
  <cp:keywords/>
  <dc:description/>
  <cp:lastModifiedBy>RJ Moran</cp:lastModifiedBy>
  <cp:revision>3</cp:revision>
  <dcterms:created xsi:type="dcterms:W3CDTF">2017-12-18T12:43:00Z</dcterms:created>
  <dcterms:modified xsi:type="dcterms:W3CDTF">2017-12-18T12:46:00Z</dcterms:modified>
</cp:coreProperties>
</file>