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Actas Tipo Comité de Crisis</w:t>
      </w:r>
    </w:p>
    <w:p>
      <w:pPr>
        <w:jc w:val="center"/>
      </w:pPr>
      <w:r>
        <w:rPr>
          <w:i/>
          <w:sz w:val="22"/>
        </w:rPr>
        <w:t>InnovaServicios Digitales S.A. – INST-TCC-011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INST-TCC-011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Esta instrucción define la estructura, contenido mínimo y responsabilidades para documentar de forma homogénea las decisiones, acuerdos y acciones de los comités de crisis y continuidad del negocio en InnovaServicios Digitales S.A., asegurando homogeneidad y trazabilidad.</w:t>
      </w:r>
    </w:p>
    <w:p>
      <w:pPr>
        <w:pStyle w:val="Heading1"/>
      </w:pPr>
      <w:r>
        <w:t>2. Alcance</w:t>
      </w:r>
    </w:p>
    <w:p>
      <w:r>
        <w:t>Aplica a todas las instancias formales en que se requiera documentar reuniones, actividades de revisión, auditorías, comités de crisis, mediciones de desempeño y otros eventos relevantes del SGSI/BCMS y del programa de Compliance.</w:t>
      </w:r>
    </w:p>
    <w:p>
      <w:pPr>
        <w:pStyle w:val="Heading1"/>
      </w:pPr>
      <w:r>
        <w:t>3. Estructura mínima</w:t>
      </w:r>
    </w:p>
    <w:p>
      <w:r>
        <w:t>Los documentos generados deberán incluir, como mínimo: identificación del evento, participantes, agenda, desarrollo, acuerdos, responsables, plazos y anexos. Cuando el documento registre indicadores o resultados, deberán indicarse las fuentes de datos utilizadas y las interpretaciones clave.</w:t>
      </w:r>
    </w:p>
    <w:p>
      <w:pPr>
        <w:pStyle w:val="Heading1"/>
      </w:pPr>
      <w:r>
        <w:t>4. Roles y responsabilidades</w:t>
      </w:r>
    </w:p>
    <w:p>
      <w:r>
        <w:t>El presidente del comité o responsable de la actividad es el dueño del documento. Se asigna un relator o secretario que elabora el borrador. La versión final debe ser revisada y aprobada por el responsable correspondiente antes de su archivo en el repositorio oficial.</w:t>
      </w:r>
    </w:p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reuniones con acta emitida</w:t>
            </w:r>
          </w:p>
        </w:tc>
        <w:tc>
          <w:tcPr>
            <w:tcW w:type="dxa" w:w="2160"/>
          </w:tcPr>
          <w:p>
            <w:r>
              <w:t>Porcentaje de reuniones de comité o revisión que cuentan con acta formal.</w:t>
            </w:r>
          </w:p>
        </w:tc>
        <w:tc>
          <w:tcPr>
            <w:tcW w:type="dxa" w:w="2160"/>
          </w:tcPr>
          <w:p>
            <w:r>
              <w:t>≥ 95%</w:t>
            </w:r>
          </w:p>
        </w:tc>
        <w:tc>
          <w:tcPr>
            <w:tcW w:type="dxa" w:w="2160"/>
          </w:tcPr>
          <w:p>
            <w:r>
              <w:t>Calendario de reuniones vs. actas registradas</w:t>
            </w:r>
          </w:p>
        </w:tc>
      </w:tr>
      <w:tr>
        <w:tc>
          <w:tcPr>
            <w:tcW w:type="dxa" w:w="2160"/>
          </w:tcPr>
          <w:p>
            <w:r>
              <w:t>Tiempo medio de emisión de actas</w:t>
            </w:r>
          </w:p>
        </w:tc>
        <w:tc>
          <w:tcPr>
            <w:tcW w:type="dxa" w:w="2160"/>
          </w:tcPr>
          <w:p>
            <w:r>
              <w:t>Tiempo transcurrido entre la reunión y la emisión del acta final.</w:t>
            </w:r>
          </w:p>
        </w:tc>
        <w:tc>
          <w:tcPr>
            <w:tcW w:type="dxa" w:w="2160"/>
          </w:tcPr>
          <w:p>
            <w:r>
              <w:t>≤ 5 días hábiles</w:t>
            </w:r>
          </w:p>
        </w:tc>
        <w:tc>
          <w:tcPr>
            <w:tcW w:type="dxa" w:w="2160"/>
          </w:tcPr>
          <w:p>
            <w:r>
              <w:t>Registro de fechas en actas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REG-011</w:t>
            </w:r>
          </w:p>
        </w:tc>
        <w:tc>
          <w:tcPr>
            <w:tcW w:type="dxa" w:w="1728"/>
          </w:tcPr>
          <w:p>
            <w:r>
              <w:t>Registro de aplicación del documento INST-TCC-011 – Actas Tipo Comité de Crisis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