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Plan de Formación y Concienciación</w:t>
      </w:r>
    </w:p>
    <w:p>
      <w:pPr>
        <w:jc w:val="center"/>
      </w:pPr>
      <w:r>
        <w:rPr>
          <w:i/>
          <w:sz w:val="22"/>
        </w:rPr>
        <w:t>InnovaServicios Digitales S.A. – PLAN-FOR-012</w:t>
      </w:r>
    </w:p>
    <w:p/>
    <w:p>
      <w:pPr>
        <w:pStyle w:val="Heading1"/>
      </w:pPr>
      <w:r>
        <w:t>Control del documento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Código</w:t>
            </w:r>
          </w:p>
        </w:tc>
        <w:tc>
          <w:tcPr>
            <w:tcW w:type="dxa" w:w="4320"/>
          </w:tcPr>
          <w:p>
            <w:r>
              <w:t>PLAN-FOR-012</w:t>
            </w:r>
          </w:p>
        </w:tc>
      </w:tr>
      <w:tr>
        <w:tc>
          <w:tcPr>
            <w:tcW w:type="dxa" w:w="4320"/>
          </w:tcPr>
          <w:p>
            <w:r>
              <w:t>Versión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Fecha</w:t>
            </w:r>
          </w:p>
        </w:tc>
        <w:tc>
          <w:tcPr>
            <w:tcW w:type="dxa" w:w="4320"/>
          </w:tcPr>
          <w:p>
            <w:r>
              <w:t>19-11-2025</w:t>
            </w:r>
          </w:p>
        </w:tc>
      </w:tr>
      <w:tr>
        <w:tc>
          <w:tcPr>
            <w:tcW w:type="dxa" w:w="4320"/>
          </w:tcPr>
          <w:p>
            <w:r>
              <w:t>Clasificación</w:t>
            </w:r>
          </w:p>
        </w:tc>
        <w:tc>
          <w:tcPr>
            <w:tcW w:type="dxa" w:w="4320"/>
          </w:tcPr>
          <w:p>
            <w:r>
              <w:t>Uso Interno / Confidencial</w:t>
            </w:r>
          </w:p>
        </w:tc>
      </w:tr>
      <w:tr>
        <w:tc>
          <w:tcPr>
            <w:tcW w:type="dxa" w:w="4320"/>
          </w:tcPr>
          <w:p>
            <w:r>
              <w:t>Elaborado por</w:t>
            </w:r>
          </w:p>
        </w:tc>
        <w:tc>
          <w:tcPr>
            <w:tcW w:type="dxa" w:w="4320"/>
          </w:tcPr>
          <w:p>
            <w:r>
              <w:t>Oficial de Seguridad de la Información (CISO)</w:t>
            </w:r>
          </w:p>
        </w:tc>
      </w:tr>
      <w:tr>
        <w:tc>
          <w:tcPr>
            <w:tcW w:type="dxa" w:w="4320"/>
          </w:tcPr>
          <w:p>
            <w:r>
              <w:t>Revisado por</w:t>
            </w:r>
          </w:p>
        </w:tc>
        <w:tc>
          <w:tcPr>
            <w:tcW w:type="dxa" w:w="4320"/>
          </w:tcPr>
          <w:p>
            <w:r>
              <w:t>Oficial de Compliance / DPO</w:t>
            </w:r>
          </w:p>
        </w:tc>
      </w:tr>
      <w:tr>
        <w:tc>
          <w:tcPr>
            <w:tcW w:type="dxa" w:w="4320"/>
          </w:tcPr>
          <w:p>
            <w:r>
              <w:t>Aprobado por</w:t>
            </w:r>
          </w:p>
        </w:tc>
        <w:tc>
          <w:tcPr>
            <w:tcW w:type="dxa" w:w="4320"/>
          </w:tcPr>
          <w:p>
            <w:r>
              <w:t>Gerencia General / Comité de Seguridad de la Información</w:t>
            </w:r>
          </w:p>
        </w:tc>
      </w:tr>
    </w:tbl>
    <w:p/>
    <w:p>
      <w:pPr>
        <w:pStyle w:val="Heading1"/>
      </w:pPr>
      <w:r>
        <w:t>Historial de cambios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Versión</w:t>
            </w:r>
          </w:p>
        </w:tc>
        <w:tc>
          <w:tcPr>
            <w:tcW w:type="dxa" w:w="1728"/>
          </w:tcPr>
          <w:p>
            <w:r>
              <w:t>Fecha</w:t>
            </w:r>
          </w:p>
        </w:tc>
        <w:tc>
          <w:tcPr>
            <w:tcW w:type="dxa" w:w="1728"/>
          </w:tcPr>
          <w:p>
            <w:r>
              <w:t>Descripción del cambio</w:t>
            </w:r>
          </w:p>
        </w:tc>
        <w:tc>
          <w:tcPr>
            <w:tcW w:type="dxa" w:w="1728"/>
          </w:tcPr>
          <w:p>
            <w:r>
              <w:t>Elaborado por</w:t>
            </w:r>
          </w:p>
        </w:tc>
        <w:tc>
          <w:tcPr>
            <w:tcW w:type="dxa" w:w="1728"/>
          </w:tcPr>
          <w:p>
            <w:r>
              <w:t>Aprobado por</w:t>
            </w:r>
          </w:p>
        </w:tc>
      </w:tr>
      <w:tr>
        <w:tc>
          <w:tcPr>
            <w:tcW w:type="dxa" w:w="1728"/>
          </w:tcPr>
          <w:p>
            <w:r>
              <w:t>1.0</w:t>
            </w:r>
          </w:p>
        </w:tc>
        <w:tc>
          <w:tcPr>
            <w:tcW w:type="dxa" w:w="1728"/>
          </w:tcPr>
          <w:p>
            <w:r>
              <w:t>19-11-2025</w:t>
            </w:r>
          </w:p>
        </w:tc>
        <w:tc>
          <w:tcPr>
            <w:tcW w:type="dxa" w:w="1728"/>
          </w:tcPr>
          <w:p>
            <w:r>
              <w:t>Emisión inicial del documento.</w:t>
            </w:r>
          </w:p>
        </w:tc>
        <w:tc>
          <w:tcPr>
            <w:tcW w:type="dxa" w:w="1728"/>
          </w:tcPr>
          <w:p>
            <w:r>
              <w:t>CISO</w:t>
            </w:r>
          </w:p>
        </w:tc>
        <w:tc>
          <w:tcPr>
            <w:tcW w:type="dxa" w:w="1728"/>
          </w:tcPr>
          <w:p>
            <w:r>
              <w:t>Gerencia General</w:t>
            </w:r>
          </w:p>
        </w:tc>
      </w:tr>
    </w:tbl>
    <w:p/>
    <w:p>
      <w:pPr>
        <w:pStyle w:val="Heading1"/>
      </w:pPr>
      <w:r>
        <w:t>1. Objeto y objetivos</w:t>
      </w:r>
    </w:p>
    <w:p>
      <w:r>
        <w:t>El presente plan define la hoja de ruta para definir la estrategia anual de formación y concienciación en seguridad de la información, continuidad y compliance en InnovaServicios Digitales S.A., alineando actividades, recursos y plazos con las prioridades del SGSI, del BCMS y del programa de Compliance.</w:t>
      </w:r>
    </w:p>
    <w:p>
      <w:pPr>
        <w:pStyle w:val="Heading1"/>
      </w:pPr>
      <w:r>
        <w:t>2. Alcance y dependencias</w:t>
      </w:r>
    </w:p>
    <w:p>
      <w:r>
        <w:t>El plan cubre las iniciativas, proyectos y actividades que impactan en la seguridad de la información, la continuidad del negocio y el cumplimiento normativo. Puede incluir proyectos tecnológicos, cambios organizativos, campañas de formación, mejoras procesales y actividades de control. Deben identificarse dependencias con otros planes (por ejemplo, Plan Estratégico TI).</w:t>
      </w:r>
    </w:p>
    <w:p>
      <w:pPr>
        <w:pStyle w:val="Heading1"/>
      </w:pPr>
      <w:r>
        <w:t>3. Supuestos y criterios de priorización</w:t>
      </w:r>
    </w:p>
    <w:p>
      <w:r>
        <w:t>La priorización de iniciativas se basa en criterios de riesgo (probabilidad e impacto), cumplimiento regulatorio, valor para el negocio, costes y esfuerzo estimado. Se consideran también los resultados de análisis de brechas frente a ISO 27001/22301 y las recomendaciones de auditoría interna y externa.</w:t>
      </w:r>
    </w:p>
    <w:p>
      <w:pPr>
        <w:pStyle w:val="Heading1"/>
      </w:pPr>
      <w:r>
        <w:t>4. Organización del plan</w:t>
      </w:r>
    </w:p>
    <w:p>
      <w:r>
        <w:t>El Comité de Seguridad de la Información y Continuidad ejerce el patrocinio del plan. El CISO actúa como coordinador general. Los dueños de proceso lideran las acciones en su ámbito, apoyados por TI, Ciberseguridad, Riesgos y Compliance. Se recomienda utilizar una herramienta de seguimiento (GRC o PMO) para registrar hitos, avances y riesgos del propio plan.</w:t>
      </w:r>
    </w:p>
    <w:p>
      <w:pPr>
        <w:pStyle w:val="Heading1"/>
      </w:pPr>
      <w:r>
        <w:t>5. Cronograma de alto nivel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Fase</w:t>
            </w:r>
          </w:p>
        </w:tc>
        <w:tc>
          <w:tcPr>
            <w:tcW w:type="dxa" w:w="1728"/>
          </w:tcPr>
          <w:p>
            <w:r>
              <w:t>Periodo estimado</w:t>
            </w:r>
          </w:p>
        </w:tc>
        <w:tc>
          <w:tcPr>
            <w:tcW w:type="dxa" w:w="1728"/>
          </w:tcPr>
          <w:p>
            <w:r>
              <w:t>Responsable principal</w:t>
            </w:r>
          </w:p>
        </w:tc>
        <w:tc>
          <w:tcPr>
            <w:tcW w:type="dxa" w:w="1728"/>
          </w:tcPr>
          <w:p>
            <w:r>
              <w:t>Entregables clave</w:t>
            </w:r>
          </w:p>
        </w:tc>
        <w:tc>
          <w:tcPr>
            <w:tcW w:type="dxa" w:w="1728"/>
          </w:tcPr>
          <w:p>
            <w:r>
              <w:t>Vínculo con requisitos ISO / Leyes</w:t>
            </w:r>
          </w:p>
        </w:tc>
      </w:tr>
      <w:tr>
        <w:tc>
          <w:tcPr>
            <w:tcW w:type="dxa" w:w="1728"/>
          </w:tcPr>
          <w:p>
            <w:r>
              <w:t>Diagnóstico</w:t>
            </w:r>
          </w:p>
        </w:tc>
        <w:tc>
          <w:tcPr>
            <w:tcW w:type="dxa" w:w="1728"/>
          </w:tcPr>
          <w:p>
            <w:r>
              <w:t>Meses 1–2</w:t>
            </w:r>
          </w:p>
        </w:tc>
        <w:tc>
          <w:tcPr>
            <w:tcW w:type="dxa" w:w="1728"/>
          </w:tcPr>
          <w:p>
            <w:r>
              <w:t>CISO / Dueños de procesos</w:t>
            </w:r>
          </w:p>
        </w:tc>
        <w:tc>
          <w:tcPr>
            <w:tcW w:type="dxa" w:w="1728"/>
          </w:tcPr>
          <w:p>
            <w:r>
              <w:t>Informe de brechas, matriz de riesgos preliminar</w:t>
            </w:r>
          </w:p>
        </w:tc>
        <w:tc>
          <w:tcPr>
            <w:tcW w:type="dxa" w:w="1728"/>
          </w:tcPr>
          <w:p>
            <w:r>
              <w:t>ISO 27001 cláus. 4–6, Ley 21.663 (obligaciones mínimas de ciberseguridad)</w:t>
            </w:r>
          </w:p>
        </w:tc>
      </w:tr>
      <w:tr>
        <w:tc>
          <w:tcPr>
            <w:tcW w:type="dxa" w:w="1728"/>
          </w:tcPr>
          <w:p>
            <w:r>
              <w:t>Diseño de controles y procesos</w:t>
            </w:r>
          </w:p>
        </w:tc>
        <w:tc>
          <w:tcPr>
            <w:tcW w:type="dxa" w:w="1728"/>
          </w:tcPr>
          <w:p>
            <w:r>
              <w:t>Meses 3–4</w:t>
            </w:r>
          </w:p>
        </w:tc>
        <w:tc>
          <w:tcPr>
            <w:tcW w:type="dxa" w:w="1728"/>
          </w:tcPr>
          <w:p>
            <w:r>
              <w:t>CISO / TI / Compliance</w:t>
            </w:r>
          </w:p>
        </w:tc>
        <w:tc>
          <w:tcPr>
            <w:tcW w:type="dxa" w:w="1728"/>
          </w:tcPr>
          <w:p>
            <w:r>
              <w:t>Modelo de controles, políticas y procedimientos</w:t>
            </w:r>
          </w:p>
        </w:tc>
        <w:tc>
          <w:tcPr>
            <w:tcW w:type="dxa" w:w="1728"/>
          </w:tcPr>
          <w:p>
            <w:r>
              <w:t>Anexo A ISO 27001, Ley 21.459 (prevención de delitos informáticos), Ley 21.719 (privacidad)</w:t>
            </w:r>
          </w:p>
        </w:tc>
      </w:tr>
      <w:tr>
        <w:tc>
          <w:tcPr>
            <w:tcW w:type="dxa" w:w="1728"/>
          </w:tcPr>
          <w:p>
            <w:r>
              <w:t>Implantación</w:t>
            </w:r>
          </w:p>
        </w:tc>
        <w:tc>
          <w:tcPr>
            <w:tcW w:type="dxa" w:w="1728"/>
          </w:tcPr>
          <w:p>
            <w:r>
              <w:t>Meses 5–10</w:t>
            </w:r>
          </w:p>
        </w:tc>
        <w:tc>
          <w:tcPr>
            <w:tcW w:type="dxa" w:w="1728"/>
          </w:tcPr>
          <w:p>
            <w:r>
              <w:t>TI / Ciberseguridad / Negocio</w:t>
            </w:r>
          </w:p>
        </w:tc>
        <w:tc>
          <w:tcPr>
            <w:tcW w:type="dxa" w:w="1728"/>
          </w:tcPr>
          <w:p>
            <w:r>
              <w:t>Controles implantados, formación, documentación actualizada</w:t>
            </w:r>
          </w:p>
        </w:tc>
        <w:tc>
          <w:tcPr>
            <w:tcW w:type="dxa" w:w="1728"/>
          </w:tcPr>
          <w:p>
            <w:r>
              <w:t>ISO 27001 cláus. 7–8, Ley 21.663 (capacidad de respuesta)</w:t>
            </w:r>
          </w:p>
        </w:tc>
      </w:tr>
      <w:tr>
        <w:tc>
          <w:tcPr>
            <w:tcW w:type="dxa" w:w="1728"/>
          </w:tcPr>
          <w:p>
            <w:r>
              <w:t>Operación y mejora</w:t>
            </w:r>
          </w:p>
        </w:tc>
        <w:tc>
          <w:tcPr>
            <w:tcW w:type="dxa" w:w="1728"/>
          </w:tcPr>
          <w:p>
            <w:r>
              <w:t>Desde mes 11</w:t>
            </w:r>
          </w:p>
        </w:tc>
        <w:tc>
          <w:tcPr>
            <w:tcW w:type="dxa" w:w="1728"/>
          </w:tcPr>
          <w:p>
            <w:r>
              <w:t>CISO / Comité</w:t>
            </w:r>
          </w:p>
        </w:tc>
        <w:tc>
          <w:tcPr>
            <w:tcW w:type="dxa" w:w="1728"/>
          </w:tcPr>
          <w:p>
            <w:r>
              <w:t>KPIs, auditorías, revisiones por la dirección</w:t>
            </w:r>
          </w:p>
        </w:tc>
        <w:tc>
          <w:tcPr>
            <w:tcW w:type="dxa" w:w="1728"/>
          </w:tcPr>
          <w:p>
            <w:r>
              <w:t>ISO 27001 cláus. 9–10, ISO 22301 seguimiento BCMS</w:t>
            </w:r>
          </w:p>
        </w:tc>
      </w:tr>
    </w:tbl>
    <w:p/>
    <w:p>
      <w:pPr>
        <w:pStyle w:val="Heading2"/>
      </w:pPr>
      <w:r>
        <w:t>Indicadores de desempeño (KPIs)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Indicador</w:t>
            </w:r>
          </w:p>
        </w:tc>
        <w:tc>
          <w:tcPr>
            <w:tcW w:type="dxa" w:w="2160"/>
          </w:tcPr>
          <w:p>
            <w:r>
              <w:t>Descripción</w:t>
            </w:r>
          </w:p>
        </w:tc>
        <w:tc>
          <w:tcPr>
            <w:tcW w:type="dxa" w:w="2160"/>
          </w:tcPr>
          <w:p>
            <w:r>
              <w:t>Meta de referencia</w:t>
            </w:r>
          </w:p>
        </w:tc>
        <w:tc>
          <w:tcPr>
            <w:tcW w:type="dxa" w:w="2160"/>
          </w:tcPr>
          <w:p>
            <w:r>
              <w:t>Fuente de datos</w:t>
            </w:r>
          </w:p>
        </w:tc>
      </w:tr>
      <w:tr>
        <w:tc>
          <w:tcPr>
            <w:tcW w:type="dxa" w:w="2160"/>
          </w:tcPr>
          <w:p>
            <w:r>
              <w:t>% de hitos cumplidos en plazo</w:t>
            </w:r>
          </w:p>
        </w:tc>
        <w:tc>
          <w:tcPr>
            <w:tcW w:type="dxa" w:w="2160"/>
          </w:tcPr>
          <w:p>
            <w:r>
              <w:t>Porcentaje de hitos del plan alcanzados conforme a la planificación.</w:t>
            </w:r>
          </w:p>
        </w:tc>
        <w:tc>
          <w:tcPr>
            <w:tcW w:type="dxa" w:w="2160"/>
          </w:tcPr>
          <w:p>
            <w:r>
              <w:t>≥ 85% anual</w:t>
            </w:r>
          </w:p>
        </w:tc>
        <w:tc>
          <w:tcPr>
            <w:tcW w:type="dxa" w:w="2160"/>
          </w:tcPr>
          <w:p>
            <w:r>
              <w:t>Herramienta de seguimiento de proyectos</w:t>
            </w:r>
          </w:p>
        </w:tc>
      </w:tr>
      <w:tr>
        <w:tc>
          <w:tcPr>
            <w:tcW w:type="dxa" w:w="2160"/>
          </w:tcPr>
          <w:p>
            <w:r>
              <w:t>% de brechas críticas cerradas</w:t>
            </w:r>
          </w:p>
        </w:tc>
        <w:tc>
          <w:tcPr>
            <w:tcW w:type="dxa" w:w="2160"/>
          </w:tcPr>
          <w:p>
            <w:r>
              <w:t>Proporción de brechas críticas frente a ISO/Leyes mitigadas en el periodo.</w:t>
            </w:r>
          </w:p>
        </w:tc>
        <w:tc>
          <w:tcPr>
            <w:tcW w:type="dxa" w:w="2160"/>
          </w:tcPr>
          <w:p>
            <w:r>
              <w:t>≥ 90% en 12 meses</w:t>
            </w:r>
          </w:p>
        </w:tc>
        <w:tc>
          <w:tcPr>
            <w:tcW w:type="dxa" w:w="2160"/>
          </w:tcPr>
          <w:p>
            <w:r>
              <w:t>Informe de brechas y Plan de Mitigación (PLAN-MIT-007)</w:t>
            </w:r>
          </w:p>
        </w:tc>
      </w:tr>
    </w:tbl>
    <w:p>
      <w:pPr>
        <w:pStyle w:val="Heading2"/>
      </w:pPr>
      <w:r>
        <w:t>Relación con otros documentos del SGSI</w:t>
      </w:r>
    </w:p>
    <w:p>
      <w:r>
        <w:t>Este documento se integra en el Sistema de Gestión de Seguridad de la Información de InnovaServicios Digitales S.A. y se relaciona directamente con los siguientes documentos de referencia:</w:t>
        <w:br/>
        <w:br/>
        <w:t>- PSI-001-NN – Política de Seguridad de la Información.</w:t>
        <w:br/>
        <w:t>- MET-RIS-005 – Metodología de Evaluación y Tratamiento de Riesgos.</w:t>
        <w:br/>
        <w:t>- PROC-SOA-006 – Declaración de Aplicabilidad (SoA).</w:t>
        <w:br/>
        <w:t>- PLAN-MIT-007 – Plan de Mitigación de Riesgos.</w:t>
        <w:br/>
        <w:t>- POL-CDN-017 / POL-CON-018 – Continuidad del Negocio.</w:t>
        <w:br/>
        <w:t>- Documentación interna específica del proceso al que da soporte.</w:t>
      </w:r>
    </w:p>
    <w:p>
      <w:pPr>
        <w:pStyle w:val="Heading2"/>
      </w:pPr>
      <w:r>
        <w:t>Registros asociados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Código</w:t>
            </w:r>
          </w:p>
        </w:tc>
        <w:tc>
          <w:tcPr>
            <w:tcW w:type="dxa" w:w="1728"/>
          </w:tcPr>
          <w:p>
            <w:r>
              <w:t>Nombre del registro</w:t>
            </w:r>
          </w:p>
        </w:tc>
        <w:tc>
          <w:tcPr>
            <w:tcW w:type="dxa" w:w="1728"/>
          </w:tcPr>
          <w:p>
            <w:r>
              <w:t>Responsable</w:t>
            </w:r>
          </w:p>
        </w:tc>
        <w:tc>
          <w:tcPr>
            <w:tcW w:type="dxa" w:w="1728"/>
          </w:tcPr>
          <w:p>
            <w:r>
              <w:t>Plazo de retención</w:t>
            </w:r>
          </w:p>
        </w:tc>
        <w:tc>
          <w:tcPr>
            <w:tcW w:type="dxa" w:w="1728"/>
          </w:tcPr>
          <w:p>
            <w:r>
              <w:t>Soporte</w:t>
            </w:r>
          </w:p>
        </w:tc>
      </w:tr>
      <w:tr>
        <w:tc>
          <w:tcPr>
            <w:tcW w:type="dxa" w:w="1728"/>
          </w:tcPr>
          <w:p>
            <w:r>
              <w:t>REG-012</w:t>
            </w:r>
          </w:p>
        </w:tc>
        <w:tc>
          <w:tcPr>
            <w:tcW w:type="dxa" w:w="1728"/>
          </w:tcPr>
          <w:p>
            <w:r>
              <w:t>Registro de aplicación del documento PLAN-FOR-012 – Plan de Formación y Concienciación</w:t>
            </w:r>
          </w:p>
        </w:tc>
        <w:tc>
          <w:tcPr>
            <w:tcW w:type="dxa" w:w="1728"/>
          </w:tcPr>
          <w:p>
            <w:r>
              <w:t>Dueño del proceso / CISO</w:t>
            </w:r>
          </w:p>
        </w:tc>
        <w:tc>
          <w:tcPr>
            <w:tcW w:type="dxa" w:w="1728"/>
          </w:tcPr>
          <w:p>
            <w:r>
              <w:t>5 años desde su emisión o según requisito legal vigente</w:t>
            </w:r>
          </w:p>
        </w:tc>
        <w:tc>
          <w:tcPr>
            <w:tcW w:type="dxa" w:w="1728"/>
          </w:tcPr>
          <w:p>
            <w:r>
              <w:t>Digital en repositorio corporativo SGSI / Herramienta GRC</w:t>
            </w:r>
          </w:p>
        </w:tc>
      </w:tr>
    </w:tbl>
    <w:p>
      <w:pPr>
        <w:pStyle w:val="Heading1"/>
      </w:pPr>
      <w:r>
        <w:t>Glosario específico</w:t>
      </w:r>
    </w:p>
    <w:p>
      <w:r>
        <w:t>- SGSI: Sistema de Gestión de Seguridad de la Información.</w:t>
      </w:r>
    </w:p>
    <w:p>
      <w:r>
        <w:t>- BCMS: Sistema de Gestión de Continuidad del Negocio.</w:t>
      </w:r>
    </w:p>
    <w:p>
      <w:r>
        <w:t>- CISO: Oficial de Seguridad de la Información.</w:t>
      </w:r>
    </w:p>
    <w:p>
      <w:r>
        <w:t>- DPO: Delegado de Protección de Datos.</w:t>
      </w:r>
    </w:p>
    <w:p>
      <w:r>
        <w:t>- SoA: Declaración de Aplicabilidad.</w:t>
      </w:r>
    </w:p>
    <w:p>
      <w:r>
        <w:t>- BIA: Análisis de Impacto en el Negocio.</w:t>
      </w:r>
    </w:p>
    <w:p>
      <w:r>
        <w:t>- RTO/RPO: Objetivos de Tiempo y Punto de Recuperación.</w:t>
      </w:r>
    </w:p>
    <w:p>
      <w:r>
        <w:t>- CIA: Confidencialidad, Integridad y Disponibilidad.</w:t>
      </w:r>
    </w:p>
    <w:p>
      <w:pPr>
        <w:pStyle w:val="Heading1"/>
      </w:pPr>
      <w:r>
        <w:t>Referencias normativas y bibliografía</w:t>
      </w:r>
    </w:p>
    <w:p>
      <w:r>
        <w:t>- ISO/IEC 27001:2022 – Sistemas de gestión de seguridad de la información – Requisitos.</w:t>
      </w:r>
    </w:p>
    <w:p>
      <w:r>
        <w:t>- ISO 22301:2019 – Seguridad y resiliencia – Sistemas de gestión de la continuidad del negocio – Requisitos.</w:t>
      </w:r>
    </w:p>
    <w:p>
      <w:r>
        <w:t>- ISO 31000 – Gestión del riesgo – Directrices.</w:t>
      </w:r>
    </w:p>
    <w:p>
      <w:r>
        <w:t>- Buenas prácticas de Compliance corporativo y gestión de riesgos de cumplimiento.</w:t>
      </w:r>
    </w:p>
    <w:p>
      <w:r>
        <w:t>- Ley 21.459 – Delitos informáticos.</w:t>
      </w:r>
    </w:p>
    <w:p>
      <w:r>
        <w:t>- Ley 21.663 – Ley Marco de Ciberseguridad.</w:t>
      </w:r>
    </w:p>
    <w:p>
      <w:r>
        <w:t>- Ley 21.719 – Protección y tratamiento de datos personales.</w:t>
      </w:r>
    </w:p>
    <w:p>
      <w:r>
        <w:t>- Documentos internos de seguridad, continuidad y Compliance de la organización.</w:t>
      </w:r>
    </w:p>
    <w:p>
      <w:r>
        <w:t>- Literatura Compliance (1).pdf – Marco conceptual y buenas prácticas de Compliance corporativo.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