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Política de Continuidad</w:t>
      </w:r>
    </w:p>
    <w:p>
      <w:pPr>
        <w:jc w:val="center"/>
      </w:pPr>
      <w:r>
        <w:rPr>
          <w:i/>
          <w:sz w:val="22"/>
        </w:rPr>
        <w:t>InnovaServicios Digitales S.A. – POL-CON-018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POL-CON-018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define la política de continuidad de InnovaServicios Digitales S.A.. proporcionar el marco global de continuidad para procesos, servicios y recursos críticos de la organización. Se integra en el Sistema de Gestión de Seguridad de la Información (SGSI) y en el Sistema de Gestión de Continuidad del Negocio (BCMS), alineado con las normas ISO/IEC 27001 e ISO 22301, así como con el programa de Compliance corporativo y la legislación chilena vigente (Leyes 21.459, 21.663 y 21.719).</w:t>
      </w:r>
    </w:p>
    <w:p>
      <w:pPr>
        <w:pStyle w:val="Heading1"/>
      </w:pPr>
      <w:r>
        <w:t>2. Alcance</w:t>
      </w:r>
    </w:p>
    <w:p>
      <w:r>
        <w:t>Esta política aplica a todas las unidades organizacionales, procesos, personas y activos de información que participan en la prestación de servicios, operación de infraestructuras y tratamiento de datos personales o sensibles bajo responsabilidad de la organización, incluyendo servicios alojados en data centers propios o en nubes públicas.</w:t>
      </w:r>
    </w:p>
    <w:p>
      <w:pPr>
        <w:pStyle w:val="Heading1"/>
      </w:pPr>
      <w:r>
        <w:t>3. Marco normativo y de Compliance</w:t>
      </w:r>
    </w:p>
    <w:p>
      <w:r>
        <w:t>La política se basa en los requisitos de las normas ISO/IEC 27001:2022 (cláusulas 4–10 y Anexo A) e ISO 22301:2019, en el enfoque de gestión de riesgos descrito en ISO 31000 y en el programa de Compliance corporativo. Incorporar las exigencias de la Ley 21.459 (delitos informáticos), Ley 21.663 (ciberseguridad) y Ley 21.719 (protección de datos personales) permite asegurar un marco coherente de prevención, detección, respuesta y reporte frente a incidentes y obligaciones regulatorias.</w:t>
      </w:r>
    </w:p>
    <w:p>
      <w:pPr>
        <w:pStyle w:val="Heading1"/>
      </w:pPr>
      <w:r>
        <w:t>4. Principios</w:t>
      </w:r>
    </w:p>
    <w:p>
      <w:r>
        <w:t>La organización adopta, entre otros, los siguientes principios rectores:</w:t>
      </w:r>
    </w:p>
    <w:p>
      <w:r>
        <w:t>- Confidencialidad: la información solo será accesible a personas, sistemas o procesos autorizados.</w:t>
        <w:br/>
        <w:t>- Integridad: se protegerá la exactitud, completitud y trazabilidad de la información.</w:t>
        <w:br/>
        <w:t>- Disponibilidad: se garantizará la continuidad razonable de los servicios y el acceso oportuno a los activos críticos.</w:t>
        <w:br/>
        <w:t>- Privacidad y protección de datos: se respetarán los derechos de los titulares y los principios de tratamiento leal, transparente y proporcional.</w:t>
        <w:br/>
        <w:t>- Legalidad y ética: se cumplirán leyes, regulaciones, contratos y normas internas, promoviendo una cultura de cumplimiento y tolerancia cero frente a conductas ilícitas.</w:t>
        <w:br/>
        <w:t>- Mejora continua: se revisará periódicamente el desempeño del SGSI/BCMS, incorporando lecciones aprendidas y cambios en el contexto de amenazas.</w:t>
      </w:r>
    </w:p>
    <w:p>
      <w:pPr>
        <w:pStyle w:val="Heading1"/>
      </w:pPr>
      <w:r>
        <w:t>5. Roles y responsabilidades</w:t>
      </w:r>
    </w:p>
    <w:p>
      <w:r>
        <w:t>La Gerencia General es responsable de aprobar la política y proporcionar recursos. El CISO lidera la implantación, seguimiento y mejora. El Oficial de Compliance y el DPO supervisan el cumplimiento normativo y de privacidad. Los dueños de proceso son responsables de aplicar los controles en su ámbito. Todos los colaboradores deben conocer la política, cumplirla y reportar cualquier incidente, debilidad o incumplimiento detectado.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Aprobación de políticas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Difusión de políticas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Revisión periódica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colaboradores formados</w:t>
            </w:r>
          </w:p>
        </w:tc>
        <w:tc>
          <w:tcPr>
            <w:tcW w:type="dxa" w:w="2160"/>
          </w:tcPr>
          <w:p>
            <w:r>
              <w:t>Porcentaje de colaboradores que han completado la formación anual en seguridad y Compliance.</w:t>
            </w:r>
          </w:p>
        </w:tc>
        <w:tc>
          <w:tcPr>
            <w:tcW w:type="dxa" w:w="2160"/>
          </w:tcPr>
          <w:p>
            <w:r>
              <w:t>≥ 95% anual</w:t>
            </w:r>
          </w:p>
        </w:tc>
        <w:tc>
          <w:tcPr>
            <w:tcW w:type="dxa" w:w="2160"/>
          </w:tcPr>
          <w:p>
            <w:r>
              <w:t>Registros del Plan de Formación (PLAN-FOR-012)</w:t>
            </w:r>
          </w:p>
        </w:tc>
      </w:tr>
      <w:tr>
        <w:tc>
          <w:tcPr>
            <w:tcW w:type="dxa" w:w="2160"/>
          </w:tcPr>
          <w:p>
            <w:r>
              <w:t>Número de incumplimientos detectados</w:t>
            </w:r>
          </w:p>
        </w:tc>
        <w:tc>
          <w:tcPr>
            <w:tcW w:type="dxa" w:w="2160"/>
          </w:tcPr>
          <w:p>
            <w:r>
              <w:t>Incidentes asociados a vulneración de la política.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incidentes (PROC-GIP-016) y auditorías internas</w:t>
            </w:r>
          </w:p>
        </w:tc>
      </w:tr>
    </w:tbl>
    <w:p>
      <w:pPr>
        <w:pStyle w:val="Heading1"/>
      </w:pPr>
      <w:r>
        <w:t>6. Cumplimiento, sanciones y excepciones</w:t>
      </w:r>
    </w:p>
    <w:p>
      <w:r>
        <w:t>El incumplimiento de esta política podrá dar lugar a medidas disciplinarias internas, acciones legales o contractuales. Las excepciones deberán ser solicitadas por escrito, evaluadas desde la perspectiva de riesgos y aprobadas por el CISO y la Gerencia General, manteniendo un registro actualizado de tales excepciones y su justificación.</w:t>
      </w:r>
    </w:p>
    <w:p>
      <w:pPr>
        <w:pStyle w:val="Heading1"/>
      </w:pPr>
      <w:r>
        <w:t>7. Revisión y vigencia</w:t>
      </w:r>
    </w:p>
    <w:p>
      <w:r>
        <w:t>La política se revisará al menos anualmente o cuando existan cambios significativos en el contexto tecnológico, regulatorio o de negocio. Toda revisión deberá quedar documentada en el historial de cambios y en las actas de revisión por la dirección.</w:t>
      </w:r>
    </w:p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REG-018</w:t>
            </w:r>
          </w:p>
        </w:tc>
        <w:tc>
          <w:tcPr>
            <w:tcW w:type="dxa" w:w="1728"/>
          </w:tcPr>
          <w:p>
            <w:r>
              <w:t>Registro de aplicación del documento POL-CON-018 – Política de Continuidad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