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Procedimiento para el Control de Documentos y Registros</w:t>
      </w:r>
    </w:p>
    <w:p>
      <w:pPr>
        <w:jc w:val="center"/>
      </w:pPr>
      <w:r>
        <w:rPr>
          <w:i/>
          <w:sz w:val="22"/>
        </w:rPr>
        <w:t>InnovaServicios Digitales S.A. – POL-PDR-002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POL-PDR-002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gestionar la creación, revisión, aprobación, distribución, archivo y disposición final de los documentos y registros del sgsi y del bcms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REG-002</w:t>
            </w:r>
          </w:p>
        </w:tc>
        <w:tc>
          <w:tcPr>
            <w:tcW w:type="dxa" w:w="1728"/>
          </w:tcPr>
          <w:p>
            <w:r>
              <w:t>Registro de aplicación del documento POL-PDR-002 – Procedimiento para el Control de Documentos y Registros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