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Procedimiento de Gestión de Configuración (CMDB)</w:t>
      </w:r>
    </w:p>
    <w:p>
      <w:pPr>
        <w:jc w:val="center"/>
      </w:pPr>
      <w:r>
        <w:rPr>
          <w:i/>
          <w:sz w:val="22"/>
        </w:rPr>
        <w:t>InnovaServicios Digitales S.A. – PROC-CMDB-014</w:t>
      </w:r>
    </w:p>
    <w:p/>
    <w:p>
      <w:pPr>
        <w:pStyle w:val="Heading1"/>
      </w:pPr>
      <w:r>
        <w:t>Control del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PROC-CMDB-014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19-11-2025</w:t>
            </w:r>
          </w:p>
        </w:tc>
      </w:tr>
      <w:tr>
        <w:tc>
          <w:tcPr>
            <w:tcW w:type="dxa" w:w="4320"/>
          </w:tcPr>
          <w:p>
            <w:r>
              <w:t>Clasificación</w:t>
            </w:r>
          </w:p>
        </w:tc>
        <w:tc>
          <w:tcPr>
            <w:tcW w:type="dxa" w:w="4320"/>
          </w:tcPr>
          <w:p>
            <w:r>
              <w:t>Uso Interno / Confidencial</w:t>
            </w:r>
          </w:p>
        </w:tc>
      </w:tr>
      <w:tr>
        <w:tc>
          <w:tcPr>
            <w:tcW w:type="dxa" w:w="4320"/>
          </w:tcPr>
          <w:p>
            <w:r>
              <w:t>Elaborado por</w:t>
            </w:r>
          </w:p>
        </w:tc>
        <w:tc>
          <w:tcPr>
            <w:tcW w:type="dxa" w:w="4320"/>
          </w:tcPr>
          <w:p>
            <w:r>
              <w:t>Oficial de Seguridad de la Información (CISO)</w:t>
            </w:r>
          </w:p>
        </w:tc>
      </w:tr>
      <w:tr>
        <w:tc>
          <w:tcPr>
            <w:tcW w:type="dxa" w:w="4320"/>
          </w:tcPr>
          <w:p>
            <w:r>
              <w:t>Revisado por</w:t>
            </w:r>
          </w:p>
        </w:tc>
        <w:tc>
          <w:tcPr>
            <w:tcW w:type="dxa" w:w="4320"/>
          </w:tcPr>
          <w:p>
            <w:r>
              <w:t>Oficial de Compliance / DPO</w:t>
            </w:r>
          </w:p>
        </w:tc>
      </w:tr>
      <w:tr>
        <w:tc>
          <w:tcPr>
            <w:tcW w:type="dxa" w:w="4320"/>
          </w:tcPr>
          <w:p>
            <w:r>
              <w:t>Aprobado por</w:t>
            </w:r>
          </w:p>
        </w:tc>
        <w:tc>
          <w:tcPr>
            <w:tcW w:type="dxa" w:w="4320"/>
          </w:tcPr>
          <w:p>
            <w:r>
              <w:t>Gerencia General / Comité de Seguridad de la Información</w:t>
            </w:r>
          </w:p>
        </w:tc>
      </w:tr>
    </w:tbl>
    <w:p/>
    <w:p>
      <w:pPr>
        <w:pStyle w:val="Heading1"/>
      </w:pPr>
      <w:r>
        <w:t>Historial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Versión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Descripción del cambio</w:t>
            </w:r>
          </w:p>
        </w:tc>
        <w:tc>
          <w:tcPr>
            <w:tcW w:type="dxa" w:w="1728"/>
          </w:tcPr>
          <w:p>
            <w:r>
              <w:t>Elaborado por</w:t>
            </w:r>
          </w:p>
        </w:tc>
        <w:tc>
          <w:tcPr>
            <w:tcW w:type="dxa" w:w="1728"/>
          </w:tcPr>
          <w:p>
            <w:r>
              <w:t>Aprobado por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19-11-2025</w:t>
            </w:r>
          </w:p>
        </w:tc>
        <w:tc>
          <w:tcPr>
            <w:tcW w:type="dxa" w:w="1728"/>
          </w:tcPr>
          <w:p>
            <w:r>
              <w:t>Emisión inicial del documento.</w:t>
            </w:r>
          </w:p>
        </w:tc>
        <w:tc>
          <w:tcPr>
            <w:tcW w:type="dxa" w:w="1728"/>
          </w:tcPr>
          <w:p>
            <w:r>
              <w:t>CISO</w:t>
            </w:r>
          </w:p>
        </w:tc>
        <w:tc>
          <w:tcPr>
            <w:tcW w:type="dxa" w:w="1728"/>
          </w:tcPr>
          <w:p>
            <w:r>
              <w:t>Gerencia General</w:t>
            </w:r>
          </w:p>
        </w:tc>
      </w:tr>
    </w:tbl>
    <w:p/>
    <w:p>
      <w:pPr>
        <w:pStyle w:val="Heading1"/>
      </w:pPr>
      <w:r>
        <w:t>1. Objeto</w:t>
      </w:r>
    </w:p>
    <w:p>
      <w:r>
        <w:t>El presente procedimiento establece cómo gestionar los elementos de configuración de infraestructura y aplicaciones en una cmdb, manteniendo trazabilidad de cambios en el contexto del SGSI y, cuando proceda, del BCMS de InnovaServicios Digitales S.A..</w:t>
      </w:r>
    </w:p>
    <w:p>
      <w:pPr>
        <w:pStyle w:val="Heading1"/>
      </w:pPr>
      <w:r>
        <w:t>2. Alcance</w:t>
      </w:r>
    </w:p>
    <w:p>
      <w:r>
        <w:t>Este procedimiento aplica a todos los procesos, áreas y colaboradores que intervienen en las actividades descritas, incluyendo unidades de negocio, TI, Ciberseguridad, Compliance, Riesgos y cualquier tercero relevante.</w:t>
      </w:r>
    </w:p>
    <w:p>
      <w:pPr>
        <w:pStyle w:val="Heading1"/>
      </w:pPr>
      <w:r>
        <w:t>3. Definiciones</w:t>
      </w:r>
    </w:p>
    <w:p>
      <w:r>
        <w:t>Se aplican las definiciones generales del glosario corporativo y, adicionalmente:</w:t>
      </w:r>
    </w:p>
    <w:p>
      <w:r>
        <w:t>- Procedimiento: documento que describe la forma especificada de realizar una actividad o proceso.</w:t>
        <w:br/>
        <w:t>- Registro: evidencia objetiva de la ejecución de una actividad o del logro de un resultado.</w:t>
        <w:br/>
        <w:t>- Aprobador: rol con autoridad para validar el contenido y autorizar la entrada en vigor del procedimiento.</w:t>
      </w:r>
    </w:p>
    <w:p>
      <w:pPr>
        <w:pStyle w:val="Heading1"/>
      </w:pPr>
      <w:r>
        <w:t>4. Roles y responsabilidades</w:t>
      </w:r>
    </w:p>
    <w:p>
      <w:r>
        <w:t>La Gerencia General respalda la aplicación del procedimiento. El CISO y el Oficial de Compliance verifican la consistencia y alineamiento con normas y leyes aplicables. Los dueños de proceso implementan y mantienen el procedimiento en su ámbito, asegurando la generación y conservación de registros. Auditoría interna revisa su eficacia como parte del programa de auditorías.</w:t>
      </w:r>
    </w:p>
    <w:p>
      <w:pPr>
        <w:pStyle w:val="Heading2"/>
      </w:pPr>
      <w:r>
        <w:t>Matriz RACI (Responsabilidades)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Actividad</w:t>
            </w:r>
          </w:p>
        </w:tc>
        <w:tc>
          <w:tcPr>
            <w:tcW w:type="dxa" w:w="1440"/>
          </w:tcPr>
          <w:p>
            <w:r>
              <w:t>Gerencia</w:t>
            </w:r>
          </w:p>
        </w:tc>
        <w:tc>
          <w:tcPr>
            <w:tcW w:type="dxa" w:w="1440"/>
          </w:tcPr>
          <w:p>
            <w:r>
              <w:t>CISO</w:t>
            </w:r>
          </w:p>
        </w:tc>
        <w:tc>
          <w:tcPr>
            <w:tcW w:type="dxa" w:w="1440"/>
          </w:tcPr>
          <w:p>
            <w:r>
              <w:t>Dueños de proceso</w:t>
            </w:r>
          </w:p>
        </w:tc>
        <w:tc>
          <w:tcPr>
            <w:tcW w:type="dxa" w:w="1440"/>
          </w:tcPr>
          <w:p>
            <w:r>
              <w:t>TI / Ciberseguridad</w:t>
            </w:r>
          </w:p>
        </w:tc>
        <w:tc>
          <w:tcPr>
            <w:tcW w:type="dxa" w:w="1440"/>
          </w:tcPr>
          <w:p>
            <w:r>
              <w:t>Compliance / DPO</w:t>
            </w:r>
          </w:p>
        </w:tc>
      </w:tr>
      <w:tr>
        <w:tc>
          <w:tcPr>
            <w:tcW w:type="dxa" w:w="1440"/>
          </w:tcPr>
          <w:p>
            <w:r>
              <w:t>Actualización del procedimiento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Ejecución de actividades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Seguimiento de cumplimiento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</w:t>
            </w:r>
          </w:p>
        </w:tc>
      </w:tr>
    </w:tbl>
    <w:p>
      <w:pPr>
        <w:pStyle w:val="Heading1"/>
      </w:pPr>
      <w:r>
        <w:t>5. Descripción del procedimiento</w:t>
      </w:r>
    </w:p>
    <w:p>
      <w:r>
        <w:t>El procedimiento se desarrolla en etapas, que deberán describirse de forma detallada en sus anexos operativos. De forma general, se contemplan etapas de planificación, ejecución, verificación y mejora, siguiendo el ciclo PDCA. Cada etapa debe identificar entradas, actividades, salidas, responsables y registros asociados.</w:t>
      </w:r>
    </w:p>
    <w:p>
      <w:pPr>
        <w:pStyle w:val="Heading1"/>
      </w:pPr>
      <w:r>
        <w:t>6. Control de documentos y registros</w:t>
      </w:r>
    </w:p>
    <w:p>
      <w:r>
        <w:t>Todos los documentos generados o utilizados en la aplicación de este procedimiento deberán seguir el “Procedimiento para el Control de Documentos y Registros” (POL-PDR-002), manteniendo trazabilidad de versiones, autores, aprobadores y fechas de revisión. Los registros se conservarán en los plazos definidos por la normativa y el programa de Compliance.</w:t>
      </w:r>
    </w:p>
    <w:p>
      <w:pPr>
        <w:pStyle w:val="Heading2"/>
      </w:pPr>
      <w:r>
        <w:t>Indicadores de desempeño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Indicador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Meta de referencia</w:t>
            </w:r>
          </w:p>
        </w:tc>
        <w:tc>
          <w:tcPr>
            <w:tcW w:type="dxa" w:w="2160"/>
          </w:tcPr>
          <w:p>
            <w:r>
              <w:t>Fuente de datos</w:t>
            </w:r>
          </w:p>
        </w:tc>
      </w:tr>
      <w:tr>
        <w:tc>
          <w:tcPr>
            <w:tcW w:type="dxa" w:w="2160"/>
          </w:tcPr>
          <w:p>
            <w:r>
              <w:t>% de actividades ejecutadas según procedimiento</w:t>
            </w:r>
          </w:p>
        </w:tc>
        <w:tc>
          <w:tcPr>
            <w:tcW w:type="dxa" w:w="2160"/>
          </w:tcPr>
          <w:p>
            <w:r>
              <w:t>Proporción de actividades críticas realizadas conforme a lo descrito en el procedimiento.</w:t>
            </w:r>
          </w:p>
        </w:tc>
        <w:tc>
          <w:tcPr>
            <w:tcW w:type="dxa" w:w="2160"/>
          </w:tcPr>
          <w:p>
            <w:r>
              <w:t>≥ 90% por periodo</w:t>
            </w:r>
          </w:p>
        </w:tc>
        <w:tc>
          <w:tcPr>
            <w:tcW w:type="dxa" w:w="2160"/>
          </w:tcPr>
          <w:p>
            <w:r>
              <w:t>Listas de verificación, registros operativos</w:t>
            </w:r>
          </w:p>
        </w:tc>
      </w:tr>
      <w:tr>
        <w:tc>
          <w:tcPr>
            <w:tcW w:type="dxa" w:w="2160"/>
          </w:tcPr>
          <w:p>
            <w:r>
              <w:t>Nº de no conformidades en auditoría</w:t>
            </w:r>
          </w:p>
        </w:tc>
        <w:tc>
          <w:tcPr>
            <w:tcW w:type="dxa" w:w="2160"/>
          </w:tcPr>
          <w:p>
            <w:r>
              <w:t>Desviaciones relacionadas con la falta de aplicación del procedimiento.</w:t>
            </w:r>
          </w:p>
        </w:tc>
        <w:tc>
          <w:tcPr>
            <w:tcW w:type="dxa" w:w="2160"/>
          </w:tcPr>
          <w:p>
            <w:r>
              <w:t>Tendencia decreciente</w:t>
            </w:r>
          </w:p>
        </w:tc>
        <w:tc>
          <w:tcPr>
            <w:tcW w:type="dxa" w:w="2160"/>
          </w:tcPr>
          <w:p>
            <w:r>
              <w:t>Informes de auditoría interna (INST-AUD-021)</w:t>
            </w:r>
          </w:p>
        </w:tc>
      </w:tr>
    </w:tbl>
    <w:p>
      <w:pPr>
        <w:pStyle w:val="Heading2"/>
      </w:pPr>
      <w:r>
        <w:t>Relación con otros documentos del SGSI</w:t>
      </w:r>
    </w:p>
    <w:p>
      <w:r>
        <w:t>Este documento se integra en el Sistema de Gestión de Seguridad de la Información de InnovaServicios Digitales S.A. y se relaciona directamente con los siguientes documentos de referencia:</w:t>
        <w:br/>
        <w:br/>
        <w:t>- PSI-001-NN – Política de Seguridad de la Información.</w:t>
        <w:br/>
        <w:t>- MET-RIS-005 – Metodología de Evaluación y Tratamiento de Riesgos.</w:t>
        <w:br/>
        <w:t>- PROC-SOA-006 – Declaración de Aplicabilidad (SoA).</w:t>
        <w:br/>
        <w:t>- PLAN-MIT-007 – Plan de Mitigación de Riesgos.</w:t>
        <w:br/>
        <w:t>- POL-CDN-017 / POL-CON-018 – Continuidad del Negocio.</w:t>
        <w:br/>
        <w:t>- Documentación interna específica del proceso al que da soporte.</w:t>
      </w:r>
    </w:p>
    <w:p>
      <w:pPr>
        <w:pStyle w:val="Heading2"/>
      </w:pPr>
      <w:r>
        <w:t>Registros asociados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Código</w:t>
            </w:r>
          </w:p>
        </w:tc>
        <w:tc>
          <w:tcPr>
            <w:tcW w:type="dxa" w:w="1728"/>
          </w:tcPr>
          <w:p>
            <w:r>
              <w:t>Nombre del registro</w:t>
            </w:r>
          </w:p>
        </w:tc>
        <w:tc>
          <w:tcPr>
            <w:tcW w:type="dxa" w:w="1728"/>
          </w:tcPr>
          <w:p>
            <w:r>
              <w:t>Responsable</w:t>
            </w:r>
          </w:p>
        </w:tc>
        <w:tc>
          <w:tcPr>
            <w:tcW w:type="dxa" w:w="1728"/>
          </w:tcPr>
          <w:p>
            <w:r>
              <w:t>Plazo de retención</w:t>
            </w:r>
          </w:p>
        </w:tc>
        <w:tc>
          <w:tcPr>
            <w:tcW w:type="dxa" w:w="1728"/>
          </w:tcPr>
          <w:p>
            <w:r>
              <w:t>Soporte</w:t>
            </w:r>
          </w:p>
        </w:tc>
      </w:tr>
      <w:tr>
        <w:tc>
          <w:tcPr>
            <w:tcW w:type="dxa" w:w="1728"/>
          </w:tcPr>
          <w:p>
            <w:r>
              <w:t>REG-014</w:t>
            </w:r>
          </w:p>
        </w:tc>
        <w:tc>
          <w:tcPr>
            <w:tcW w:type="dxa" w:w="1728"/>
          </w:tcPr>
          <w:p>
            <w:r>
              <w:t>Registro de aplicación del documento PROC-CMDB-014 – Procedimiento de Gestión de Configuración (CMDB)</w:t>
            </w:r>
          </w:p>
        </w:tc>
        <w:tc>
          <w:tcPr>
            <w:tcW w:type="dxa" w:w="1728"/>
          </w:tcPr>
          <w:p>
            <w:r>
              <w:t>Dueño del proceso / CISO</w:t>
            </w:r>
          </w:p>
        </w:tc>
        <w:tc>
          <w:tcPr>
            <w:tcW w:type="dxa" w:w="1728"/>
          </w:tcPr>
          <w:p>
            <w:r>
              <w:t>5 años desde su emisión o según requisito legal vigente</w:t>
            </w:r>
          </w:p>
        </w:tc>
        <w:tc>
          <w:tcPr>
            <w:tcW w:type="dxa" w:w="1728"/>
          </w:tcPr>
          <w:p>
            <w:r>
              <w:t>Digital en repositorio corporativo SGSI / Herramienta GRC</w:t>
            </w:r>
          </w:p>
        </w:tc>
      </w:tr>
    </w:tbl>
    <w:p>
      <w:pPr>
        <w:pStyle w:val="Heading1"/>
      </w:pPr>
      <w:r>
        <w:t>Glosario específico</w:t>
      </w:r>
    </w:p>
    <w:p>
      <w:r>
        <w:t>- SGSI: Sistema de Gestión de Seguridad de la Información.</w:t>
      </w:r>
    </w:p>
    <w:p>
      <w:r>
        <w:t>- BCMS: Sistema de Gestión de Continuidad del Negocio.</w:t>
      </w:r>
    </w:p>
    <w:p>
      <w:r>
        <w:t>- CISO: Oficial de Seguridad de la Información.</w:t>
      </w:r>
    </w:p>
    <w:p>
      <w:r>
        <w:t>- DPO: Delegado de Protección de Datos.</w:t>
      </w:r>
    </w:p>
    <w:p>
      <w:r>
        <w:t>- SoA: Declaración de Aplicabilidad.</w:t>
      </w:r>
    </w:p>
    <w:p>
      <w:r>
        <w:t>- BIA: Análisis de Impacto en el Negocio.</w:t>
      </w:r>
    </w:p>
    <w:p>
      <w:r>
        <w:t>- RTO/RPO: Objetivos de Tiempo y Punto de Recuperación.</w:t>
      </w:r>
    </w:p>
    <w:p>
      <w:r>
        <w:t>- CIA: Confidencialidad, Integridad y Disponibilidad.</w:t>
      </w:r>
    </w:p>
    <w:p>
      <w:pPr>
        <w:pStyle w:val="Heading1"/>
      </w:pPr>
      <w:r>
        <w:t>Referencias normativas y bibliografía</w:t>
      </w:r>
    </w:p>
    <w:p>
      <w:r>
        <w:t>- ISO/IEC 27001:2022 – Sistemas de gestión de seguridad de la información – Requisitos.</w:t>
      </w:r>
    </w:p>
    <w:p>
      <w:r>
        <w:t>- ISO 22301:2019 – Seguridad y resiliencia – Sistemas de gestión de la continuidad del negocio – Requisitos.</w:t>
      </w:r>
    </w:p>
    <w:p>
      <w:r>
        <w:t>- ISO 31000 – Gestión del riesgo – Directrices.</w:t>
      </w:r>
    </w:p>
    <w:p>
      <w:r>
        <w:t>- Buenas prácticas de Compliance corporativo y gestión de riesgos de cumplimiento.</w:t>
      </w:r>
    </w:p>
    <w:p>
      <w:r>
        <w:t>- Ley 21.459 – Delitos informáticos.</w:t>
      </w:r>
    </w:p>
    <w:p>
      <w:r>
        <w:t>- Ley 21.663 – Ley Marco de Ciberseguridad.</w:t>
      </w:r>
    </w:p>
    <w:p>
      <w:r>
        <w:t>- Ley 21.719 – Protección y tratamiento de datos personales.</w:t>
      </w:r>
    </w:p>
    <w:p>
      <w:r>
        <w:t>- Documentos internos de seguridad, continuidad y Compliance de la organización.</w:t>
      </w:r>
    </w:p>
    <w:p>
      <w:r>
        <w:t>- Literatura Compliance (1).pdf – Marco conceptual y buenas prácticas de Compliance corporativo.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