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Declaración de Confidencialidad y Privacidad (NDA) - Empleados</w:t>
      </w:r>
    </w:p>
    <w:p>
      <w:pPr>
        <w:jc w:val="center"/>
      </w:pPr>
      <w:r>
        <w:rPr>
          <w:i/>
          <w:sz w:val="22"/>
        </w:rPr>
        <w:t>InnovaServicios Digitales S.A. – PROC-DCP-010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PROC-DCP-010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procedimiento establece cómo formalizar los compromisos de confidencialidad, uso adecuado de la información y protección de datos personales por parte de empleados y colaboradores en el contexto del SGSI y, cuando proceda, del BCMS de InnovaServicios Digitales S.A..</w:t>
      </w:r>
    </w:p>
    <w:p>
      <w:pPr>
        <w:pStyle w:val="Heading1"/>
      </w:pPr>
      <w:r>
        <w:t>2. Alcance</w:t>
      </w:r>
    </w:p>
    <w:p>
      <w:r>
        <w:t>Este procedimiento aplica a todos los procesos, áreas y colaboradores que intervienen en las actividades descritas, incluyendo unidades de negocio, TI, Ciberseguridad, Compliance, Riesgos y cualquier tercero relevante.</w:t>
      </w:r>
    </w:p>
    <w:p>
      <w:pPr>
        <w:pStyle w:val="Heading1"/>
      </w:pPr>
      <w:r>
        <w:t>3. Definiciones</w:t>
      </w:r>
    </w:p>
    <w:p>
      <w:r>
        <w:t>Se aplican las definiciones generales del glosario corporativo y, adicionalmente:</w:t>
      </w:r>
    </w:p>
    <w:p>
      <w:r>
        <w:t>- Procedimiento: documento que describe la forma especificada de realizar una actividad o proceso.</w:t>
        <w:br/>
        <w:t>- Registro: evidencia objetiva de la ejecución de una actividad o del logro de un resultado.</w:t>
        <w:br/>
        <w:t>- Aprobador: rol con autoridad para validar el contenido y autorizar la entrada en vigor del procedimiento.</w:t>
      </w:r>
    </w:p>
    <w:p>
      <w:pPr>
        <w:pStyle w:val="Heading1"/>
      </w:pPr>
      <w:r>
        <w:t>4. Roles y responsabilidades</w:t>
      </w:r>
    </w:p>
    <w:p>
      <w:r>
        <w:t>La Gerencia General respalda la aplicación del procedimiento. El CISO y el Oficial de Compliance verifican la consistencia y alineamiento con normas y leyes aplicables. Los dueños de proceso implementan y mantienen el procedimiento en su ámbito, asegurando la generación y conservación de registros. Auditoría interna revisa su eficacia como parte del programa de auditorías.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Actualización del procedimiento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Ejecución de actividades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Seguimiento de cumplimiento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>
      <w:pPr>
        <w:pStyle w:val="Heading1"/>
      </w:pPr>
      <w:r>
        <w:t>5. Descripción del procedimiento</w:t>
      </w:r>
    </w:p>
    <w:p>
      <w:r>
        <w:t>El procedimiento se desarrolla en etapas, que deberán describirse de forma detallada en sus anexos operativos. De forma general, se contemplan etapas de planificación, ejecución, verificación y mejora, siguiendo el ciclo PDCA. Cada etapa debe identificar entradas, actividades, salidas, responsables y registros asociados.</w:t>
      </w:r>
    </w:p>
    <w:p>
      <w:pPr>
        <w:pStyle w:val="Heading1"/>
      </w:pPr>
      <w:r>
        <w:t>6. Control de documentos y registros</w:t>
      </w:r>
    </w:p>
    <w:p>
      <w:r>
        <w:t>Todos los documentos generados o utilizados en la aplicación de este procedimiento deberán seguir el “Procedimiento para el Control de Documentos y Registros” (POL-PDR-002), manteniendo trazabilidad de versiones, autores, aprobadores y fechas de revisión. Los registros se conservarán en los plazos definidos por la normativa y el programa de Compliance.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actividades ejecutadas según procedimiento</w:t>
            </w:r>
          </w:p>
        </w:tc>
        <w:tc>
          <w:tcPr>
            <w:tcW w:type="dxa" w:w="2160"/>
          </w:tcPr>
          <w:p>
            <w:r>
              <w:t>Proporción de actividades críticas realizadas conforme a lo descrito en el procedimiento.</w:t>
            </w:r>
          </w:p>
        </w:tc>
        <w:tc>
          <w:tcPr>
            <w:tcW w:type="dxa" w:w="2160"/>
          </w:tcPr>
          <w:p>
            <w:r>
              <w:t>≥ 90% por periodo</w:t>
            </w:r>
          </w:p>
        </w:tc>
        <w:tc>
          <w:tcPr>
            <w:tcW w:type="dxa" w:w="2160"/>
          </w:tcPr>
          <w:p>
            <w:r>
              <w:t>Listas de verificación, registros operativos</w:t>
            </w:r>
          </w:p>
        </w:tc>
      </w:tr>
      <w:tr>
        <w:tc>
          <w:tcPr>
            <w:tcW w:type="dxa" w:w="2160"/>
          </w:tcPr>
          <w:p>
            <w:r>
              <w:t>Nº de no conformidades en auditoría</w:t>
            </w:r>
          </w:p>
        </w:tc>
        <w:tc>
          <w:tcPr>
            <w:tcW w:type="dxa" w:w="2160"/>
          </w:tcPr>
          <w:p>
            <w:r>
              <w:t>Desviaciones relacionadas con la falta de aplicación del procedimiento.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auditoría interna (INST-AUD-021)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REG-010</w:t>
            </w:r>
          </w:p>
        </w:tc>
        <w:tc>
          <w:tcPr>
            <w:tcW w:type="dxa" w:w="1728"/>
          </w:tcPr>
          <w:p>
            <w:r>
              <w:t>Registro de aplicación del documento PROC-DCP-010 – Declaración de Confidencialidad y Privacidad (NDA) - Empleados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