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Gestión de Incidentes - Procedimiento y Registro</w:t>
      </w:r>
    </w:p>
    <w:p>
      <w:pPr>
        <w:jc w:val="center"/>
      </w:pPr>
      <w:r>
        <w:rPr>
          <w:i/>
          <w:sz w:val="22"/>
        </w:rPr>
        <w:t>InnovaServicios Digitales S.A. – PROC-GIP-016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PROC-GIP-016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notificar, clasificar, analizar, resolver y documentar los incidentes de seguridad de la información y ciberseguridad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REG-016</w:t>
            </w:r>
          </w:p>
        </w:tc>
        <w:tc>
          <w:tcPr>
            <w:tcW w:type="dxa" w:w="1728"/>
          </w:tcPr>
          <w:p>
            <w:r>
              <w:t>Registro de aplicación del documento PROC-GIP-016 – Gestión de Incidentes - Procedimiento y Registro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