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15424" w:rsidRPr="00915424" w:rsidRDefault="00915424" w:rsidP="00915424">
      <w:pPr>
        <w:jc w:val="center"/>
        <w:rPr>
          <w:b/>
          <w:bCs/>
          <w:sz w:val="96"/>
          <w:szCs w:val="96"/>
        </w:rPr>
      </w:pPr>
      <w:r w:rsidRPr="00915424">
        <w:rPr>
          <w:b/>
          <w:bCs/>
          <w:sz w:val="96"/>
          <w:szCs w:val="96"/>
        </w:rPr>
        <w:t>Consulta sobre IEEE 29119 Y OWASP</w:t>
      </w:r>
    </w:p>
    <w:p w:rsidR="00915424" w:rsidRDefault="00915424" w:rsidP="00915424">
      <w:pPr>
        <w:jc w:val="center"/>
        <w:rPr>
          <w:sz w:val="56"/>
          <w:szCs w:val="56"/>
        </w:rPr>
      </w:pPr>
    </w:p>
    <w:p w:rsidR="00915424" w:rsidRPr="00915424" w:rsidRDefault="00915424" w:rsidP="00915424">
      <w:pPr>
        <w:jc w:val="center"/>
        <w:rPr>
          <w:b/>
          <w:bCs/>
          <w:sz w:val="56"/>
          <w:szCs w:val="56"/>
        </w:rPr>
      </w:pPr>
      <w:r w:rsidRPr="00915424">
        <w:rPr>
          <w:b/>
          <w:bCs/>
          <w:sz w:val="56"/>
          <w:szCs w:val="56"/>
        </w:rPr>
        <w:t>Nombres:</w:t>
      </w:r>
    </w:p>
    <w:p w:rsidR="00915424" w:rsidRPr="00915424" w:rsidRDefault="00915424" w:rsidP="00915424">
      <w:pPr>
        <w:jc w:val="center"/>
        <w:rPr>
          <w:sz w:val="56"/>
          <w:szCs w:val="56"/>
        </w:rPr>
      </w:pPr>
      <w:r w:rsidRPr="00915424">
        <w:rPr>
          <w:sz w:val="56"/>
          <w:szCs w:val="56"/>
        </w:rPr>
        <w:t>-Nicolas Montenegro</w:t>
      </w:r>
    </w:p>
    <w:p w:rsidR="00915424" w:rsidRPr="00915424" w:rsidRDefault="00915424" w:rsidP="00915424">
      <w:pPr>
        <w:jc w:val="center"/>
        <w:rPr>
          <w:sz w:val="56"/>
          <w:szCs w:val="56"/>
        </w:rPr>
      </w:pPr>
      <w:r w:rsidRPr="00915424">
        <w:rPr>
          <w:sz w:val="56"/>
          <w:szCs w:val="56"/>
        </w:rPr>
        <w:t>-Anderson Joya</w:t>
      </w:r>
    </w:p>
    <w:p w:rsidR="00915424" w:rsidRPr="00915424" w:rsidRDefault="00915424" w:rsidP="00915424">
      <w:pPr>
        <w:jc w:val="center"/>
        <w:rPr>
          <w:sz w:val="56"/>
          <w:szCs w:val="56"/>
        </w:rPr>
      </w:pPr>
      <w:r w:rsidRPr="00915424">
        <w:rPr>
          <w:sz w:val="56"/>
          <w:szCs w:val="56"/>
        </w:rPr>
        <w:t>-Jhonatan Comezaquira</w:t>
      </w:r>
    </w:p>
    <w:p w:rsidR="00915424" w:rsidRPr="00915424" w:rsidRDefault="00915424" w:rsidP="00915424">
      <w:pPr>
        <w:jc w:val="center"/>
        <w:rPr>
          <w:b/>
          <w:bCs/>
          <w:sz w:val="56"/>
          <w:szCs w:val="56"/>
        </w:rPr>
      </w:pPr>
      <w:r w:rsidRPr="00915424">
        <w:rPr>
          <w:b/>
          <w:bCs/>
          <w:sz w:val="56"/>
          <w:szCs w:val="56"/>
        </w:rPr>
        <w:t>Ficha:</w:t>
      </w:r>
    </w:p>
    <w:p w:rsidR="00915424" w:rsidRPr="00915424" w:rsidRDefault="00915424" w:rsidP="00915424">
      <w:pPr>
        <w:jc w:val="center"/>
        <w:rPr>
          <w:sz w:val="56"/>
          <w:szCs w:val="56"/>
        </w:rPr>
      </w:pPr>
      <w:r w:rsidRPr="00915424">
        <w:rPr>
          <w:sz w:val="56"/>
          <w:szCs w:val="56"/>
        </w:rPr>
        <w:t>3115679</w:t>
      </w:r>
    </w:p>
    <w:p w:rsidR="00915424" w:rsidRPr="00915424" w:rsidRDefault="00915424" w:rsidP="00915424">
      <w:pPr>
        <w:jc w:val="center"/>
        <w:rPr>
          <w:b/>
          <w:bCs/>
          <w:sz w:val="56"/>
          <w:szCs w:val="56"/>
        </w:rPr>
      </w:pPr>
      <w:r w:rsidRPr="00915424">
        <w:rPr>
          <w:b/>
          <w:bCs/>
          <w:sz w:val="56"/>
          <w:szCs w:val="56"/>
        </w:rPr>
        <w:t>Programa:</w:t>
      </w:r>
    </w:p>
    <w:p w:rsidR="00915424" w:rsidRPr="00915424" w:rsidRDefault="00915424" w:rsidP="00915424">
      <w:pPr>
        <w:jc w:val="center"/>
        <w:rPr>
          <w:sz w:val="56"/>
          <w:szCs w:val="56"/>
        </w:rPr>
      </w:pPr>
      <w:r w:rsidRPr="00915424">
        <w:rPr>
          <w:sz w:val="56"/>
          <w:szCs w:val="56"/>
        </w:rPr>
        <w:t>Análisis y Desarrollo de Software</w:t>
      </w:r>
    </w:p>
    <w:p w:rsidR="00915424" w:rsidRDefault="00915424"/>
    <w:p w:rsidR="00915424" w:rsidRDefault="00915424"/>
    <w:p w:rsidR="00915424" w:rsidRDefault="00915424"/>
    <w:p w:rsidR="00915424" w:rsidRDefault="00915424"/>
    <w:p w:rsidR="00915424" w:rsidRDefault="00915424"/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752"/>
        <w:gridCol w:w="2691"/>
        <w:gridCol w:w="4766"/>
      </w:tblGrid>
      <w:tr w:rsidR="00802398" w:rsidTr="00802398">
        <w:tc>
          <w:tcPr>
            <w:tcW w:w="1696" w:type="dxa"/>
          </w:tcPr>
          <w:p w:rsidR="00802398" w:rsidRPr="00802398" w:rsidRDefault="00802398">
            <w:pPr>
              <w:rPr>
                <w:b/>
                <w:bCs/>
              </w:rPr>
            </w:pPr>
            <w:r w:rsidRPr="00802398">
              <w:rPr>
                <w:b/>
                <w:bCs/>
              </w:rPr>
              <w:lastRenderedPageBreak/>
              <w:t>Nombre</w:t>
            </w:r>
          </w:p>
        </w:tc>
        <w:tc>
          <w:tcPr>
            <w:tcW w:w="2694" w:type="dxa"/>
          </w:tcPr>
          <w:p w:rsidR="00802398" w:rsidRPr="00802398" w:rsidRDefault="00802398">
            <w:pPr>
              <w:rPr>
                <w:b/>
                <w:bCs/>
              </w:rPr>
            </w:pPr>
            <w:r w:rsidRPr="00802398">
              <w:rPr>
                <w:b/>
                <w:bCs/>
              </w:rPr>
              <w:t>IEEE 29119</w:t>
            </w:r>
          </w:p>
        </w:tc>
        <w:tc>
          <w:tcPr>
            <w:tcW w:w="4819" w:type="dxa"/>
          </w:tcPr>
          <w:p w:rsidR="00802398" w:rsidRPr="00802398" w:rsidRDefault="00802398">
            <w:pPr>
              <w:rPr>
                <w:b/>
                <w:bCs/>
              </w:rPr>
            </w:pPr>
            <w:r w:rsidRPr="00802398">
              <w:rPr>
                <w:b/>
                <w:bCs/>
              </w:rPr>
              <w:t>OWASP</w:t>
            </w:r>
          </w:p>
        </w:tc>
      </w:tr>
      <w:tr w:rsidR="00802398" w:rsidTr="00802398">
        <w:tc>
          <w:tcPr>
            <w:tcW w:w="1696" w:type="dxa"/>
          </w:tcPr>
          <w:p w:rsidR="00802398" w:rsidRPr="00802398" w:rsidRDefault="00802398">
            <w:pPr>
              <w:rPr>
                <w:b/>
                <w:bCs/>
              </w:rPr>
            </w:pPr>
            <w:r w:rsidRPr="00802398">
              <w:rPr>
                <w:b/>
                <w:bCs/>
              </w:rPr>
              <w:t>Definición</w:t>
            </w:r>
          </w:p>
        </w:tc>
        <w:tc>
          <w:tcPr>
            <w:tcW w:w="2694" w:type="dxa"/>
          </w:tcPr>
          <w:p w:rsidR="00802398" w:rsidRDefault="00802398">
            <w:r>
              <w:t>Es una serie de 5 estándares internacionales para pruebas de software desarrollados por primera vez en 2007, lanzado en 2013 y revisado en 2021.</w:t>
            </w:r>
          </w:p>
        </w:tc>
        <w:tc>
          <w:tcPr>
            <w:tcW w:w="4819" w:type="dxa"/>
          </w:tcPr>
          <w:p w:rsidR="00802398" w:rsidRDefault="00802398" w:rsidP="00802398">
            <w:r w:rsidRPr="00B6586F">
              <w:rPr>
                <w:lang w:val="en-US"/>
              </w:rPr>
              <w:t xml:space="preserve">Es </w:t>
            </w:r>
            <w:r w:rsidRPr="00802398">
              <w:rPr>
                <w:lang w:val="en-US"/>
              </w:rPr>
              <w:t>el</w:t>
            </w:r>
            <w:r w:rsidRPr="00B6586F">
              <w:rPr>
                <w:lang w:val="en-US"/>
              </w:rPr>
              <w:t xml:space="preserve"> </w:t>
            </w:r>
            <w:r w:rsidRPr="00802398">
              <w:rPr>
                <w:lang w:val="en-US"/>
              </w:rPr>
              <w:t>acrónimo</w:t>
            </w:r>
            <w:r w:rsidRPr="00B6586F">
              <w:rPr>
                <w:lang w:val="en-US"/>
              </w:rPr>
              <w:t xml:space="preserve"> para</w:t>
            </w:r>
            <w:r>
              <w:rPr>
                <w:lang w:val="en-US"/>
              </w:rPr>
              <w:t xml:space="preserve"> </w:t>
            </w:r>
            <w:r w:rsidRPr="00B6586F">
              <w:rPr>
                <w:u w:val="single"/>
                <w:lang w:val="en-US"/>
              </w:rPr>
              <w:t>Open Web Application Security Project</w:t>
            </w:r>
            <w:r w:rsidRPr="00B6586F">
              <w:rPr>
                <w:lang w:val="en-US"/>
              </w:rPr>
              <w:t xml:space="preserve">. </w:t>
            </w:r>
            <w:r w:rsidRPr="00B6586F">
              <w:t xml:space="preserve">Es una fundación sin ánimo de lucro que apoya y gestiona los proyectos </w:t>
            </w:r>
            <w:r>
              <w:t>e infraestructura de OWASP, la cual está conformada por Organizaciones educativas y particulares por todo el mundo.</w:t>
            </w:r>
          </w:p>
          <w:p w:rsidR="00802398" w:rsidRDefault="00802398"/>
        </w:tc>
      </w:tr>
      <w:tr w:rsidR="00802398" w:rsidTr="00802398">
        <w:tc>
          <w:tcPr>
            <w:tcW w:w="1696" w:type="dxa"/>
          </w:tcPr>
          <w:p w:rsidR="00802398" w:rsidRPr="00802398" w:rsidRDefault="00802398">
            <w:pPr>
              <w:rPr>
                <w:b/>
                <w:bCs/>
              </w:rPr>
            </w:pPr>
            <w:r w:rsidRPr="00802398">
              <w:rPr>
                <w:b/>
                <w:bCs/>
              </w:rPr>
              <w:t>Características</w:t>
            </w:r>
          </w:p>
        </w:tc>
        <w:tc>
          <w:tcPr>
            <w:tcW w:w="2694" w:type="dxa"/>
          </w:tcPr>
          <w:p w:rsidR="00802398" w:rsidRPr="00802398" w:rsidRDefault="00802398" w:rsidP="00802398">
            <w:pPr>
              <w:pStyle w:val="Prrafodelista"/>
              <w:numPr>
                <w:ilvl w:val="0"/>
                <w:numId w:val="3"/>
              </w:numPr>
              <w:rPr>
                <w:b/>
                <w:bCs/>
              </w:rPr>
            </w:pPr>
            <w:r w:rsidRPr="00802398">
              <w:rPr>
                <w:b/>
                <w:bCs/>
              </w:rPr>
              <w:t>Parte 1:</w:t>
            </w:r>
            <w:r>
              <w:t xml:space="preserve"> </w:t>
            </w:r>
            <w:r w:rsidRPr="00802398">
              <w:rPr>
                <w:b/>
                <w:bCs/>
              </w:rPr>
              <w:t>Conceptos y definiciones</w:t>
            </w:r>
          </w:p>
          <w:p w:rsidR="00802398" w:rsidRDefault="00802398" w:rsidP="00802398">
            <w:r>
              <w:t>Introducción del vocabulario sobre el que se construye la norma y proporciona ejemplos de su aplicación.</w:t>
            </w:r>
          </w:p>
          <w:p w:rsidR="00802398" w:rsidRPr="00802398" w:rsidRDefault="00802398" w:rsidP="00802398">
            <w:pPr>
              <w:pStyle w:val="Prrafodelista"/>
              <w:numPr>
                <w:ilvl w:val="0"/>
                <w:numId w:val="3"/>
              </w:numPr>
              <w:rPr>
                <w:b/>
                <w:bCs/>
              </w:rPr>
            </w:pPr>
            <w:r w:rsidRPr="00802398">
              <w:rPr>
                <w:b/>
                <w:bCs/>
              </w:rPr>
              <w:t>Parte 2: Procesos de prueba</w:t>
            </w:r>
          </w:p>
          <w:p w:rsidR="00802398" w:rsidRDefault="00802398" w:rsidP="00802398">
            <w:r>
              <w:t>Define un modelo de proceso de prueba genérico para software. Comprende descripciones de procesos a nivel organizacional, de gestión de pruebas del proyecto y proceso de prueba dinámico.</w:t>
            </w:r>
          </w:p>
          <w:p w:rsidR="00802398" w:rsidRPr="00802398" w:rsidRDefault="00802398" w:rsidP="00802398">
            <w:pPr>
              <w:pStyle w:val="Prrafodelista"/>
              <w:numPr>
                <w:ilvl w:val="0"/>
                <w:numId w:val="3"/>
              </w:numPr>
              <w:rPr>
                <w:b/>
                <w:bCs/>
              </w:rPr>
            </w:pPr>
            <w:r w:rsidRPr="00802398">
              <w:rPr>
                <w:b/>
                <w:bCs/>
              </w:rPr>
              <w:t>Parte 3: Documentación de la prueba</w:t>
            </w:r>
          </w:p>
          <w:p w:rsidR="00802398" w:rsidRDefault="00802398" w:rsidP="00802398">
            <w:r>
              <w:t>Esta parte se ocupa de la documentación de prueba del software e incluye plantillas y ejemplos.</w:t>
            </w:r>
          </w:p>
          <w:p w:rsidR="00802398" w:rsidRPr="00802398" w:rsidRDefault="00802398" w:rsidP="00802398">
            <w:pPr>
              <w:pStyle w:val="Prrafodelista"/>
              <w:numPr>
                <w:ilvl w:val="0"/>
                <w:numId w:val="3"/>
              </w:numPr>
              <w:rPr>
                <w:b/>
                <w:bCs/>
              </w:rPr>
            </w:pPr>
            <w:r w:rsidRPr="00802398">
              <w:rPr>
                <w:b/>
                <w:bCs/>
              </w:rPr>
              <w:t>Parte 4: Técnicas de prueba</w:t>
            </w:r>
          </w:p>
          <w:p w:rsidR="00802398" w:rsidRDefault="00802398" w:rsidP="00802398">
            <w:r>
              <w:t xml:space="preserve">Proporciona definiciones estándar de las técnicas de prueba de software y las medidas de cobertura correspondientes que se pueden utilizar durante los procesos. Estas técnicas están destinadas a soportar la Parte 2. Las técnicas se </w:t>
            </w:r>
            <w:r>
              <w:lastRenderedPageBreak/>
              <w:t>basan en especificaciones, estructura y experiencia.</w:t>
            </w:r>
          </w:p>
          <w:p w:rsidR="00802398" w:rsidRPr="00802398" w:rsidRDefault="00802398" w:rsidP="00802398">
            <w:pPr>
              <w:pStyle w:val="Prrafodelista"/>
              <w:numPr>
                <w:ilvl w:val="0"/>
                <w:numId w:val="3"/>
              </w:numPr>
              <w:rPr>
                <w:b/>
                <w:bCs/>
              </w:rPr>
            </w:pPr>
            <w:r w:rsidRPr="00802398">
              <w:rPr>
                <w:b/>
                <w:bCs/>
              </w:rPr>
              <w:t>Parte 5: Pruebas basadas en palabras clave</w:t>
            </w:r>
          </w:p>
          <w:p w:rsidR="00C04030" w:rsidRDefault="00802398">
            <w:r>
              <w:t>Un enfoque para especificar pruebas de software utilizadas en la industria.</w:t>
            </w:r>
          </w:p>
        </w:tc>
        <w:tc>
          <w:tcPr>
            <w:tcW w:w="4819" w:type="dxa"/>
          </w:tcPr>
          <w:p w:rsidR="00802398" w:rsidRPr="00802398" w:rsidRDefault="00802398" w:rsidP="00802398">
            <w:pPr>
              <w:rPr>
                <w:b/>
                <w:bCs/>
              </w:rPr>
            </w:pPr>
            <w:r w:rsidRPr="00802398">
              <w:rPr>
                <w:b/>
                <w:bCs/>
              </w:rPr>
              <w:lastRenderedPageBreak/>
              <w:t>Proyectos Documentación:</w:t>
            </w:r>
          </w:p>
          <w:p w:rsidR="00802398" w:rsidRDefault="00802398" w:rsidP="00802398">
            <w:pPr>
              <w:pStyle w:val="Prrafodelista"/>
              <w:numPr>
                <w:ilvl w:val="0"/>
                <w:numId w:val="1"/>
              </w:numPr>
            </w:pPr>
            <w:r>
              <w:t>G</w:t>
            </w:r>
            <w:r w:rsidRPr="00802398">
              <w:rPr>
                <w:b/>
                <w:bCs/>
              </w:rPr>
              <w:t xml:space="preserve">uía OWASP: </w:t>
            </w:r>
            <w:r>
              <w:t>Un gran documento que proporciona una guía sobre la seguridad de las aplicaciones web.</w:t>
            </w:r>
          </w:p>
          <w:p w:rsidR="00802398" w:rsidRPr="00854A5C" w:rsidRDefault="00802398" w:rsidP="00802398">
            <w:pPr>
              <w:pStyle w:val="Prrafodelista"/>
              <w:numPr>
                <w:ilvl w:val="0"/>
                <w:numId w:val="1"/>
              </w:numPr>
            </w:pPr>
            <w:r w:rsidRPr="00802398">
              <w:rPr>
                <w:b/>
                <w:bCs/>
              </w:rPr>
              <w:t>OWASP Top 10:</w:t>
            </w:r>
            <w:r w:rsidRPr="00854A5C">
              <w:t xml:space="preserve"> Documento que se c</w:t>
            </w:r>
            <w:r>
              <w:t>entra sobre las vulnerabilidades más críticas de las aplicaciones web.</w:t>
            </w:r>
          </w:p>
          <w:p w:rsidR="00802398" w:rsidRDefault="00802398" w:rsidP="00802398">
            <w:pPr>
              <w:pStyle w:val="Prrafodelista"/>
              <w:numPr>
                <w:ilvl w:val="0"/>
                <w:numId w:val="1"/>
              </w:numPr>
            </w:pPr>
            <w:r w:rsidRPr="00802398">
              <w:rPr>
                <w:b/>
                <w:bCs/>
              </w:rPr>
              <w:t>Métricas:</w:t>
            </w:r>
            <w:r>
              <w:t xml:space="preserve"> Define métricas aplicables de seguridad.</w:t>
            </w:r>
          </w:p>
          <w:p w:rsidR="00802398" w:rsidRDefault="00802398" w:rsidP="00802398">
            <w:pPr>
              <w:pStyle w:val="Prrafodelista"/>
              <w:numPr>
                <w:ilvl w:val="0"/>
                <w:numId w:val="1"/>
              </w:numPr>
            </w:pPr>
            <w:r w:rsidRPr="00802398">
              <w:rPr>
                <w:b/>
                <w:bCs/>
              </w:rPr>
              <w:t>Legal:</w:t>
            </w:r>
            <w:r>
              <w:t xml:space="preserve"> Ayuda a los vendedores y compradores de software a negociar adecuadamente los aspectos de seguridad.</w:t>
            </w:r>
          </w:p>
          <w:p w:rsidR="00802398" w:rsidRDefault="00802398" w:rsidP="00802398">
            <w:pPr>
              <w:pStyle w:val="Prrafodelista"/>
              <w:numPr>
                <w:ilvl w:val="0"/>
                <w:numId w:val="1"/>
              </w:numPr>
            </w:pPr>
            <w:r w:rsidRPr="00802398">
              <w:rPr>
                <w:b/>
                <w:bCs/>
              </w:rPr>
              <w:t>Guía de pruebas:</w:t>
            </w:r>
            <w:r>
              <w:t xml:space="preserve"> Una guía centrada en la prueba efectiva de la seguridad de aplicaciones web.</w:t>
            </w:r>
          </w:p>
          <w:p w:rsidR="00802398" w:rsidRDefault="00802398" w:rsidP="00802398">
            <w:pPr>
              <w:pStyle w:val="Prrafodelista"/>
              <w:numPr>
                <w:ilvl w:val="0"/>
                <w:numId w:val="1"/>
              </w:numPr>
            </w:pPr>
            <w:r w:rsidRPr="00802398">
              <w:rPr>
                <w:b/>
                <w:bCs/>
              </w:rPr>
              <w:t>ISO 17799:</w:t>
            </w:r>
            <w:r>
              <w:t xml:space="preserve"> Documentos de apoyo para organizaciones.</w:t>
            </w:r>
          </w:p>
          <w:p w:rsidR="00802398" w:rsidRDefault="00802398" w:rsidP="00802398">
            <w:pPr>
              <w:pStyle w:val="Prrafodelista"/>
              <w:numPr>
                <w:ilvl w:val="0"/>
                <w:numId w:val="1"/>
              </w:numPr>
            </w:pPr>
            <w:r w:rsidRPr="00802398">
              <w:rPr>
                <w:b/>
                <w:bCs/>
              </w:rPr>
              <w:t>AppSec FAQ:</w:t>
            </w:r>
            <w:r>
              <w:t xml:space="preserve"> Preguntas y respuestas frecuentes.</w:t>
            </w:r>
          </w:p>
          <w:p w:rsidR="00802398" w:rsidRPr="00802398" w:rsidRDefault="00802398" w:rsidP="00802398">
            <w:pPr>
              <w:rPr>
                <w:b/>
                <w:bCs/>
              </w:rPr>
            </w:pPr>
            <w:r w:rsidRPr="00802398">
              <w:rPr>
                <w:b/>
                <w:bCs/>
              </w:rPr>
              <w:t>Proyectos Desarrollo:</w:t>
            </w:r>
          </w:p>
          <w:p w:rsidR="00802398" w:rsidRDefault="00802398" w:rsidP="00802398">
            <w:pPr>
              <w:pStyle w:val="Prrafodelista"/>
              <w:numPr>
                <w:ilvl w:val="0"/>
                <w:numId w:val="2"/>
              </w:numPr>
            </w:pPr>
            <w:r w:rsidRPr="00802398">
              <w:rPr>
                <w:b/>
                <w:bCs/>
              </w:rPr>
              <w:t>WebScarab:</w:t>
            </w:r>
            <w:r>
              <w:t xml:space="preserve"> Una aplicación de chequeo de vulnerabilidades de aplicaciones web.</w:t>
            </w:r>
          </w:p>
          <w:p w:rsidR="00802398" w:rsidRDefault="00802398" w:rsidP="00802398">
            <w:pPr>
              <w:pStyle w:val="Prrafodelista"/>
              <w:numPr>
                <w:ilvl w:val="0"/>
                <w:numId w:val="2"/>
              </w:numPr>
            </w:pPr>
            <w:r w:rsidRPr="00802398">
              <w:rPr>
                <w:b/>
                <w:bCs/>
              </w:rPr>
              <w:t>Filtros de Validación:</w:t>
            </w:r>
            <w:r>
              <w:t xml:space="preserve"> Filtros genéricos de seguridad perimetral que los desarrolladores pueden usar en sus propias aplicaciones.</w:t>
            </w:r>
          </w:p>
          <w:p w:rsidR="00802398" w:rsidRDefault="00802398" w:rsidP="00802398">
            <w:pPr>
              <w:pStyle w:val="Prrafodelista"/>
              <w:numPr>
                <w:ilvl w:val="0"/>
                <w:numId w:val="2"/>
              </w:numPr>
            </w:pPr>
            <w:r w:rsidRPr="00802398">
              <w:rPr>
                <w:b/>
                <w:bCs/>
              </w:rPr>
              <w:t>WebGoat:</w:t>
            </w:r>
            <w:r>
              <w:t xml:space="preserve"> Una herramienta interactiva de formación y benchmarking para que los usuarios aprendan sobre seguridad de aplicaciones web.</w:t>
            </w:r>
          </w:p>
          <w:p w:rsidR="00802398" w:rsidRPr="00B6586F" w:rsidRDefault="00802398" w:rsidP="00802398">
            <w:pPr>
              <w:pStyle w:val="Prrafodelista"/>
              <w:numPr>
                <w:ilvl w:val="0"/>
                <w:numId w:val="2"/>
              </w:numPr>
            </w:pPr>
            <w:r w:rsidRPr="00802398">
              <w:rPr>
                <w:b/>
                <w:bCs/>
              </w:rPr>
              <w:t>DotNet:</w:t>
            </w:r>
            <w:r>
              <w:t xml:space="preserve"> Un conjunto de herramientas para aplicar seguridad a los entornos .NET.</w:t>
            </w:r>
          </w:p>
          <w:p w:rsidR="00802398" w:rsidRDefault="00802398"/>
        </w:tc>
      </w:tr>
    </w:tbl>
    <w:p w:rsidR="00EB264D" w:rsidRDefault="00EB264D"/>
    <w:sectPr w:rsidR="00EB26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62B25"/>
    <w:multiLevelType w:val="hybridMultilevel"/>
    <w:tmpl w:val="DD42AF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FA7593"/>
    <w:multiLevelType w:val="hybridMultilevel"/>
    <w:tmpl w:val="B70239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8C47AE"/>
    <w:multiLevelType w:val="hybridMultilevel"/>
    <w:tmpl w:val="52F26A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843855">
    <w:abstractNumId w:val="2"/>
  </w:num>
  <w:num w:numId="2" w16cid:durableId="307904314">
    <w:abstractNumId w:val="1"/>
  </w:num>
  <w:num w:numId="3" w16cid:durableId="1173298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64D"/>
    <w:rsid w:val="000F58BD"/>
    <w:rsid w:val="001250EE"/>
    <w:rsid w:val="00251E6B"/>
    <w:rsid w:val="0053255E"/>
    <w:rsid w:val="005B1073"/>
    <w:rsid w:val="005F08BC"/>
    <w:rsid w:val="007F191F"/>
    <w:rsid w:val="00802398"/>
    <w:rsid w:val="008043BF"/>
    <w:rsid w:val="00854A5C"/>
    <w:rsid w:val="00864DEF"/>
    <w:rsid w:val="00915424"/>
    <w:rsid w:val="00A34CFF"/>
    <w:rsid w:val="00B6586F"/>
    <w:rsid w:val="00C04030"/>
    <w:rsid w:val="00EB2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A6157"/>
  <w15:chartTrackingRefBased/>
  <w15:docId w15:val="{D37CDC5F-EC18-48C6-A710-56DBDBC8B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2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2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2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2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2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2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2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2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2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2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2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2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26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26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26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26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26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26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2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2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2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2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2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26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26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26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2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26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264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023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392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Nicolas Montenegro Mariño</dc:creator>
  <cp:keywords/>
  <dc:description/>
  <cp:lastModifiedBy>Juan Nicolas Montenegro Mariño</cp:lastModifiedBy>
  <cp:revision>36</cp:revision>
  <dcterms:created xsi:type="dcterms:W3CDTF">2026-07-29T15:51:00Z</dcterms:created>
  <dcterms:modified xsi:type="dcterms:W3CDTF">2026-07-29T18:11:00Z</dcterms:modified>
</cp:coreProperties>
</file>