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141.73228346456688" w:firstLine="0"/>
        <w:jc w:val="center"/>
        <w:rPr>
          <w:b w:val="1"/>
          <w:bCs w:val="1"/>
          <w:color w:val="000000"/>
          <w:sz w:val="46"/>
          <w:szCs w:val="46"/>
        </w:rPr>
      </w:pPr>
      <w:bookmarkStart w:colFirst="0" w:colLast="0" w:name="_heading=h.dpgk4ldjfqad" w:id="0"/>
      <w:bookmarkEnd w:id="0"/>
      <w:r w:rsidDel="00000000" w:rsidR="00000000" w:rsidRPr="00000000">
        <w:rPr>
          <w:b w:val="1"/>
          <w:bCs w:val="1"/>
          <w:color w:val="000000"/>
          <w:sz w:val="46"/>
          <w:szCs w:val="46"/>
          <w:rtl w:val="0"/>
        </w:rPr>
        <w:t xml:space="preserve">Plan de migración de base de </w:t>
      </w:r>
    </w:p>
    <w:p w:rsidR="00000000" w:rsidDel="00000000" w:rsidP="00000000" w:rsidRDefault="00000000" w:rsidRPr="00000000" w14:paraId="00000002">
      <w:pPr>
        <w:pStyle w:val="Heading3"/>
        <w:keepNext w:val="0"/>
        <w:keepLines w:val="0"/>
        <w:spacing w:before="280" w:lineRule="auto"/>
        <w:ind w:left="-141.73228346456688" w:firstLine="0"/>
        <w:jc w:val="center"/>
        <w:rPr/>
      </w:pPr>
      <w:bookmarkStart w:colFirst="0" w:colLast="0" w:name="_heading=h.1j7mu7d9yhad" w:id="1"/>
      <w:bookmarkEnd w:id="1"/>
      <w:r w:rsidDel="00000000" w:rsidR="00000000" w:rsidRPr="00000000">
        <w:rPr>
          <w:b w:val="1"/>
          <w:bCs w:val="1"/>
          <w:color w:val="000000"/>
          <w:sz w:val="46"/>
          <w:szCs w:val="46"/>
          <w:rtl w:val="0"/>
        </w:rPr>
        <w:t xml:space="preserve">datos</w:t>
      </w:r>
      <w:r w:rsidDel="00000000" w:rsidR="00000000" w:rsidRPr="00000000">
        <w:rPr>
          <w:rtl w:val="0"/>
        </w:rPr>
      </w:r>
    </w:p>
    <w:p w:rsidR="00000000" w:rsidDel="00000000" w:rsidP="00000000" w:rsidRDefault="00000000" w:rsidRPr="00000000" w14:paraId="00000003">
      <w:pPr>
        <w:ind w:left="-708.6614173228347" w:firstLine="0"/>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 CELUACCEL </w:t>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ANÁLISIS Y DESARROLLO DE SOFTWARE</w:t>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JHONATAN COMEZAQUIRA</w:t>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NICOLÁS MONTENEGRO</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ANDERSON JOYA</w:t>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sz w:val="26"/>
          <w:szCs w:val="26"/>
        </w:rPr>
      </w:pPr>
      <w:r w:rsidDel="00000000" w:rsidR="00000000" w:rsidRPr="00000000">
        <w:rPr>
          <w:b w:val="1"/>
          <w:bCs w:val="1"/>
          <w:sz w:val="24"/>
          <w:szCs w:val="24"/>
          <w:rtl w:val="0"/>
        </w:rPr>
        <w:t xml:space="preserve">1. Objetivo</w:t>
      </w:r>
      <w:r w:rsidDel="00000000" w:rsidR="00000000" w:rsidRPr="00000000">
        <w:rPr>
          <w:sz w:val="26"/>
          <w:szCs w:val="26"/>
          <w:rtl w:val="0"/>
        </w:rPr>
        <w:t xml:space="preserve"> </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Migrar la base de datos del Sistema Celuaccel de MySQL a PostgreSQL para garantizar una integridad referencial estricta, optimizar el control de concurrencia multiversión (MVCC) y cumplir con los rigurosos estándares de aseguramiento de calidad del programa ADSO.</w:t>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b w:val="1"/>
          <w:bCs w:val="1"/>
          <w:sz w:val="24"/>
          <w:szCs w:val="24"/>
          <w:rtl w:val="0"/>
        </w:rPr>
        <w:t xml:space="preserve">2. Alcance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 Abarca la base de datos CELUACCEL en los ambientes de desarrollo y pruebas. Involucra la totalidad de las 12 tablas del sistema: roles, tipo_documento, categoria, usuario, producto, servicio, historial_servicios, chat, mensajes, comentarios, pregunta y notificaciones.</w:t>
      </w:r>
    </w:p>
    <w:p w:rsidR="00000000" w:rsidDel="00000000" w:rsidP="00000000" w:rsidRDefault="00000000" w:rsidRPr="00000000" w14:paraId="00000014">
      <w:pPr>
        <w:ind w:left="0" w:firstLine="0"/>
        <w:rPr>
          <w:sz w:val="26"/>
          <w:szCs w:val="26"/>
        </w:rPr>
      </w:pPr>
      <w:r w:rsidDel="00000000" w:rsidR="00000000" w:rsidRPr="00000000">
        <w:rPr>
          <w:b w:val="1"/>
          <w:bCs w:val="1"/>
          <w:sz w:val="24"/>
          <w:szCs w:val="24"/>
          <w:rtl w:val="0"/>
        </w:rPr>
        <w:t xml:space="preserve">3. Situación actual</w:t>
      </w:r>
      <w:r w:rsidDel="00000000" w:rsidR="00000000" w:rsidRPr="00000000">
        <w:rPr>
          <w:rtl w:val="0"/>
        </w:rPr>
      </w:r>
    </w:p>
    <w:p w:rsidR="00000000" w:rsidDel="00000000" w:rsidP="00000000" w:rsidRDefault="00000000" w:rsidRPr="00000000" w14:paraId="00000015">
      <w:pPr>
        <w:spacing w:after="240" w:before="240" w:lineRule="auto"/>
        <w:ind w:left="0" w:firstLine="0"/>
        <w:rPr>
          <w:sz w:val="24"/>
          <w:szCs w:val="24"/>
        </w:rPr>
      </w:pPr>
      <w:r w:rsidDel="00000000" w:rsidR="00000000" w:rsidRPr="00000000">
        <w:rPr>
          <w:sz w:val="24"/>
          <w:szCs w:val="24"/>
          <w:rtl w:val="0"/>
        </w:rPr>
        <w:t xml:space="preserve">Motor origen: MySQL (versión 8.x).</w:t>
      </w:r>
    </w:p>
    <w:p w:rsidR="00000000" w:rsidDel="00000000" w:rsidP="00000000" w:rsidRDefault="00000000" w:rsidRPr="00000000" w14:paraId="00000016">
      <w:pPr>
        <w:spacing w:after="240" w:before="240" w:lineRule="auto"/>
        <w:ind w:left="0" w:firstLine="0"/>
        <w:rPr>
          <w:sz w:val="24"/>
          <w:szCs w:val="24"/>
        </w:rPr>
      </w:pPr>
      <w:r w:rsidDel="00000000" w:rsidR="00000000" w:rsidRPr="00000000">
        <w:rPr>
          <w:sz w:val="24"/>
          <w:szCs w:val="24"/>
          <w:rtl w:val="0"/>
        </w:rPr>
        <w:t xml:space="preserve">Tamaño y registros: Entorno de pruebas con 54 registros distribuidos en las 12 tablas del sistema. Relaciones: Implementación de 15 llaves foráneas (ej. vinculación de la tabla usuario con roles y tipo_documento; servicio con usuario; producto con categoria; mensajes con chat y usuario). Nota: la tabla servicio no tiene un campo de técnico asignado — cualquier Técnico o Administrador puede gestionar cualquier servicio, no hay asignación individual por técnico en el esquema actual.</w:t>
      </w:r>
    </w:p>
    <w:p w:rsidR="00000000" w:rsidDel="00000000" w:rsidP="00000000" w:rsidRDefault="00000000" w:rsidRPr="00000000" w14:paraId="00000017">
      <w:pPr>
        <w:spacing w:after="240" w:before="240" w:lineRule="auto"/>
        <w:ind w:left="0" w:firstLine="0"/>
        <w:rPr>
          <w:sz w:val="24"/>
          <w:szCs w:val="24"/>
        </w:rPr>
      </w:pPr>
      <w:r w:rsidDel="00000000" w:rsidR="00000000" w:rsidRPr="00000000">
        <w:rPr>
          <w:sz w:val="24"/>
          <w:szCs w:val="24"/>
          <w:rtl w:val="0"/>
        </w:rPr>
        <w:t xml:space="preserve">CRITERIOS DE ACEPTACIÓN DE BASE DE DATOS </w:t>
      </w:r>
    </w:p>
    <w:p w:rsidR="00000000" w:rsidDel="00000000" w:rsidP="00000000" w:rsidRDefault="00000000" w:rsidRPr="00000000" w14:paraId="00000018">
      <w:pPr>
        <w:spacing w:after="240" w:before="240" w:lineRule="auto"/>
        <w:ind w:left="0" w:firstLine="0"/>
        <w:rPr>
          <w:sz w:val="24"/>
          <w:szCs w:val="24"/>
        </w:rPr>
      </w:pPr>
      <w:r w:rsidDel="00000000" w:rsidR="00000000" w:rsidRPr="00000000">
        <w:rPr>
          <w:rtl w:val="0"/>
        </w:rPr>
      </w:r>
    </w:p>
    <w:tbl>
      <w:tblPr>
        <w:tblStyle w:val="Table1"/>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9">
            <w:pPr>
              <w:widowControl w:val="0"/>
              <w:spacing w:after="480" w:lineRule="auto"/>
              <w:jc w:val="center"/>
              <w:rPr/>
            </w:pPr>
            <w:r w:rsidDel="00000000" w:rsidR="00000000" w:rsidRPr="00000000">
              <w:rPr>
                <w:rtl w:val="0"/>
              </w:rPr>
              <w:t xml:space="preserve">Criterio de Aceptación (QA)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A">
            <w:pPr>
              <w:widowControl w:val="0"/>
              <w:spacing w:after="480" w:lineRule="auto"/>
              <w:rPr/>
            </w:pPr>
            <w:r w:rsidDel="00000000" w:rsidR="00000000" w:rsidRPr="00000000">
              <w:rPr>
                <w:rtl w:val="0"/>
              </w:rPr>
              <w:t xml:space="preserve">MySQL (Motor Actual)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B">
            <w:pPr>
              <w:widowControl w:val="0"/>
              <w:spacing w:after="480" w:lineRule="auto"/>
              <w:rPr/>
            </w:pPr>
            <w:r w:rsidDel="00000000" w:rsidR="00000000" w:rsidRPr="00000000">
              <w:rPr>
                <w:rtl w:val="0"/>
              </w:rPr>
              <w:t xml:space="preserve">PostgreSQL (Motor a Migrar)</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C">
            <w:pPr>
              <w:widowControl w:val="0"/>
              <w:spacing w:after="480" w:lineRule="auto"/>
              <w:jc w:val="center"/>
              <w:rPr/>
            </w:pPr>
            <w:r w:rsidDel="00000000" w:rsidR="00000000" w:rsidRPr="00000000">
              <w:rPr>
                <w:rtl w:val="0"/>
              </w:rPr>
              <w:t xml:space="preserve">Integridad y Restricciones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D">
            <w:pPr>
              <w:widowControl w:val="0"/>
              <w:spacing w:after="480" w:lineRule="auto"/>
              <w:rPr/>
            </w:pPr>
            <w:r w:rsidDel="00000000" w:rsidR="00000000" w:rsidRPr="00000000">
              <w:rPr>
                <w:rtl w:val="0"/>
              </w:rPr>
              <w:t xml:space="preserve">Presenta mayor flexibilidad en el manejo de restricciones o sintaxis.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E">
            <w:pPr>
              <w:widowControl w:val="0"/>
              <w:spacing w:after="480" w:lineRule="auto"/>
              <w:rPr/>
            </w:pPr>
            <w:r w:rsidDel="00000000" w:rsidR="00000000" w:rsidRPr="00000000">
              <w:rPr>
                <w:rtl w:val="0"/>
              </w:rPr>
              <w:t xml:space="preserve">Garantiza una extrema robustez e integridad estricta de los datos.</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1F">
            <w:pPr>
              <w:widowControl w:val="0"/>
              <w:spacing w:after="480" w:lineRule="auto"/>
              <w:jc w:val="center"/>
              <w:rPr/>
            </w:pPr>
            <w:r w:rsidDel="00000000" w:rsidR="00000000" w:rsidRPr="00000000">
              <w:rPr>
                <w:rtl w:val="0"/>
              </w:rPr>
              <w:t xml:space="preserve">Control de Concurrencia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0">
            <w:pPr>
              <w:widowControl w:val="0"/>
              <w:spacing w:after="480" w:lineRule="auto"/>
              <w:rPr/>
            </w:pPr>
            <w:r w:rsidDel="00000000" w:rsidR="00000000" w:rsidRPr="00000000">
              <w:rPr>
                <w:rtl w:val="0"/>
              </w:rPr>
              <w:t xml:space="preserve">Maneja las consultas simples eficientemente mediante bloqueos a nivel de fila.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1">
            <w:pPr>
              <w:widowControl w:val="0"/>
              <w:spacing w:after="480" w:lineRule="auto"/>
              <w:rPr/>
            </w:pPr>
            <w:r w:rsidDel="00000000" w:rsidR="00000000" w:rsidRPr="00000000">
              <w:rPr>
                <w:rtl w:val="0"/>
              </w:rPr>
              <w:t xml:space="preserve">Emplea Control de Concurrencia Multiversión (MVCC), permitiendo que múltiples usuarios lean y escriban simultáneamente sin generar bloqueos.</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2">
            <w:pPr>
              <w:widowControl w:val="0"/>
              <w:spacing w:after="480" w:lineRule="auto"/>
              <w:jc w:val="center"/>
              <w:rPr/>
            </w:pPr>
            <w:r w:rsidDel="00000000" w:rsidR="00000000" w:rsidRPr="00000000">
              <w:rPr>
                <w:rtl w:val="0"/>
              </w:rPr>
              <w:t xml:space="preserve">Soporte de Estructuras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3">
            <w:pPr>
              <w:widowControl w:val="0"/>
              <w:spacing w:after="480" w:lineRule="auto"/>
              <w:rPr/>
            </w:pPr>
            <w:r w:rsidDel="00000000" w:rsidR="00000000" w:rsidRPr="00000000">
              <w:rPr>
                <w:rtl w:val="0"/>
              </w:rPr>
              <w:t xml:space="preserve">Su soporte para formatos como JSON es funcional.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4">
            <w:pPr>
              <w:widowControl w:val="0"/>
              <w:spacing w:after="480" w:lineRule="auto"/>
              <w:rPr/>
            </w:pPr>
            <w:r w:rsidDel="00000000" w:rsidR="00000000" w:rsidRPr="00000000">
              <w:rPr>
                <w:rtl w:val="0"/>
              </w:rPr>
              <w:t xml:space="preserve">Ofrece soporte nativo y avanzado para estructuras complejas como JSONB o Arrays.</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5">
            <w:pPr>
              <w:widowControl w:val="0"/>
              <w:spacing w:after="480" w:lineRule="auto"/>
              <w:jc w:val="center"/>
              <w:rPr/>
            </w:pPr>
            <w:r w:rsidDel="00000000" w:rsidR="00000000" w:rsidRPr="00000000">
              <w:rPr>
                <w:rtl w:val="0"/>
              </w:rPr>
              <w:t xml:space="preserve">Lógica y Rendimiento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6">
            <w:pPr>
              <w:widowControl w:val="0"/>
              <w:spacing w:after="480" w:lineRule="auto"/>
              <w:rPr/>
            </w:pPr>
            <w:r w:rsidDel="00000000" w:rsidR="00000000" w:rsidRPr="00000000">
              <w:rPr>
                <w:rtl w:val="0"/>
              </w:rPr>
              <w:t xml:space="preserve">Sistema puramente relacional enfocado en ofrecer alta velocidad en operaciones de lectura.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7">
            <w:pPr>
              <w:widowControl w:val="0"/>
              <w:spacing w:after="480" w:lineRule="auto"/>
              <w:rPr/>
            </w:pPr>
            <w:r w:rsidDel="00000000" w:rsidR="00000000" w:rsidRPr="00000000">
              <w:rPr>
                <w:rtl w:val="0"/>
              </w:rPr>
              <w:t xml:space="preserve">Arquitectura objeto-relacional superior para soportar y ejecutar lógicas de negocio complejas.</w:t>
            </w:r>
          </w:p>
        </w:tc>
      </w:tr>
    </w:tbl>
    <w:p w:rsidR="00000000" w:rsidDel="00000000" w:rsidP="00000000" w:rsidRDefault="00000000" w:rsidRPr="00000000" w14:paraId="0000002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sz w:val="26"/>
          <w:szCs w:val="26"/>
        </w:rPr>
      </w:pPr>
      <w:r w:rsidDel="00000000" w:rsidR="00000000" w:rsidRPr="00000000">
        <w:rPr>
          <w:b w:val="1"/>
          <w:bCs w:val="1"/>
          <w:sz w:val="24"/>
          <w:szCs w:val="24"/>
          <w:rtl w:val="0"/>
        </w:rPr>
        <w:t xml:space="preserve">4. Situación destino</w:t>
      </w:r>
      <w:r w:rsidDel="00000000" w:rsidR="00000000" w:rsidRPr="00000000">
        <w:rPr>
          <w:rtl w:val="0"/>
        </w:rPr>
      </w:r>
    </w:p>
    <w:p w:rsidR="00000000" w:rsidDel="00000000" w:rsidP="00000000" w:rsidRDefault="00000000" w:rsidRPr="00000000" w14:paraId="0000002A">
      <w:pPr>
        <w:spacing w:after="240" w:before="240" w:lineRule="auto"/>
        <w:ind w:left="0" w:firstLine="0"/>
        <w:rPr>
          <w:sz w:val="24"/>
          <w:szCs w:val="24"/>
        </w:rPr>
      </w:pPr>
      <w:r w:rsidDel="00000000" w:rsidR="00000000" w:rsidRPr="00000000">
        <w:rPr>
          <w:sz w:val="24"/>
          <w:szCs w:val="24"/>
          <w:rtl w:val="0"/>
        </w:rPr>
        <w:t xml:space="preserve">Motor destino: PostgreSQL versión 16 o superior.</w:t>
      </w:r>
    </w:p>
    <w:p w:rsidR="00000000" w:rsidDel="00000000" w:rsidP="00000000" w:rsidRDefault="00000000" w:rsidRPr="00000000" w14:paraId="0000002B">
      <w:pPr>
        <w:spacing w:after="240" w:before="240" w:lineRule="auto"/>
        <w:ind w:left="0" w:firstLine="0"/>
        <w:rPr>
          <w:sz w:val="24"/>
          <w:szCs w:val="24"/>
        </w:rPr>
      </w:pPr>
      <w:r w:rsidDel="00000000" w:rsidR="00000000" w:rsidRPr="00000000">
        <w:rPr>
          <w:sz w:val="24"/>
          <w:szCs w:val="24"/>
          <w:rtl w:val="0"/>
        </w:rPr>
        <w:t xml:space="preserve">Ambiente y estructura: Servidor local o contenedor, manteniendo la arquitectura relacional exacta, pero aprovechando tipos de datos nativos más avanzados.</w:t>
      </w:r>
    </w:p>
    <w:p w:rsidR="00000000" w:rsidDel="00000000" w:rsidP="00000000" w:rsidRDefault="00000000" w:rsidRPr="00000000" w14:paraId="0000002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b w:val="1"/>
          <w:bCs w:val="1"/>
          <w:sz w:val="24"/>
          <w:szCs w:val="24"/>
        </w:rPr>
      </w:pPr>
      <w:r w:rsidDel="00000000" w:rsidR="00000000" w:rsidRPr="00000000">
        <w:rPr>
          <w:b w:val="1"/>
          <w:bCs w:val="1"/>
          <w:sz w:val="24"/>
          <w:szCs w:val="24"/>
          <w:rtl w:val="0"/>
        </w:rPr>
        <w:t xml:space="preserve">5. Inventario de datos</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rtl w:val="0"/>
        </w:rPr>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sz w:val="22"/>
                <w:szCs w:val="22"/>
                <w:rtl w:val="0"/>
              </w:rPr>
              <w:t xml:space="preserve">Tabla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sz w:val="22"/>
                <w:szCs w:val="22"/>
                <w:rtl w:val="0"/>
              </w:rPr>
              <w:t xml:space="preserve">Contenido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sz w:val="22"/>
                <w:szCs w:val="22"/>
                <w:rtl w:val="0"/>
              </w:rPr>
              <w:t xml:space="preserve">Registros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sz w:val="22"/>
                <w:szCs w:val="22"/>
                <w:rtl w:val="0"/>
              </w:rPr>
              <w:t xml:space="preserve">RF relacionado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sz w:val="22"/>
                <w:szCs w:val="22"/>
                <w:rtl w:val="0"/>
              </w:rPr>
              <w:t xml:space="preserve">Sensibilidad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sz w:val="22"/>
                <w:szCs w:val="22"/>
                <w:rtl w:val="0"/>
              </w:rPr>
              <w:t xml:space="preserve">roles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sz w:val="22"/>
                <w:szCs w:val="22"/>
                <w:rtl w:val="0"/>
              </w:rPr>
              <w:t xml:space="preserve">Catálogo de roles (Técnico, Cliente, Administrador)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sz w:val="22"/>
                <w:szCs w:val="22"/>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sz w:val="22"/>
                <w:szCs w:val="22"/>
                <w:rtl w:val="0"/>
              </w:rPr>
              <w:t xml:space="preserve">RF-011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sz w:val="22"/>
                <w:szCs w:val="22"/>
                <w:rtl w:val="0"/>
              </w:rPr>
              <w:t xml:space="preserve">No sensible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sz w:val="22"/>
                <w:szCs w:val="22"/>
                <w:rtl w:val="0"/>
              </w:rPr>
              <w:t xml:space="preserve">tipo_documento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sz w:val="22"/>
                <w:szCs w:val="22"/>
                <w:rtl w:val="0"/>
              </w:rPr>
              <w:t xml:space="preserve">Tipos de documento de identidad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sz w:val="22"/>
                <w:szCs w:val="22"/>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sz w:val="22"/>
                <w:szCs w:val="22"/>
                <w:rtl w:val="0"/>
              </w:rPr>
              <w:t xml:space="preserve">RF-012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sz w:val="22"/>
                <w:szCs w:val="22"/>
                <w:rtl w:val="0"/>
              </w:rPr>
              <w:t xml:space="preserve">No sensible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sz w:val="22"/>
                <w:szCs w:val="22"/>
                <w:rtl w:val="0"/>
              </w:rPr>
              <w:t xml:space="preserve">categoria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sz w:val="22"/>
                <w:szCs w:val="22"/>
                <w:rtl w:val="0"/>
              </w:rPr>
              <w:t xml:space="preserve">Categorías del catálogo de repuestos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sz w:val="22"/>
                <w:szCs w:val="22"/>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sz w:val="22"/>
                <w:szCs w:val="22"/>
                <w:rtl w:val="0"/>
              </w:rPr>
              <w:t xml:space="preserve">RF-029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sz w:val="22"/>
                <w:szCs w:val="22"/>
                <w:rtl w:val="0"/>
              </w:rPr>
              <w:t xml:space="preserve">No sensible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sz w:val="22"/>
                <w:szCs w:val="22"/>
                <w:rtl w:val="0"/>
              </w:rPr>
              <w:t xml:space="preserve">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sz w:val="22"/>
                <w:szCs w:val="22"/>
                <w:rtl w:val="0"/>
              </w:rPr>
              <w:t xml:space="preserve">Perfiles de clientes, técnicos y administradores; credenciales cifradas y datos de contacto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sz w:val="22"/>
                <w:szCs w:val="22"/>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sz w:val="22"/>
                <w:szCs w:val="22"/>
                <w:rtl w:val="0"/>
              </w:rPr>
              <w:t xml:space="preserve">RF-001, 002, 008, 009, 010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sz w:val="22"/>
                <w:szCs w:val="22"/>
                <w:rtl w:val="0"/>
              </w:rPr>
              <w:t xml:space="preserve">Alta (datos personales + credenciales)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sz w:val="22"/>
                <w:szCs w:val="22"/>
                <w:rtl w:val="0"/>
              </w:rPr>
              <w:t xml:space="preserve">producto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sz w:val="22"/>
                <w:szCs w:val="22"/>
                <w:rtl w:val="0"/>
              </w:rPr>
              <w:t xml:space="preserve">Catálogo de repuestos y accesorios, con stock, precio de venta y precio de compra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sz w:val="22"/>
                <w:szCs w:val="22"/>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sz w:val="22"/>
                <w:szCs w:val="22"/>
                <w:rtl w:val="0"/>
              </w:rPr>
              <w:t xml:space="preserve">RF-024 a 030, 033, 050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sz w:val="22"/>
                <w:szCs w:val="22"/>
                <w:rtl w:val="0"/>
              </w:rPr>
              <w:t xml:space="preserve">Media (precio de compra es información comercial)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sz w:val="22"/>
                <w:szCs w:val="22"/>
                <w:rtl w:val="0"/>
              </w:rPr>
              <w:t xml:space="preserve">servicio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sz w:val="22"/>
                <w:szCs w:val="22"/>
                <w:rtl w:val="0"/>
              </w:rPr>
              <w:t xml:space="preserve">Órdenes de reparación: falla reportada, desglose de costos, etapa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sz w:val="22"/>
                <w:szCs w:val="22"/>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sz w:val="22"/>
                <w:szCs w:val="22"/>
                <w:rtl w:val="0"/>
              </w:rPr>
              <w:t xml:space="preserve">RF-015 a 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sz w:val="22"/>
                <w:szCs w:val="22"/>
                <w:rtl w:val="0"/>
              </w:rPr>
              <w:t xml:space="preserve">Media (vinculada a datos del cliente)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sz w:val="22"/>
                <w:szCs w:val="22"/>
                <w:rtl w:val="0"/>
              </w:rPr>
              <w:t xml:space="preserve">historial_servicios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sz w:val="22"/>
                <w:szCs w:val="22"/>
                <w:rtl w:val="0"/>
              </w:rPr>
              <w:t xml:space="preserve">Bitácora de eventos de cada orden de servicio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sz w:val="22"/>
                <w:szCs w:val="22"/>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sz w:val="22"/>
                <w:szCs w:val="22"/>
                <w:rtl w:val="0"/>
              </w:rPr>
              <w:t xml:space="preserve">RF-022, 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sz w:val="22"/>
                <w:szCs w:val="22"/>
                <w:rtl w:val="0"/>
              </w:rPr>
              <w:t xml:space="preserve">No sensible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sz w:val="22"/>
                <w:szCs w:val="22"/>
                <w:rtl w:val="0"/>
              </w:rPr>
              <w:t xml:space="preserve">chat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sz w:val="22"/>
                <w:szCs w:val="22"/>
                <w:rtl w:val="0"/>
              </w:rPr>
              <w:t xml:space="preserve">Salas de conversación entre cliente y técnico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sz w:val="22"/>
                <w:szCs w:val="22"/>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sz w:val="22"/>
                <w:szCs w:val="22"/>
                <w:rtl w:val="0"/>
              </w:rPr>
              <w:t xml:space="preserve">RF-034 a 036, 039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sz w:val="22"/>
                <w:szCs w:val="22"/>
                <w:rtl w:val="0"/>
              </w:rPr>
              <w:t xml:space="preserve">Media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sz w:val="22"/>
                <w:szCs w:val="22"/>
                <w:rtl w:val="0"/>
              </w:rPr>
              <w:t xml:space="preserve">mensajes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sz w:val="22"/>
                <w:szCs w:val="22"/>
                <w:rtl w:val="0"/>
              </w:rPr>
              <w:t xml:space="preserve">Contenido de los mensajes del chat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sz w:val="22"/>
                <w:szCs w:val="22"/>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sz w:val="22"/>
                <w:szCs w:val="22"/>
                <w:rtl w:val="0"/>
              </w:rPr>
              <w:t xml:space="preserve">RF-037, 038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sz w:val="22"/>
                <w:szCs w:val="22"/>
                <w:rtl w:val="0"/>
              </w:rPr>
              <w:t xml:space="preserve">Alta (comunicaciones privadas)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sz w:val="22"/>
                <w:szCs w:val="22"/>
                <w:rtl w:val="0"/>
              </w:rPr>
              <w:t xml:space="preserve">comentarios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sz w:val="22"/>
                <w:szCs w:val="22"/>
                <w:rtl w:val="0"/>
              </w:rPr>
              <w:t xml:space="preserve">Reseñas y calificaciones del servicio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sz w:val="22"/>
                <w:szCs w:val="22"/>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sz w:val="22"/>
                <w:szCs w:val="22"/>
                <w:rtl w:val="0"/>
              </w:rPr>
              <w:t xml:space="preserve">RF-045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sz w:val="22"/>
                <w:szCs w:val="22"/>
                <w:rtl w:val="0"/>
              </w:rPr>
              <w:t xml:space="preserve">No sensible (público)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sz w:val="22"/>
                <w:szCs w:val="22"/>
                <w:rtl w:val="0"/>
              </w:rPr>
              <w:t xml:space="preserve">pregunta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sz w:val="22"/>
                <w:szCs w:val="22"/>
                <w:rtl w:val="0"/>
              </w:rPr>
              <w:t xml:space="preserve">Preguntas de clientes sobre productos y sus respuestas del técnico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sz w:val="22"/>
                <w:szCs w:val="22"/>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sz w:val="22"/>
                <w:szCs w:val="22"/>
                <w:rtl w:val="0"/>
              </w:rPr>
              <w:t xml:space="preserve">RF-031, 032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sz w:val="22"/>
                <w:szCs w:val="22"/>
                <w:rtl w:val="0"/>
              </w:rPr>
              <w:t xml:space="preserve">No sensible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sz w:val="22"/>
                <w:szCs w:val="22"/>
                <w:rtl w:val="0"/>
              </w:rPr>
              <w:t xml:space="preserve">notificaciones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sz w:val="22"/>
                <w:szCs w:val="22"/>
                <w:rtl w:val="0"/>
              </w:rPr>
              <w:t xml:space="preserve">Alertas dirigidas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sz w:val="22"/>
                <w:szCs w:val="22"/>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sz w:val="22"/>
                <w:szCs w:val="22"/>
                <w:rtl w:val="0"/>
              </w:rPr>
              <w:t xml:space="preserve">RF-040 a 044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sz w:val="22"/>
                <w:szCs w:val="22"/>
                <w:rtl w:val="0"/>
              </w:rPr>
              <w:t xml:space="preserve">No sensible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sz w:val="22"/>
                <w:szCs w:val="22"/>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sz w:val="22"/>
                <w:szCs w:val="22"/>
                <w:rtl w:val="0"/>
              </w:rPr>
              <w:t xml:space="preserve">12 tablas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sz w:val="22"/>
                <w:szCs w:val="22"/>
                <w:rtl w:val="0"/>
              </w:rPr>
              <w:t xml:space="preserve">54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r>
    </w:tbl>
    <w:p w:rsidR="00000000" w:rsidDel="00000000" w:rsidP="00000000" w:rsidRDefault="00000000" w:rsidRPr="00000000" w14:paraId="0000007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Rule="auto"/>
        <w:rPr>
          <w:sz w:val="24"/>
          <w:szCs w:val="24"/>
        </w:rPr>
      </w:pPr>
      <w:r w:rsidDel="00000000" w:rsidR="00000000" w:rsidRPr="00000000">
        <w:rPr>
          <w:b w:val="1"/>
          <w:bCs w:val="1"/>
          <w:sz w:val="24"/>
          <w:szCs w:val="24"/>
          <w:rtl w:val="0"/>
        </w:rPr>
        <w:t xml:space="preserve">6. Estrategia de migración</w:t>
      </w:r>
      <w:r w:rsidDel="00000000" w:rsidR="00000000" w:rsidRPr="00000000">
        <w:rPr>
          <w:rtl w:val="0"/>
        </w:rPr>
      </w:r>
    </w:p>
    <w:p w:rsidR="00000000" w:rsidDel="00000000" w:rsidP="00000000" w:rsidRDefault="00000000" w:rsidRPr="00000000" w14:paraId="0000007A">
      <w:pPr>
        <w:spacing w:after="240" w:before="240" w:lineRule="auto"/>
        <w:rPr>
          <w:sz w:val="26"/>
          <w:szCs w:val="26"/>
        </w:rPr>
      </w:pPr>
      <w:r w:rsidDel="00000000" w:rsidR="00000000" w:rsidRPr="00000000">
        <w:rPr>
          <w:sz w:val="24"/>
          <w:szCs w:val="24"/>
          <w:rtl w:val="0"/>
        </w:rPr>
        <w:t xml:space="preserve">La migración se realizará mediante la herramienta DBeaver Community, utilizando su módulo de Data Transfer, que permite la conexión simultánea a ambos motores de base de datos (MySQL y PostgreSQL) y la transferencia directa de la estructura y los datos sin necesidad de generar ni editar manualmente scripts SQL intermedios. El proceso se ejecutará en un entorno de pruebas aislado, replicando primero el esquema (12 tablas, tipos de datos y las 15 llaves foráneas) sobre una base de datos PostgreSQL vacía, respetando el orden de dependencias (ver sección 9), y posteriormente transfiriendo los datos existentes. Dado que los identificadores ID_Usuario y Codigo_Producto son VARCHAR de negocio (no autoincrementales), se verificará manualmente que el mapeo de tipos de DBeaver no los convierta erróneamente a un tipo numérico o SERIAL. Tras la transferencia, se realizará una validación de integridad comparando el conteo de registros por tabla (54 en total) y la correcta creación de las 15 llaves foráneas entre ambos motores, antes de proceder con el ajuste del código de la aplicación al nuevo driver de conexión (pg en reemplazo de mysql2).</w:t>
      </w:r>
      <w:r w:rsidDel="00000000" w:rsidR="00000000" w:rsidRPr="00000000">
        <w:rPr>
          <w:rtl w:val="0"/>
        </w:rPr>
      </w:r>
    </w:p>
    <w:p w:rsidR="00000000" w:rsidDel="00000000" w:rsidP="00000000" w:rsidRDefault="00000000" w:rsidRPr="00000000" w14:paraId="0000007B">
      <w:pPr>
        <w:ind w:left="0" w:firstLine="0"/>
        <w:rPr>
          <w:sz w:val="26"/>
          <w:szCs w:val="26"/>
        </w:rPr>
      </w:pPr>
      <w:r w:rsidDel="00000000" w:rsidR="00000000" w:rsidRPr="00000000">
        <w:rPr>
          <w:b w:val="1"/>
          <w:bCs w:val="1"/>
          <w:sz w:val="24"/>
          <w:szCs w:val="24"/>
          <w:rtl w:val="0"/>
        </w:rPr>
        <w:t xml:space="preserve">7. Mapeo de datos</w:t>
      </w:r>
      <w:r w:rsidDel="00000000" w:rsidR="00000000" w:rsidRPr="00000000">
        <w:rPr>
          <w:rtl w:val="0"/>
        </w:rPr>
      </w:r>
    </w:p>
    <w:p w:rsidR="00000000" w:rsidDel="00000000" w:rsidP="00000000" w:rsidRDefault="00000000" w:rsidRPr="00000000" w14:paraId="0000007C">
      <w:pPr>
        <w:numPr>
          <w:ilvl w:val="0"/>
          <w:numId w:val="4"/>
        </w:numPr>
        <w:spacing w:after="0" w:before="240" w:lineRule="auto"/>
        <w:ind w:left="720" w:hanging="360"/>
        <w:rPr>
          <w:sz w:val="24"/>
          <w:szCs w:val="24"/>
        </w:rPr>
      </w:pPr>
      <w:r w:rsidDel="00000000" w:rsidR="00000000" w:rsidRPr="00000000">
        <w:rPr>
          <w:sz w:val="24"/>
          <w:szCs w:val="24"/>
          <w:rtl w:val="0"/>
        </w:rPr>
        <w:t xml:space="preserve">usuario.ID_Usuario (VARCHAR(20), número de documento — NO es autoincremental) -&gt; usuario.id_usuario (VARCHAR(20), se conserva igual; NO convertir a SERIAL)</w:t>
      </w:r>
    </w:p>
    <w:p w:rsidR="00000000" w:rsidDel="00000000" w:rsidP="00000000" w:rsidRDefault="00000000" w:rsidRPr="00000000" w14:paraId="0000007D">
      <w:pPr>
        <w:numPr>
          <w:ilvl w:val="0"/>
          <w:numId w:val="4"/>
        </w:numPr>
        <w:spacing w:after="0" w:before="0" w:lineRule="auto"/>
        <w:ind w:left="720" w:hanging="360"/>
        <w:rPr>
          <w:sz w:val="24"/>
          <w:szCs w:val="24"/>
        </w:rPr>
      </w:pPr>
      <w:r w:rsidDel="00000000" w:rsidR="00000000" w:rsidRPr="00000000">
        <w:rPr>
          <w:sz w:val="24"/>
          <w:szCs w:val="24"/>
          <w:rtl w:val="0"/>
        </w:rPr>
        <w:t xml:space="preserve">producto.Codigo_Producto (VARCHAR(30), SKU de negocio — NO es autoincremental) -&gt; producto.codigo_producto (VARCHAR(30), se conserva igual; NO convertir a SERIAL)</w:t>
      </w:r>
    </w:p>
    <w:p w:rsidR="00000000" w:rsidDel="00000000" w:rsidP="00000000" w:rsidRDefault="00000000" w:rsidRPr="00000000" w14:paraId="0000007E">
      <w:pPr>
        <w:numPr>
          <w:ilvl w:val="0"/>
          <w:numId w:val="4"/>
        </w:numPr>
        <w:spacing w:after="240" w:before="0" w:lineRule="auto"/>
        <w:ind w:left="720" w:hanging="360"/>
        <w:rPr>
          <w:sz w:val="24"/>
          <w:szCs w:val="24"/>
        </w:rPr>
      </w:pPr>
      <w:r w:rsidDel="00000000" w:rsidR="00000000" w:rsidRPr="00000000">
        <w:rPr>
          <w:sz w:val="24"/>
          <w:szCs w:val="24"/>
          <w:rtl w:val="0"/>
        </w:rPr>
        <w:t xml:space="preserve">servicio.Etapa (SMALLINT: -1, 0, 1, 2) -&gt; servicio.etapa (SMALLINT, se conserva igual; se descarta usar ENUM nativo para no perder el valor -1 = Cancelado ya usado en la lógica de negocio, RN-014)</w:t>
      </w:r>
    </w:p>
    <w:p w:rsidR="00000000" w:rsidDel="00000000" w:rsidP="00000000" w:rsidRDefault="00000000" w:rsidRPr="00000000" w14:paraId="0000007F">
      <w:pPr>
        <w:ind w:left="0" w:firstLine="0"/>
        <w:rPr>
          <w:sz w:val="26"/>
          <w:szCs w:val="26"/>
        </w:rPr>
      </w:pPr>
      <w:r w:rsidDel="00000000" w:rsidR="00000000" w:rsidRPr="00000000">
        <w:rPr>
          <w:b w:val="1"/>
          <w:bCs w:val="1"/>
          <w:sz w:val="24"/>
          <w:szCs w:val="24"/>
          <w:rtl w:val="0"/>
        </w:rPr>
        <w:t xml:space="preserve">8. Transformaciones</w:t>
      </w:r>
      <w:r w:rsidDel="00000000" w:rsidR="00000000" w:rsidRPr="00000000">
        <w:rPr>
          <w:rtl w:val="0"/>
        </w:rPr>
      </w:r>
    </w:p>
    <w:p w:rsidR="00000000" w:rsidDel="00000000" w:rsidP="00000000" w:rsidRDefault="00000000" w:rsidRPr="00000000" w14:paraId="00000080">
      <w:pPr>
        <w:numPr>
          <w:ilvl w:val="0"/>
          <w:numId w:val="5"/>
        </w:numPr>
        <w:spacing w:after="0" w:before="240" w:lineRule="auto"/>
        <w:ind w:left="720" w:hanging="360"/>
        <w:rPr>
          <w:sz w:val="24"/>
          <w:szCs w:val="24"/>
        </w:rPr>
      </w:pPr>
      <w:r w:rsidDel="00000000" w:rsidR="00000000" w:rsidRPr="00000000">
        <w:rPr>
          <w:sz w:val="24"/>
          <w:szCs w:val="24"/>
          <w:rtl w:val="0"/>
        </w:rPr>
        <w:t xml:space="preserve">Booleanos: Conversión de campos de estado lógico TINYINT(1) en MySQL a tipo BOOLEAN nativo en PostgreSQL. Campos reales afectados: producto.Activo_Catalogo, mensajes.Estado (leído/no leído) y notificaciones.Leida.</w:t>
      </w:r>
    </w:p>
    <w:p w:rsidR="00000000" w:rsidDel="00000000" w:rsidP="00000000" w:rsidRDefault="00000000" w:rsidRPr="00000000" w14:paraId="00000081">
      <w:pPr>
        <w:numPr>
          <w:ilvl w:val="0"/>
          <w:numId w:val="5"/>
        </w:numPr>
        <w:spacing w:after="240" w:before="0" w:lineRule="auto"/>
        <w:ind w:left="720" w:hanging="360"/>
        <w:rPr>
          <w:sz w:val="24"/>
          <w:szCs w:val="24"/>
        </w:rPr>
      </w:pPr>
      <w:r w:rsidDel="00000000" w:rsidR="00000000" w:rsidRPr="00000000">
        <w:rPr>
          <w:sz w:val="24"/>
          <w:szCs w:val="24"/>
          <w:rtl w:val="0"/>
        </w:rPr>
        <w:t xml:space="preserve">Fechas: Los campos DATETIME (historial_servicios.Fecha_Evento, servicio.Fecha_Creacion, chat.Fecha_Inicio, mensajes.Fecha_Mensaje, notificaciones.Fecha) se ajustan a TIMESTAMP. El campo servicio.Fecha es de tipo DATE (no DATETIME) y se conserva como DATE, sin componente de hora.</w:t>
      </w:r>
    </w:p>
    <w:p w:rsidR="00000000" w:rsidDel="00000000" w:rsidP="00000000" w:rsidRDefault="00000000" w:rsidRPr="00000000" w14:paraId="00000082">
      <w:pPr>
        <w:spacing w:after="240" w:before="240" w:lineRule="auto"/>
        <w:rPr>
          <w:sz w:val="24"/>
          <w:szCs w:val="24"/>
        </w:rPr>
      </w:pPr>
      <w:r w:rsidDel="00000000" w:rsidR="00000000" w:rsidRPr="00000000">
        <w:rPr>
          <w:rtl w:val="0"/>
        </w:rPr>
      </w:r>
    </w:p>
    <w:p w:rsidR="00000000" w:rsidDel="00000000" w:rsidP="00000000" w:rsidRDefault="00000000" w:rsidRPr="00000000" w14:paraId="00000083">
      <w:pPr>
        <w:spacing w:after="240" w:before="240" w:lineRule="auto"/>
        <w:rPr>
          <w:sz w:val="24"/>
          <w:szCs w:val="24"/>
        </w:rPr>
      </w:pPr>
      <w:r w:rsidDel="00000000" w:rsidR="00000000" w:rsidRPr="00000000">
        <w:rPr>
          <w:rtl w:val="0"/>
        </w:rPr>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b w:val="1"/>
          <w:bCs w:val="1"/>
          <w:sz w:val="24"/>
          <w:szCs w:val="24"/>
          <w:rtl w:val="0"/>
        </w:rPr>
        <w:t xml:space="preserve">9. Orden de migración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Para no violar las restricciones de llaves foráneas, la inserción se ejecutará así:</w:t>
      </w:r>
    </w:p>
    <w:p w:rsidR="00000000" w:rsidDel="00000000" w:rsidP="00000000" w:rsidRDefault="00000000" w:rsidRPr="00000000" w14:paraId="00000087">
      <w:pPr>
        <w:numPr>
          <w:ilvl w:val="0"/>
          <w:numId w:val="2"/>
        </w:numPr>
        <w:spacing w:after="0" w:before="240" w:lineRule="auto"/>
        <w:ind w:left="720" w:hanging="360"/>
        <w:rPr>
          <w:sz w:val="24"/>
          <w:szCs w:val="24"/>
        </w:rPr>
      </w:pPr>
      <w:r w:rsidDel="00000000" w:rsidR="00000000" w:rsidRPr="00000000">
        <w:rPr>
          <w:sz w:val="24"/>
          <w:szCs w:val="24"/>
          <w:rtl w:val="0"/>
        </w:rPr>
        <w:t xml:space="preserve">Tablas maestras sin dependencias: roles, tipo_documento, categoria.</w:t>
      </w:r>
    </w:p>
    <w:p w:rsidR="00000000" w:rsidDel="00000000" w:rsidP="00000000" w:rsidRDefault="00000000" w:rsidRPr="00000000" w14:paraId="00000088">
      <w:pPr>
        <w:numPr>
          <w:ilvl w:val="0"/>
          <w:numId w:val="2"/>
        </w:numPr>
        <w:spacing w:after="0" w:before="0" w:lineRule="auto"/>
        <w:ind w:left="720" w:hanging="360"/>
        <w:rPr>
          <w:sz w:val="24"/>
          <w:szCs w:val="24"/>
        </w:rPr>
      </w:pPr>
      <w:r w:rsidDel="00000000" w:rsidR="00000000" w:rsidRPr="00000000">
        <w:rPr>
          <w:sz w:val="24"/>
          <w:szCs w:val="24"/>
          <w:rtl w:val="0"/>
        </w:rPr>
        <w:t xml:space="preserve">usuario (depende de roles y tipo_documento).</w:t>
      </w:r>
    </w:p>
    <w:p w:rsidR="00000000" w:rsidDel="00000000" w:rsidP="00000000" w:rsidRDefault="00000000" w:rsidRPr="00000000" w14:paraId="00000089">
      <w:pPr>
        <w:numPr>
          <w:ilvl w:val="0"/>
          <w:numId w:val="2"/>
        </w:numPr>
        <w:spacing w:after="0" w:before="0" w:lineRule="auto"/>
        <w:ind w:left="720" w:hanging="360"/>
        <w:rPr>
          <w:sz w:val="24"/>
          <w:szCs w:val="24"/>
        </w:rPr>
      </w:pPr>
      <w:r w:rsidDel="00000000" w:rsidR="00000000" w:rsidRPr="00000000">
        <w:rPr>
          <w:sz w:val="24"/>
          <w:szCs w:val="24"/>
          <w:rtl w:val="0"/>
        </w:rPr>
        <w:t xml:space="preserve">producto (depende de categoria).</w:t>
      </w:r>
    </w:p>
    <w:p w:rsidR="00000000" w:rsidDel="00000000" w:rsidP="00000000" w:rsidRDefault="00000000" w:rsidRPr="00000000" w14:paraId="0000008A">
      <w:pPr>
        <w:numPr>
          <w:ilvl w:val="0"/>
          <w:numId w:val="2"/>
        </w:numPr>
        <w:spacing w:after="0" w:before="0" w:lineRule="auto"/>
        <w:ind w:left="720" w:hanging="360"/>
        <w:rPr>
          <w:sz w:val="24"/>
          <w:szCs w:val="24"/>
        </w:rPr>
      </w:pPr>
      <w:r w:rsidDel="00000000" w:rsidR="00000000" w:rsidRPr="00000000">
        <w:rPr>
          <w:sz w:val="24"/>
          <w:szCs w:val="24"/>
          <w:rtl w:val="0"/>
        </w:rPr>
        <w:t xml:space="preserve">servicio (depende de usuario).</w:t>
      </w:r>
    </w:p>
    <w:p w:rsidR="00000000" w:rsidDel="00000000" w:rsidP="00000000" w:rsidRDefault="00000000" w:rsidRPr="00000000" w14:paraId="0000008B">
      <w:pPr>
        <w:numPr>
          <w:ilvl w:val="0"/>
          <w:numId w:val="2"/>
        </w:numPr>
        <w:spacing w:after="240" w:before="0" w:lineRule="auto"/>
        <w:ind w:left="720" w:hanging="360"/>
        <w:rPr>
          <w:sz w:val="24"/>
          <w:szCs w:val="24"/>
        </w:rPr>
      </w:pPr>
      <w:r w:rsidDel="00000000" w:rsidR="00000000" w:rsidRPr="00000000">
        <w:rPr>
          <w:sz w:val="24"/>
          <w:szCs w:val="24"/>
          <w:rtl w:val="0"/>
        </w:rPr>
        <w:t xml:space="preserve">historial_servicios (depende de servicio) y chat (depende de usuario y servicio).</w:t>
      </w:r>
    </w:p>
    <w:p w:rsidR="00000000" w:rsidDel="00000000" w:rsidP="00000000" w:rsidRDefault="00000000" w:rsidRPr="00000000" w14:paraId="0000008C">
      <w:pPr>
        <w:numPr>
          <w:ilvl w:val="0"/>
          <w:numId w:val="2"/>
        </w:numPr>
        <w:spacing w:after="240" w:before="0" w:lineRule="auto"/>
        <w:ind w:left="720" w:hanging="360"/>
        <w:rPr>
          <w:sz w:val="24"/>
          <w:szCs w:val="24"/>
        </w:rPr>
      </w:pPr>
      <w:r w:rsidDel="00000000" w:rsidR="00000000" w:rsidRPr="00000000">
        <w:rPr>
          <w:sz w:val="24"/>
          <w:szCs w:val="24"/>
          <w:rtl w:val="0"/>
        </w:rPr>
        <w:t xml:space="preserve">mensajes (depende de chat y usuario), comentarios (depende de usuario) y pregunta (depende de usuario y producto).</w:t>
      </w:r>
    </w:p>
    <w:p w:rsidR="00000000" w:rsidDel="00000000" w:rsidP="00000000" w:rsidRDefault="00000000" w:rsidRPr="00000000" w14:paraId="0000008D">
      <w:pPr>
        <w:numPr>
          <w:ilvl w:val="0"/>
          <w:numId w:val="2"/>
        </w:numPr>
        <w:spacing w:after="240" w:before="0" w:lineRule="auto"/>
        <w:ind w:left="720" w:hanging="360"/>
        <w:rPr>
          <w:sz w:val="24"/>
          <w:szCs w:val="24"/>
        </w:rPr>
      </w:pPr>
      <w:r w:rsidDel="00000000" w:rsidR="00000000" w:rsidRPr="00000000">
        <w:rPr>
          <w:sz w:val="24"/>
          <w:szCs w:val="24"/>
          <w:rtl w:val="0"/>
        </w:rPr>
        <w:t xml:space="preserve">notificaciones (depende de usuario y servicio) — última por depender de las demás tablas transaccionales.</w:t>
      </w:r>
    </w:p>
    <w:p w:rsidR="00000000" w:rsidDel="00000000" w:rsidP="00000000" w:rsidRDefault="00000000" w:rsidRPr="00000000" w14:paraId="0000008E">
      <w:pPr>
        <w:ind w:left="0" w:firstLine="0"/>
        <w:rPr>
          <w:sz w:val="26"/>
          <w:szCs w:val="26"/>
        </w:rPr>
      </w:pPr>
      <w:r w:rsidDel="00000000" w:rsidR="00000000" w:rsidRPr="00000000">
        <w:rPr>
          <w:b w:val="1"/>
          <w:bCs w:val="1"/>
          <w:sz w:val="24"/>
          <w:szCs w:val="24"/>
          <w:rtl w:val="0"/>
        </w:rPr>
        <w:t xml:space="preserve">10. Pruebas</w:t>
      </w:r>
      <w:r w:rsidDel="00000000" w:rsidR="00000000" w:rsidRPr="00000000">
        <w:rPr>
          <w:rtl w:val="0"/>
        </w:rPr>
      </w:r>
    </w:p>
    <w:p w:rsidR="00000000" w:rsidDel="00000000" w:rsidP="00000000" w:rsidRDefault="00000000" w:rsidRPr="00000000" w14:paraId="0000008F">
      <w:pPr>
        <w:numPr>
          <w:ilvl w:val="0"/>
          <w:numId w:val="1"/>
        </w:numPr>
        <w:spacing w:after="0" w:before="240" w:lineRule="auto"/>
        <w:ind w:left="720" w:hanging="360"/>
        <w:rPr>
          <w:sz w:val="24"/>
          <w:szCs w:val="24"/>
        </w:rPr>
      </w:pPr>
      <w:r w:rsidDel="00000000" w:rsidR="00000000" w:rsidRPr="00000000">
        <w:rPr>
          <w:sz w:val="24"/>
          <w:szCs w:val="24"/>
          <w:rtl w:val="0"/>
        </w:rPr>
        <w:t xml:space="preserve">Antes: Validación de los scripts DDL de creación en un esquema PostgreSQL vacío.</w:t>
      </w:r>
    </w:p>
    <w:p w:rsidR="00000000" w:rsidDel="00000000" w:rsidP="00000000" w:rsidRDefault="00000000" w:rsidRPr="00000000" w14:paraId="00000090">
      <w:pPr>
        <w:numPr>
          <w:ilvl w:val="0"/>
          <w:numId w:val="1"/>
        </w:numPr>
        <w:spacing w:after="240" w:before="0" w:lineRule="auto"/>
        <w:ind w:left="720" w:hanging="360"/>
        <w:rPr>
          <w:sz w:val="24"/>
          <w:szCs w:val="24"/>
        </w:rPr>
      </w:pPr>
      <w:r w:rsidDel="00000000" w:rsidR="00000000" w:rsidRPr="00000000">
        <w:rPr>
          <w:sz w:val="24"/>
          <w:szCs w:val="24"/>
          <w:rtl w:val="0"/>
        </w:rPr>
        <w:t xml:space="preserve">Después: Ejecución de pruebas unitarias (con Jest) y pruebas E2E (con Selenium Web Driver IO) contra la API en Express para certificar que el inicio de sesión y la actualización de stock funcionen correctamente.</w:t>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11. Validación</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Comparación de la cantidad de registros (SELECT COUNT(*)) entre el origen y el destino: se espera un total de 54 registros distribuidos en las 12 tablas (ver Inventario de Datos, sección 5). Verificación de la integridad de los datos críticos, incluyendo las 15 llaves foráneas, e inspección con herramientas de análisis estático, como SonarCloud, para garantizar que no existan sentencias SQL incompatibles en el código del backend.</w:t>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12. Ventana de migración</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Se programará durante un periodo de inactividad operativa. (Ejemplo: Sábado a las 10:00 PM). La duración estimada es de 2 horas.</w:t>
      </w:r>
    </w:p>
    <w:p w:rsidR="00000000" w:rsidDel="00000000" w:rsidP="00000000" w:rsidRDefault="00000000" w:rsidRPr="00000000" w14:paraId="00000095">
      <w:pPr>
        <w:spacing w:after="240" w:before="240" w:lineRule="auto"/>
        <w:rPr>
          <w:b w:val="1"/>
          <w:bCs w:val="1"/>
          <w:sz w:val="24"/>
          <w:szCs w:val="24"/>
        </w:rPr>
      </w:pPr>
      <w:r w:rsidDel="00000000" w:rsidR="00000000" w:rsidRPr="00000000">
        <w:rPr>
          <w:b w:val="1"/>
          <w:bCs w:val="1"/>
          <w:sz w:val="24"/>
          <w:szCs w:val="24"/>
          <w:rtl w:val="0"/>
        </w:rPr>
        <w:t xml:space="preserve">13. Plan de contingencia / rollback</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La base de datos original en MySQL se mantendrá intacta y operativa. Si la migración presenta fallos críticos, se cambiará inmediatamente la cadena de conexión en el archivo .env del backend (Node.js) apuntando de vuelta al puerto de MySQL para restablecer el servicio.</w:t>
      </w:r>
    </w:p>
    <w:p w:rsidR="00000000" w:rsidDel="00000000" w:rsidP="00000000" w:rsidRDefault="00000000" w:rsidRPr="00000000" w14:paraId="00000097">
      <w:pPr>
        <w:ind w:left="0" w:firstLine="0"/>
        <w:rPr>
          <w:sz w:val="26"/>
          <w:szCs w:val="26"/>
        </w:rPr>
      </w:pPr>
      <w:r w:rsidDel="00000000" w:rsidR="00000000" w:rsidRPr="00000000">
        <w:rPr>
          <w:b w:val="1"/>
          <w:bCs w:val="1"/>
          <w:sz w:val="24"/>
          <w:szCs w:val="24"/>
          <w:rtl w:val="0"/>
        </w:rPr>
        <w:t xml:space="preserve">14. Responsables</w:t>
      </w:r>
      <w:r w:rsidDel="00000000" w:rsidR="00000000" w:rsidRPr="00000000">
        <w:rPr>
          <w:rtl w:val="0"/>
        </w:rPr>
      </w:r>
    </w:p>
    <w:p w:rsidR="00000000" w:rsidDel="00000000" w:rsidP="00000000" w:rsidRDefault="00000000" w:rsidRPr="00000000" w14:paraId="00000098">
      <w:pPr>
        <w:spacing w:after="240" w:before="240" w:lineRule="auto"/>
        <w:ind w:left="0" w:firstLine="0"/>
        <w:rPr>
          <w:sz w:val="24"/>
          <w:szCs w:val="24"/>
        </w:rPr>
      </w:pPr>
      <w:r w:rsidDel="00000000" w:rsidR="00000000" w:rsidRPr="00000000">
        <w:rPr>
          <w:sz w:val="24"/>
          <w:szCs w:val="24"/>
          <w:rtl w:val="0"/>
        </w:rPr>
        <w:t xml:space="preserve">Ejecución técnica y transformación: Anderson Joya.</w:t>
      </w:r>
    </w:p>
    <w:p w:rsidR="00000000" w:rsidDel="00000000" w:rsidP="00000000" w:rsidRDefault="00000000" w:rsidRPr="00000000" w14:paraId="00000099">
      <w:pPr>
        <w:numPr>
          <w:ilvl w:val="0"/>
          <w:numId w:val="3"/>
        </w:numPr>
        <w:spacing w:after="0" w:before="240" w:lineRule="auto"/>
        <w:ind w:left="720" w:hanging="360"/>
        <w:rPr>
          <w:sz w:val="24"/>
          <w:szCs w:val="24"/>
        </w:rPr>
      </w:pPr>
      <w:r w:rsidDel="00000000" w:rsidR="00000000" w:rsidRPr="00000000">
        <w:rPr>
          <w:sz w:val="24"/>
          <w:szCs w:val="24"/>
          <w:rtl w:val="0"/>
        </w:rPr>
        <w:t xml:space="preserve">Verificación y validación de testing: Nicolas Montenegro y Jhonatan Comezaquira.</w:t>
      </w:r>
      <w:r w:rsidDel="00000000" w:rsidR="00000000" w:rsidRPr="00000000">
        <w:rPr>
          <w:rtl w:val="0"/>
        </w:rPr>
      </w:r>
    </w:p>
    <w:p w:rsidR="00000000" w:rsidDel="00000000" w:rsidP="00000000" w:rsidRDefault="00000000" w:rsidRPr="00000000" w14:paraId="0000009A">
      <w:pPr>
        <w:numPr>
          <w:ilvl w:val="0"/>
          <w:numId w:val="3"/>
        </w:numPr>
        <w:spacing w:after="240" w:before="0" w:lineRule="auto"/>
        <w:ind w:left="720" w:hanging="360"/>
        <w:rPr>
          <w:sz w:val="24"/>
          <w:szCs w:val="24"/>
        </w:rPr>
      </w:pPr>
      <w:r w:rsidDel="00000000" w:rsidR="00000000" w:rsidRPr="00000000">
        <w:rPr>
          <w:sz w:val="24"/>
          <w:szCs w:val="24"/>
          <w:rtl w:val="0"/>
        </w:rPr>
        <w:t xml:space="preserve">Autorización: Instructor líder del proyecto.</w:t>
      </w:r>
      <w:r w:rsidDel="00000000" w:rsidR="00000000" w:rsidRPr="00000000">
        <w:rPr>
          <w:rtl w:val="0"/>
        </w:rPr>
      </w:r>
    </w:p>
    <w:p w:rsidR="00000000" w:rsidDel="00000000" w:rsidP="00000000" w:rsidRDefault="00000000" w:rsidRPr="00000000" w14:paraId="0000009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D">
      <w:pPr>
        <w:spacing w:after="240" w:before="240" w:lineRule="auto"/>
        <w:rPr>
          <w:b w:val="1"/>
          <w:bCs w:val="1"/>
          <w:sz w:val="24"/>
          <w:szCs w:val="24"/>
        </w:rPr>
      </w:pPr>
      <w:r w:rsidDel="00000000" w:rsidR="00000000" w:rsidRPr="00000000">
        <w:rPr>
          <w:b w:val="1"/>
          <w:bCs w:val="1"/>
          <w:sz w:val="24"/>
          <w:szCs w:val="24"/>
          <w:rtl w:val="0"/>
        </w:rPr>
        <w:t xml:space="preserve">15. Evidencias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Logs de consola del proceso de exportación/importación, capturas de pantalla de la estructura importada</w:t>
      </w:r>
    </w:p>
    <w:p w:rsidR="00000000" w:rsidDel="00000000" w:rsidP="00000000" w:rsidRDefault="00000000" w:rsidRPr="00000000" w14:paraId="0000009F">
      <w:pPr>
        <w:spacing w:after="240" w:before="240" w:lineRule="auto"/>
        <w:rPr/>
      </w:pPr>
      <w:r w:rsidDel="00000000" w:rsidR="00000000" w:rsidRPr="00000000">
        <w:rPr>
          <w:rtl w:val="0"/>
        </w:rPr>
        <w:t xml:space="preserve">CONECCIÓN  IMPLEMENTADA   </w:t>
      </w:r>
    </w:p>
    <w:p w:rsidR="00000000" w:rsidDel="00000000" w:rsidP="00000000" w:rsidRDefault="00000000" w:rsidRPr="00000000" w14:paraId="000000A0">
      <w:pPr>
        <w:spacing w:after="240" w:before="240" w:lineRule="auto"/>
        <w:rPr/>
      </w:pPr>
      <w:r w:rsidDel="00000000" w:rsidR="00000000" w:rsidRPr="00000000">
        <w:rPr/>
        <w:drawing>
          <wp:inline distB="114300" distT="114300" distL="114300" distR="114300">
            <wp:extent cx="5731200" cy="32258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MIGRACIÓN EN CURSO</w:t>
      </w:r>
    </w:p>
    <w:p w:rsidR="00000000" w:rsidDel="00000000" w:rsidP="00000000" w:rsidRDefault="00000000" w:rsidRPr="00000000" w14:paraId="000000A2">
      <w:pPr>
        <w:spacing w:after="240" w:before="240" w:lineRule="auto"/>
        <w:rPr/>
      </w:pPr>
      <w:r w:rsidDel="00000000" w:rsidR="00000000" w:rsidRPr="00000000">
        <w:rPr/>
        <w:drawing>
          <wp:inline distB="114300" distT="114300" distL="114300" distR="114300">
            <wp:extent cx="5731200" cy="30099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MIGRACIÓN EXITOSA</w:t>
      </w:r>
      <w:r w:rsidDel="00000000" w:rsidR="00000000" w:rsidRPr="00000000">
        <w:rPr>
          <w:rtl w:val="0"/>
        </w:rPr>
      </w:r>
    </w:p>
    <w:p w:rsidR="00000000" w:rsidDel="00000000" w:rsidP="00000000" w:rsidRDefault="00000000" w:rsidRPr="00000000" w14:paraId="000000A5">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32512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b w:val="1"/>
          <w:bCs w:val="1"/>
          <w:sz w:val="26"/>
          <w:szCs w:val="26"/>
        </w:rPr>
      </w:pPr>
      <w:r w:rsidDel="00000000" w:rsidR="00000000" w:rsidRPr="00000000">
        <w:rPr>
          <w:b w:val="1"/>
          <w:bCs w:val="1"/>
          <w:sz w:val="26"/>
          <w:szCs w:val="26"/>
          <w:rtl w:val="0"/>
        </w:rPr>
        <w:t xml:space="preserve">TABLAS EXISTENTES DENTRO DE PGSQL</w:t>
      </w:r>
    </w:p>
    <w:p w:rsidR="00000000" w:rsidDel="00000000" w:rsidP="00000000" w:rsidRDefault="00000000" w:rsidRPr="00000000" w14:paraId="000000A7">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4064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A9">
      <w:pPr>
        <w:rPr/>
      </w:pPr>
      <w:r w:rsidDel="00000000" w:rsidR="00000000" w:rsidRPr="00000000">
        <w:rPr>
          <w:sz w:val="26"/>
          <w:szCs w:val="26"/>
        </w:rPr>
        <w:drawing>
          <wp:inline distB="114300" distT="114300" distL="114300" distR="114300">
            <wp:extent cx="5731200" cy="43053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6mNsaajITbsHTXvriQLTRVvXew==">CgMxLjAyDmguZHBnazRsZGpmcWFkMg5oLjFqN211N2Q5eWhhZDgAciExMVNVa0RFSE1qQjVtdlhUdTdCTUZSbzJ5T2xLYzZRNHY=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