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32"/>
          <w:sz w:val="26"/>
          <w:szCs w:val="26"/>
        </w:rPr>
        <w:t xml:space="preserve">Olist — Diagnóstico probabilístico de experiencia del cliente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Informe gerencial — Analista de Datos, Universidad de La Sabana | Dataset: Brazilian E-Commerce (Olist), 99,441 pedidos, 2016–2018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Resumen ejecutivo: </w:t>
      </w:r>
      <w:r>
        <w:rPr>
          <w:sz w:val="19"/>
          <w:szCs w:val="19"/>
        </w:rPr>
        <w:t xml:space="preserve">el retraso de entrega es el factor individual más asociado a insatisfacción del cliente (2.55x más reseñas negativas, y predictor dominante en el modelo de entropía cruzada). Método de pago y categoría de producto no son independientes. Un modelo bayesiano simple permite calificar vendedores nuevos desde sus primeras ventas.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300"/>
      </w:tblGrid>
      <w:tr>
        <w:tc>
          <w:tcPr>
            <w:tcW w:type="dxa" w:w="1600"/>
            <w:shd w:fill="2A3D4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600"/>
            <w:shd w:fill="2A3D4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Evidencia cuantitativa</w:t>
            </w:r>
          </w:p>
        </w:tc>
        <w:tc>
          <w:tcPr>
            <w:tcW w:type="dxa" w:w="5300"/>
            <w:shd w:fill="2A3D4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Interpretación / recomendación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1. Prob. condicional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P(reseña≤2 | entrega&gt;promedio)=21.0% vs 8.2% (2.55x)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retraso duplica con creces la probabilidad de reseña negativa. Prioridad #1 de intervención.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2. Teorema de Bayes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P(tarde)=8.0% (prior) → P(tarde|reseña neg.)=33.7% (posterior)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Una reseña negativa es una alerta temprana fuerte de problema logístico (4.2x el prior).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3. Verosimilitud / MLE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AIC Log-Normal=646576 vs Gamma=647288 → gana Log-Normal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Tiempo de entrega tiene cola derecha pesada: cuellos de botella puntuales, no variabilidad uniforme.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4. Distribución paramétrica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KS Log-Normal=0.066 vs Gamma=0.139 → gana Log-Normal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Peso de productos: catálogo generalista con mayoría de ítems livianos y minoría pesada.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5. Esperanza y varianza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Mayor varianza de ticket: fixed_telephony (var≈1203k)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Categorías de alta varianza necesitan pricing/forecast segmentado, no un promedio único.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6. Independencia y correlación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Chi²=405.2 (p&lt;0.001, NO independientes); r(entrega,reseña)=-0.33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Método de pago depende de la categoría. Entrega y satisfacción correlacionan negativamente (confirma hallazgo #1).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7. Prior y posterior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Prior confiabilidad=75.5% → posterior tras 5 ventas=83.7%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Modelo Beta-Binomial permite evaluar vendedores nuevos desde sus primeras ventas, sin esperar historial largo.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8. Entropía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H=4.71 bits de 6.15 máximos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Catálogo moderadamente concentrado (~23% por debajo de uniforme) en pocas categorías líderes.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9. Entropía cruzada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Log-loss train=0.324, test=0.325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Modelo estable (sin sobreajuste); el retraso de entrega es el predictor dominante de insatisfacción.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6"/>
                <w:szCs w:val="16"/>
              </w:rPr>
              <w:t xml:space="preserve">10. Divergencia KL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KL(SP||RJ)=0.0348 bits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Diferencia de percepción de calidad SP vs RJ es pequeña pero consistente (RJ con más 1-estrella).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color w:val="1B2A32"/>
          <w:sz w:val="20"/>
          <w:szCs w:val="20"/>
        </w:rPr>
        <w:t xml:space="preserve">Recomendaciones accionables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Priorizar inversión logística sobre otras palancas: la evidencia de los conceptos 1, 2, 6 y 9 apunta consistentemente a la entrega como la variable con mayor impacto sobre satisfacción.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Usar reseñas negativas como señal de alerta logística temprana (posterior de 33.7% de retraso dado reseña negativa) para activar revisiones operativas dirigidas.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Diferenciar condiciones de pago/financiamiento por categoría de producto, dado que la independencia fue rechazada estadísticamente (chi²=405.2, p&lt;0.001).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Adoptar el modelo Beta-Binomial de confiabilidad de vendedores como política formal de "período de prueba" cuantitativo para vendedores nuevos.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 xml:space="preserve">Investigar operativamente la brecha de calidad percibida en Río de Janeiro frente a São Paulo (mayor proporción de reseñas de 1 estrella).</w:t>
      </w:r>
    </w:p>
    <w:p>
      <w:pPr>
        <w:spacing w:before="200"/>
      </w:pPr>
      <w:r>
        <w:rPr>
          <w:b/>
          <w:bCs/>
          <w:color w:val="777777"/>
          <w:sz w:val="15"/>
          <w:szCs w:val="15"/>
        </w:rPr>
        <w:t xml:space="preserve">Nota metodológica: </w:t>
      </w:r>
      <w:r>
        <w:rPr>
          <w:color w:val="777777"/>
          <w:sz w:val="15"/>
          <w:szCs w:val="15"/>
        </w:rPr>
        <w:t xml:space="preserve">todas las cifras de este informe se generan directamente en el notebook adjunto (proyecto_olist_completo.ipynb), ejecutado de principio a fin sin errores. Ningún valor fue escrito manualmente.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2026-08-24T01:29:43.616Z</dcterms:created>
  <dcterms:modified xsi:type="dcterms:W3CDTF">2026-08-24T01:29:43.628Z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